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29.11.2019 N 814</w:t>
              <w:br/>
              <w:t xml:space="preserve">(ред. от 28.04.2023)</w:t>
              <w:br/>
              <w:t xml:space="preserve">"Об утверждении правил квотирования выбросов загрязняющих веществ (за исключением радиоактивных веществ) в атмосферный воздух"</w:t>
              <w:br/>
              <w:t xml:space="preserve">(Зарегистрировано в Минюсте России 24.12.2019 N 56956)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21.03.2024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24 декабря 2019 г. N 56956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29 ноября 2019 г. N 814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КВОТИРОВАНИЯ ВЫБРОСОВ ЗАГРЯЗНЯЮЩИХ ВЕЩЕСТВ (ЗА ИСКЛЮЧЕНИЕМ</w:t>
      </w:r>
    </w:p>
    <w:p>
      <w:pPr>
        <w:pStyle w:val="2"/>
        <w:jc w:val="center"/>
      </w:pPr>
      <w:r>
        <w:rPr>
          <w:sz w:val="20"/>
        </w:rPr>
        <w:t xml:space="preserve">РАДИОАКТИВНЫХ ВЕЩЕСТВ) В АТМОСФЕРНЫЙ ВОЗДУХ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подпунктом 2 пункта 2 статьи 4</w:t>
        </w:r>
      </w:hyperlink>
      <w:r>
        <w:rPr>
          <w:sz w:val="20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(Собрание законодательства Российской Федерации, 2019, N 30, ст. 4097) приказываю: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распоряд. часть (в ред. 28.04.2023) утрачивает силу (</w:t>
            </w:r>
            <w:hyperlink w:history="0" r:id="rId9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35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квотирования выбросов загрязняющих веществ (за исключением радиоактивных веществ) в атмосферный воздух.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приказ действует до 1 сентября 2029 г.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0"/>
        </w:rPr>
        <w:t xml:space="preserve">С.Ю.РАДЧЕНКО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0"/>
        </w:rPr>
        <w:t xml:space="preserve">от 29.11.2019 N 814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КВОТИРОВАНИЯ ВЫБРОСОВ ЗАГРЯЗНЯЮЩИХ ВЕЩЕСТВ (ЗА ИСКЛЮЧЕНИЕМ</w:t>
      </w:r>
    </w:p>
    <w:p>
      <w:pPr>
        <w:pStyle w:val="2"/>
        <w:jc w:val="center"/>
      </w:pPr>
      <w:r>
        <w:rPr>
          <w:sz w:val="20"/>
        </w:rPr>
        <w:t xml:space="preserve">РАДИОАКТИВНЫХ ВЕЩЕСТВ) В АТМОСФЕРНЫЙ ВОЗДУХ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Правила квотирования выбросов загрязняющих веществ (за исключением радиоактивных веществ) в атмосферный воздух (далее - Правила, квотирование выбросов, выбросы) устанавливают порядок определения и установления квот выбросов загрязняющих веществ в атмосферный воздух (далее - квоты выбросов) для объектов, оказывающих негативное воздействие на окружающую среду, на основании результатов проведения сводных расчетов загрязнения атмосферного воздуха &lt;1&gt; (далее - сводные расчеты) и оценки риска здоровью населения, в соответствии с их вкладом в концентрацию приоритетных загрязняющих веществ в атмосферном воздухе.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13" w:tooltip="Федеральный закон от 04.05.1999 N 96-ФЗ (ред. от 13.06.2023) &quot;Об охране атмосферного воздуха&quot; {КонсультантПлюс}">
        <w:r>
          <w:rPr>
            <w:sz w:val="20"/>
            <w:color w:val="0000ff"/>
          </w:rPr>
          <w:t xml:space="preserve">Статья 1</w:t>
        </w:r>
      </w:hyperlink>
      <w:r>
        <w:rPr>
          <w:sz w:val="20"/>
        </w:rPr>
        <w:t xml:space="preserve"> Федерального закона от 04.05.1999 N 96-ФЗ "Об охране атмосферного воздуха" (Собрание законодательства Российской Федерации, 1999, N 18, ст. 2222; 2019, N 30, 4097).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п. 1.2 (в ред. 28.04.2023) утрачивает силу (</w:t>
            </w:r>
            <w:hyperlink w:history="0" r:id="rId14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1.2. Настоящие Правила действуют на период проведения эксперимента по квотированию выбросов, проводимого на территориях городских округов Братска, Красноярска, Липецка, Магнитогорска, Медногорска, Нижнего Тагила, Новокузнецка, Норильска, Омска, Челябинска, Череповца и Читы в соответствии со </w:t>
      </w:r>
      <w:hyperlink w:history="0" r:id="rId15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статьями 1</w:t>
        </w:r>
      </w:hyperlink>
      <w:r>
        <w:rPr>
          <w:sz w:val="20"/>
        </w:rPr>
        <w:t xml:space="preserve"> - </w:t>
      </w:r>
      <w:hyperlink w:history="0" r:id="rId16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&lt;2&gt; (далее - эксперимент), а также на территориях городских поселений и городских округов с высоким и очень высоким загрязнением атмосферного воздуха, дополнительно отнесенных к территориям эксперимента в соответствии с </w:t>
      </w:r>
      <w:hyperlink w:history="0" r:id="rId17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частью 3 статьи 1</w:t>
        </w:r>
      </w:hyperlink>
      <w:r>
        <w:rPr>
          <w:sz w:val="20"/>
        </w:rPr>
        <w:t xml:space="preserve"> Федерального закона от 26 июля 2019 г.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(далее - территории городских поселений и городских округов, дополнительно отнесенных к территориям эксперимента).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&lt;2&gt; Собрание законодательства Российской Федерации, 2019, N 30, ст. 4097.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1.3. Для целей настоящих Правил используются понятия в значениях, определенных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bookmarkStart w:id="56" w:name="P56"/>
    <w:bookmarkEnd w:id="56"/>
    <w:p>
      <w:pPr>
        <w:pStyle w:val="2"/>
        <w:outlineLvl w:val="1"/>
        <w:jc w:val="center"/>
      </w:pPr>
      <w:r>
        <w:rPr>
          <w:sz w:val="20"/>
        </w:rPr>
        <w:t xml:space="preserve">II. Приоритеты при определении допустимых вкладов</w:t>
      </w:r>
    </w:p>
    <w:p>
      <w:pPr>
        <w:pStyle w:val="2"/>
        <w:jc w:val="center"/>
      </w:pPr>
      <w:r>
        <w:rPr>
          <w:sz w:val="20"/>
        </w:rPr>
        <w:t xml:space="preserve">в концентрацию загрязняющих веществ в атмосферном воздухе</w:t>
      </w:r>
    </w:p>
    <w:p>
      <w:pPr>
        <w:pStyle w:val="0"/>
        <w:jc w:val="both"/>
      </w:pPr>
      <w:r>
        <w:rPr>
          <w:sz w:val="20"/>
        </w:rPr>
      </w:r>
    </w:p>
    <w:bookmarkStart w:id="59" w:name="P59"/>
    <w:bookmarkEnd w:id="59"/>
    <w:p>
      <w:pPr>
        <w:pStyle w:val="0"/>
        <w:ind w:firstLine="540"/>
        <w:jc w:val="both"/>
      </w:pPr>
      <w:r>
        <w:rPr>
          <w:sz w:val="20"/>
        </w:rPr>
        <w:t xml:space="preserve">2.1. В целях учета социально-экономических факторов при квотировании выбросов для каждого объекта, для которого устанавливаются квоты выбросов (далее - квотируемые объекты), определяется его социально-экономическая значимость, которая выражается числом 1 (наименьшая значимость) или 2 (наибольшая значимость).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Значение социально-экономической значимости 2 присваивается квотируемым объектам, связанным с жизнеобеспечением населения (предназначенным для удовлетворения жизненно необходимых потребностей населения, в том числе, в продуктах питания, жилье, предметах первой необходимости, а также медицинском, санитарно-эпидемиологическом, информационном, транспортном, коммунально-бытовом обеспечении).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целях установления приоритетов для квотируемых объектов при квотировании выбросов также выполняется ранжирование квотируемых объектов в зависимости от величин суммарных концентраций загрязняющих веществ (сумм величин приземных концентраций загрязняющих веществ по всей расчетной сетке), создаваемых выбросами каждого квотируемого объекта.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Приоритет квотирования вычисляется как произведение величины значения его социально-экономической значимости, определяемого в соответствии с </w:t>
      </w:r>
      <w:hyperlink w:history="0" w:anchor="P59" w:tooltip="2.1. В целях учета социально-экономических факторов при квотировании выбросов для каждого объекта, для которого устанавливаются квоты выбросов (далее - квотируемые объекты), определяется его социально-экономическая значимость, которая выражается числом 1 (наименьшая значимость) или 2 (наибольшая значимость).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настоящих Правил, и значения его суммарной концентрации загрязняющих веществ, определяемой в соответствии с </w:t>
      </w:r>
      <w:hyperlink w:history="0" w:anchor="P61" w:tooltip="2.2. В целях установления приоритетов для квотируемых объектов при квотировании выбросов также выполняется ранжирование квотируемых объектов в зависимости от величин суммарных концентраций загрязняющих веществ (сумм величин приземных концентраций загрязняющих веществ по всей расчетной сетке), создаваемых выбросами каждого квотируемого объекта.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настоящих Правил. Если определено лишь одно из указанных значений, отсутствующее считается равным 1. Если не определены оба значения, приоритет квотирования считается равным 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Определение контрольных точек</w:t>
      </w:r>
    </w:p>
    <w:p>
      <w:pPr>
        <w:pStyle w:val="2"/>
        <w:jc w:val="center"/>
      </w:pPr>
      <w:r>
        <w:rPr>
          <w:sz w:val="20"/>
        </w:rPr>
        <w:t xml:space="preserve">для квотирования выбросов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Для определения допустимых вкладов в концентрацию приоритетных загрязняющих веществ в атмосферном воздухе для квотируемых объектов (далее - допустимый вклад в концентрацию) для каждой территории эксперимента на основании результатов сводных расчетов выбираются контрольные точки.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 контрольным точкам относятся точки территории эксперимента, в которых значения долгопериодных (среднегодовых или среднесезонных - далее средние) и/или максимальных разовых расчетных концентраций приоритетных загрязняющих веществ, полученные по результатам сводных расчетов, превышают установленные нормативы качества атмосферного воздуха (предельно допустимые концентрации загрязняющих веществ в атмосферном воздухе (далее - ПДК) для жилой застройки или 0,8 ПДК для зон с особыми условиями использования территорий, в том числе ландшафтно-рекреационных зон, зон отдыха, территорий курортов, санаториев и домов отдыха, стационарных лечебно-профилактических учреждений).</w:t>
      </w:r>
    </w:p>
    <w:bookmarkStart w:id="69" w:name="P69"/>
    <w:bookmarkEnd w:id="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 целях оптимизации расчетов допустимых вкладов в концентрацию последовательно проводится процедура исключения избыточных контрольных точек.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Контрольная точка считается избыточной, если существует другая контрольная точка, в которой для каждого источника вклады в концентрацию не меньше, чем вклады тех же источников в первой точке.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исключения избыточных контрольных точек определяется расчетная совокупность контрольных точек, в которых определяются допустимые вклады в концентрацию (далее - точки квотирования).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Расчет допустимых вкладов в концентрацию</w:t>
      </w:r>
    </w:p>
    <w:p>
      <w:pPr>
        <w:pStyle w:val="2"/>
        <w:jc w:val="center"/>
      </w:pPr>
      <w:r>
        <w:rPr>
          <w:sz w:val="20"/>
        </w:rPr>
        <w:t xml:space="preserve">в точках квотирования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Расчет допустимых вкладов в концентрацию в точках квотирования осуществляется на основе результатов проведения сводных расчетов, которые проводятся в соответствии с Правилами проведения сводных расчетов, утвержденными согласно </w:t>
      </w:r>
      <w:hyperlink w:history="0" r:id="rId19" w:tooltip="Федеральный закон от 04.05.1999 N 96-ФЗ (ред. от 13.06.2023) &quot;Об охране атмосферного воздуха&quot; {КонсультантПлюс}">
        <w:r>
          <w:rPr>
            <w:sz w:val="20"/>
            <w:color w:val="0000ff"/>
          </w:rPr>
          <w:t xml:space="preserve">статье 22.1</w:t>
        </w:r>
      </w:hyperlink>
      <w:r>
        <w:rPr>
          <w:sz w:val="20"/>
        </w:rPr>
        <w:t xml:space="preserve"> Федерального закона от 04.05.1999 N 96-ФЗ "Об охране атмосферного воздуха".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при расчетах допустимых вкладов в концентрацию и определении квот выбросов осуществляются расчеты приземных концентраций загрязняющих веществ и (или) расчеты вертикального распределения концентраций загрязняющих веществ в атмосферном воздухе, такие расчеты проводятся в соответствии с </w:t>
      </w:r>
      <w:hyperlink w:history="0" r:id="rId20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sz w:val="20"/>
            <w:color w:val="0000ff"/>
          </w:rPr>
          <w:t xml:space="preserve">Методами</w:t>
        </w:r>
      </w:hyperlink>
      <w:r>
        <w:rPr>
          <w:sz w:val="20"/>
        </w:rPr>
        <w:t xml:space="preserve"> расчетов рассеивания выбросов вредных (загрязняющих) веществ в атмосферном воздухе &lt;3&gt;.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&lt;3&gt; </w:t>
      </w:r>
      <w:hyperlink w:history="0" r:id="rId21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sz w:val="20"/>
            <w:color w:val="0000ff"/>
          </w:rPr>
          <w:t xml:space="preserve">Главы V</w:t>
        </w:r>
      </w:hyperlink>
      <w:r>
        <w:rPr>
          <w:sz w:val="20"/>
        </w:rPr>
        <w:t xml:space="preserve">, </w:t>
      </w:r>
      <w:hyperlink w:history="0" r:id="rId22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sz w:val="20"/>
            <w:color w:val="0000ff"/>
          </w:rPr>
          <w:t xml:space="preserve">IX</w:t>
        </w:r>
      </w:hyperlink>
      <w:r>
        <w:rPr>
          <w:sz w:val="20"/>
        </w:rPr>
        <w:t xml:space="preserve"> Методов расчетов рассеивания выбросов вредных (загрязняющих) веществ в атмосферном воздухе", утвержденных приказом Минприроды России от 06.06.2017 N 273 (зарегистрирован Минюстом России 10.08.2017, регистрационный N 47734).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4.2. Для оценки соответствия уровня загрязнения атмосферного воздуха гигиеническим </w:t>
      </w:r>
      <w:hyperlink w:history="0" r:id="rId23" w:tooltip="Постановление Главного государственного санитарного врача РФ от 22.12.2017 N 165 (ред. от 31.05.2018) &quot;Об утверждении гигиенических нормативов ГН 2.1.6.3492-17 &quot;Предельно допустимые концентрации (ПДК) загрязняющих веществ в атмосферном воздухе городских и сельских поселений&quot; (вместе с &quot;ГН 2.1.6.3492-17. Гигиенические нормативы...&quot;) (Зарегистрировано в Минюсте России 09.01.2018 N 49557) ------------ Утратил силу или отменен {КонсультантПлюс}">
        <w:r>
          <w:rPr>
            <w:sz w:val="20"/>
            <w:color w:val="0000ff"/>
          </w:rPr>
          <w:t xml:space="preserve">нормативам</w:t>
        </w:r>
      </w:hyperlink>
      <w:r>
        <w:rPr>
          <w:sz w:val="20"/>
        </w:rPr>
        <w:t xml:space="preserve"> используются значения предельно допустимых концентраций загрязняющих веществ в атмосферном воздухе городских и сельских поселений &lt;4&gt;. При этом максимальные разовые концентрации сопоставляются с максимальными разовыми ПДК, средние концентрации - со среднегодовыми ПДК, а при их отсутствии - со среднесуточными ПДК.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&lt;4&gt; </w:t>
      </w:r>
      <w:hyperlink w:history="0" r:id="rId24" w:tooltip="Постановление Главного государственного санитарного врача РФ от 22.12.2017 N 165 (ред. от 31.05.2018) &quot;Об утверждении гигиенических нормативов ГН 2.1.6.3492-17 &quot;Предельно допустимые концентрации (ПДК) загрязняющих веществ в атмосферном воздухе городских и сельских поселений&quot; (вместе с &quot;ГН 2.1.6.3492-17. Гигиенические нормативы...&quot;) (Зарегистрировано в Минюсте России 09.01.2018 N 49557)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22.12.2017 N 165 "Об утверждении гигиенических нормативов ГН 2.1.6.3492-17 "Предельно допустимые концентрации (ПДК) загрязняющих веществ в атмосферном воздухе городских и сельских поселений" (зарегистрировано Минюстом России 09.01.2018, регистрационный N 49557) с изменениями, внесенными постановлением Главного государственного санитарного врача Российской Федерации от 31.05.2018 N 37 (зарегистрировано Минюстом России 18.06.2018, регистрационный N 51367).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4.3. Допустимые вклады в концентрацию и квоты выбросов устанавливаются отдельно для каждого приоритетного загрязняющего вещества.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Допустимые вклады в концентрацию устанавливаются отдельно для средних и для максимальных разовых приземных концентраций загрязняющего вещества в атмосферном воздухе.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случаях, если необходимо определение концентраций загрязняющих веществ в атмосферном воздухе на высоте, превышающей 2 м от поверхности Земли, осуществляется расчет вертикального распределения концентраций загрязняющих веществ в атмосферном воздухе с учетом влияния застройки.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При расчете допустимых вкладов в концентрацию по максимальным разовым концентрациям загрязняющих веществ осуществляется пошаговая процедура уточнения допустимых вкладов в концентрацию.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расчета допустимых вкладов в концентрацию по средним концентрациям загрязняющих веществ допустимые вклады в концентрацию в точках квотирования определяются за один шаг.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Для описания расчета допустимых вкладов в концентрацию и алгоритма квотирования применяются следующие условные обозначения: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K - общее число точек квотирования (шт.);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k - номер точки квотирования;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M - общее число всех источников выбросов, выбросы от которых подлежат квотированию (шт.);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m - номер источника выбросов;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общее число квотируемых объектов, для которых определяются допустимые вклады в концентрацию (шт.);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номер квотируемого объекта;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n</w:t>
      </w:r>
      <w:r>
        <w:rPr>
          <w:sz w:val="20"/>
        </w:rPr>
        <w:t xml:space="preserve"> - приоритет квотируемого объекта n (безразмерная величина);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n(m) - номер квотируемого объекта, к которому относится m-й источник выбросов;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 - расчетное значение коэффициента изменения выбросов источника выбросов m (безразмерная величина);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L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 - нижняя граница значения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 (безразмерная величина);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расчетная концентрация загрязняющего вещества в k-й точке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Cf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величина фоновой концентрации загрязняющего вещества в этой точке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</w:t>
      </w:r>
      <w:r>
        <w:rPr>
          <w:sz w:val="20"/>
          <w:vertAlign w:val="subscript"/>
        </w:rPr>
        <w:t xml:space="preserve">k,m</w:t>
      </w:r>
      <w:r>
        <w:rPr>
          <w:sz w:val="20"/>
        </w:rPr>
        <w:t xml:space="preserve"> - вклад m-го источника выбросов в k-й точке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CI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суммарный вклад рассматриваемых источников выбросов, исключенных из квотирования в k-й точке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CS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суммарный вклад всех остальных источников выбросов, выбросы от которых первоначально не подлежали квотированию в k-й точке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Cmax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гигиенический норматив качества атмосферного воздуха для k-й точки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b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ограничение значения концентрации загрязняющего вещества в k-й точке квотирования для осуществления алгоритмов квотирования (в долях ПДК);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B</w:t>
      </w:r>
      <w:r>
        <w:rPr>
          <w:sz w:val="20"/>
          <w:vertAlign w:val="subscript"/>
        </w:rPr>
        <w:t xml:space="preserve">k,n</w:t>
      </w:r>
      <w:r>
        <w:rPr>
          <w:sz w:val="20"/>
        </w:rPr>
        <w:t xml:space="preserve"> - допустимый вклад n-го квотируемого объекта в k-й точке квотирования (в долях ПДК).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При описании алгоритма определения допустимых вкладов в концентрацию в точках квотирования принимаются следующие условия: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предполагается, что выбрано K точек квотирования для N квотируемых объектов, для которых определяются допустимые вклады в концентрацию и на которых расположено в целом M источников выбросов;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если для источника выбросов, выбросы от которого подлежат квотированию, установлены технологические или иные ограничения на изменение (уменьшение) его выбросов, это отражается введением нижней L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 границы для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; при этом для источников выбросов производств, включенных в перечень областей применения наилучших доступных технологий (далее - НДТ), L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 устанавливаются с учетом технологических показателей НДТ, утвержденных в соответствии с законодательством в области охраны окружающей среды;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предполагается, что вся нумерация последовательная; соответственно порядковый номер каждой точки квотирования k находится в диапазоне 1, 2.., K, каждого квотируемого объекта n - в диапазоне 1, 2.., N, каждого источника выбросов m - в диапазоне 1, 2.., M.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Алгоритм определения допустимых вкладов в концентрацию в точках квотирования предусматривает выполнение следующих действий.</w:t>
      </w:r>
    </w:p>
    <w:bookmarkStart w:id="114" w:name="P114"/>
    <w:bookmarkEnd w:id="11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4.8.1. Для каждой из точек квотирования k определяются величины C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, Cf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, CS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., и все вклады в концентрацию в этой точке квотирования для каждого из источников выбросов, выбросы от которого подлежат квотированию, {C</w:t>
      </w:r>
      <w:r>
        <w:rPr>
          <w:sz w:val="20"/>
          <w:vertAlign w:val="subscript"/>
        </w:rPr>
        <w:t xml:space="preserve">k, m</w:t>
      </w:r>
      <w:r>
        <w:rPr>
          <w:sz w:val="20"/>
        </w:rPr>
        <w:t xml:space="preserve">}.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Первоначальное значение CI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устанавливается равным нулю.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Далее для каждого источника выбросов m, выбросы от которого подлежат квотированию, последовательно проверяется выполнение условия (1):</w:t>
      </w:r>
    </w:p>
    <w:p>
      <w:pPr>
        <w:pStyle w:val="0"/>
        <w:jc w:val="both"/>
      </w:pPr>
      <w:r>
        <w:rPr>
          <w:sz w:val="20"/>
        </w:rPr>
      </w:r>
    </w:p>
    <w:bookmarkStart w:id="118" w:name="P118"/>
    <w:bookmarkEnd w:id="118"/>
    <w:p>
      <w:pPr>
        <w:pStyle w:val="0"/>
        <w:jc w:val="center"/>
      </w:pPr>
      <w:r>
        <w:rPr>
          <w:sz w:val="20"/>
        </w:rPr>
        <w:t xml:space="preserve">C</w:t>
      </w:r>
      <w:r>
        <w:rPr>
          <w:sz w:val="20"/>
          <w:vertAlign w:val="subscript"/>
        </w:rPr>
        <w:t xml:space="preserve">k, m</w:t>
      </w:r>
      <w:r>
        <w:rPr>
          <w:sz w:val="20"/>
        </w:rPr>
        <w:t xml:space="preserve"> &lt; 0.01 (C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Cf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CS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) (1)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Если для источника выбросов m, выбросы от которого подлежат квотированию, </w:t>
      </w:r>
      <w:hyperlink w:history="0" w:anchor="P118" w:tooltip="Ck, m &lt; 0.01 (Ck - Cfk - CSk) (1)">
        <w:r>
          <w:rPr>
            <w:sz w:val="20"/>
            <w:color w:val="0000ff"/>
          </w:rPr>
          <w:t xml:space="preserve">условие (1)</w:t>
        </w:r>
      </w:hyperlink>
      <w:r>
        <w:rPr>
          <w:sz w:val="20"/>
        </w:rPr>
        <w:t xml:space="preserve"> выполняется, то этот источник выбросов исключается из квотирования в этой точке квотирования, и суммарный вклад таких источников в k-й точке квотирования увеличивается на величину C</w:t>
      </w:r>
      <w:r>
        <w:rPr>
          <w:sz w:val="20"/>
          <w:vertAlign w:val="subscript"/>
        </w:rPr>
        <w:t xml:space="preserve">k,m</w:t>
      </w:r>
      <w:r>
        <w:rPr>
          <w:sz w:val="20"/>
        </w:rPr>
        <w:t xml:space="preserve"> согласно формуле (2):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CI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= CI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+ C</w:t>
      </w:r>
      <w:r>
        <w:rPr>
          <w:sz w:val="20"/>
          <w:vertAlign w:val="subscript"/>
        </w:rPr>
        <w:t xml:space="preserve">k, m</w:t>
      </w:r>
      <w:r>
        <w:rPr>
          <w:sz w:val="20"/>
        </w:rPr>
        <w:t xml:space="preserve"> (2)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После проверки выполнения </w:t>
      </w:r>
      <w:hyperlink w:history="0" w:anchor="P118" w:tooltip="Ck, m &lt; 0.01 (Ck - Cfk - CSk) (1)">
        <w:r>
          <w:rPr>
            <w:sz w:val="20"/>
            <w:color w:val="0000ff"/>
          </w:rPr>
          <w:t xml:space="preserve">условия (1)</w:t>
        </w:r>
      </w:hyperlink>
      <w:r>
        <w:rPr>
          <w:sz w:val="20"/>
        </w:rPr>
        <w:t xml:space="preserve"> для всех источников выбросов для начала работы алгоритма квотирования для точки квотирования k устанавливается начальное значение квоты приземной концентрации загрязняющего вещества согласно формуле (3):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b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= Cmax</w:t>
      </w:r>
      <w:r>
        <w:rPr>
          <w:sz w:val="20"/>
          <w:vertAlign w:val="subscript"/>
        </w:rPr>
        <w:t xml:space="preserve">k-</w:t>
      </w:r>
      <w:r>
        <w:rPr>
          <w:sz w:val="20"/>
        </w:rPr>
        <w:t xml:space="preserve"> - Cf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CS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- CI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(3)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4.8.2. Результаты расчетов b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для всех точек квотирования оформляются в виде вектора-столбца (матрицы размера k x 1), где нумерация строк соответствует нумерации точек квотирования.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4.8.3. Результаты расчетов вкладов в концентрацию в точках квотирования для всей совокупности точек квотирования и для всех источников выбросов, выбросы от которых подлежат квотированию, оформляются в виде матрицы размерности k x m из значений C</w:t>
      </w:r>
      <w:r>
        <w:rPr>
          <w:sz w:val="20"/>
          <w:vertAlign w:val="subscript"/>
        </w:rPr>
        <w:t xml:space="preserve">k,m</w:t>
      </w:r>
      <w:r>
        <w:rPr>
          <w:sz w:val="20"/>
        </w:rPr>
        <w:t xml:space="preserve">, где нумерация строк соответствует нумерации точек квотирования, а нумерация столбцов соответствует нумерации источников выбросов. Если источник выбросов исключен из квотирования расчетным путем согласно </w:t>
      </w:r>
      <w:hyperlink w:history="0" w:anchor="P118" w:tooltip="Ck, m &lt; 0.01 (Ck - Cfk - CSk) (1)">
        <w:r>
          <w:rPr>
            <w:sz w:val="20"/>
            <w:color w:val="0000ff"/>
          </w:rPr>
          <w:t xml:space="preserve">условию (1)</w:t>
        </w:r>
      </w:hyperlink>
      <w:r>
        <w:rPr>
          <w:sz w:val="20"/>
        </w:rPr>
        <w:t xml:space="preserve">, то соответствующее значение элемента этой матрицы принимается равным нулю.</w:t>
      </w:r>
    </w:p>
    <w:bookmarkStart w:id="130" w:name="P130"/>
    <w:bookmarkEnd w:id="13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4.8.4. Для определения допустимых вкладов в концентрацию в точках квотирования решается задача оптимизации (4) - (5) относительно переменных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, на которые затем умножаются значения выбросов m-го источника выбросов.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"/>
        </w:rPr>
        <w:drawing>
          <wp:inline distT="0" distB="0" distL="0" distR="0">
            <wp:extent cx="1356360" cy="4464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3"/>
        </w:rPr>
        <w:drawing>
          <wp:inline distT="0" distB="0" distL="0" distR="0">
            <wp:extent cx="2453640" cy="2927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Оптимизационная задача решается с помощью методов нелинейного программирования.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предварительно были установлены ограничения на возможные изменения выбросов m-го источника выбросов в связи с введением ограничений величины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, для решения задачи оптимизации дополнительно требуется выполнение условия (6):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8"/>
        </w:rPr>
        <w:drawing>
          <wp:inline distT="0" distB="0" distL="0" distR="0">
            <wp:extent cx="1828800" cy="228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bookmarkStart w:id="141" w:name="P141"/>
    <w:bookmarkEnd w:id="141"/>
    <w:p>
      <w:pPr>
        <w:pStyle w:val="0"/>
        <w:ind w:firstLine="540"/>
        <w:jc w:val="both"/>
      </w:pPr>
      <w:r>
        <w:rPr>
          <w:sz w:val="20"/>
        </w:rPr>
        <w:t xml:space="preserve">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</w:t>
      </w:r>
      <w:hyperlink w:history="0" w:anchor="P130" w:tooltip="4.8.4. Для определения допустимых вкладов в концентрацию в точках квотирования решается задача оптимизации (4) - (5) относительно переменных qm, на которые затем умножаются значения выбросов m-го источника выбросов.">
        <w:r>
          <w:rPr>
            <w:sz w:val="20"/>
            <w:color w:val="0000ff"/>
          </w:rPr>
          <w:t xml:space="preserve">пунктом 4.8.4</w:t>
        </w:r>
      </w:hyperlink>
      <w:r>
        <w:rPr>
          <w:sz w:val="20"/>
        </w:rPr>
        <w:t xml:space="preserve"> настоящих Правил проводятся новые расчеты максимальной приземной концентрации загрязняющего вещества C</w:t>
      </w:r>
      <w:r>
        <w:rPr>
          <w:sz w:val="20"/>
          <w:vertAlign w:val="subscript"/>
        </w:rPr>
        <w:t xml:space="preserve">k</w:t>
      </w:r>
      <w:r>
        <w:rPr>
          <w:sz w:val="20"/>
        </w:rPr>
        <w:t xml:space="preserve"> для всех точек квотирования. Для каждой точки квотирования k проверяется условие (7):</w:t>
      </w:r>
    </w:p>
    <w:p>
      <w:pPr>
        <w:pStyle w:val="0"/>
        <w:jc w:val="both"/>
      </w:pPr>
      <w:r>
        <w:rPr>
          <w:sz w:val="20"/>
        </w:rPr>
      </w:r>
    </w:p>
    <w:bookmarkStart w:id="143" w:name="P143"/>
    <w:bookmarkEnd w:id="143"/>
    <w:p>
      <w:pPr>
        <w:pStyle w:val="0"/>
        <w:jc w:val="center"/>
      </w:pPr>
      <w:r>
        <w:rPr>
          <w:position w:val="-8"/>
        </w:rPr>
        <w:drawing>
          <wp:inline distT="0" distB="0" distL="0" distR="0">
            <wp:extent cx="1043940" cy="228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Если </w:t>
      </w:r>
      <w:hyperlink w:history="0" w:anchor="P143" w:tooltip="Ссылка на текущий документ">
        <w:r>
          <w:rPr>
            <w:sz w:val="20"/>
            <w:color w:val="0000ff"/>
          </w:rPr>
          <w:t xml:space="preserve">условие (7)</w:t>
        </w:r>
      </w:hyperlink>
      <w:r>
        <w:rPr>
          <w:sz w:val="20"/>
        </w:rPr>
        <w:t xml:space="preserve"> не выполняется для какой-либо точки квотирования, из таких точек составляется новая совокупность точек квотирования. После проведения процедуры исключения избыточных точек квотирования, описанной в </w:t>
      </w:r>
      <w:hyperlink w:history="0" w:anchor="P69" w:tooltip="3.3. В целях оптимизации расчетов допустимых вкладов в концентрацию последовательно проводится процедура исключения избыточных контрольных точек.">
        <w:r>
          <w:rPr>
            <w:sz w:val="20"/>
            <w:color w:val="0000ff"/>
          </w:rPr>
          <w:t xml:space="preserve">пункте 3.3</w:t>
        </w:r>
      </w:hyperlink>
      <w:r>
        <w:rPr>
          <w:sz w:val="20"/>
        </w:rPr>
        <w:t xml:space="preserve"> настоящих Правил, для указанной совокупности точек квотирования повторяется процедура, описанная в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0"/>
            <w:color w:val="0000ff"/>
          </w:rPr>
          <w:t xml:space="preserve">пунктах 4.8.1</w:t>
        </w:r>
      </w:hyperlink>
      <w:r>
        <w:rPr>
          <w:sz w:val="20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0"/>
            <w:color w:val="0000ff"/>
          </w:rPr>
          <w:t xml:space="preserve">4.8.5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</w:t>
      </w:r>
      <w:hyperlink w:history="0" w:anchor="P143" w:tooltip="Ссылка на текущий документ">
        <w:r>
          <w:rPr>
            <w:sz w:val="20"/>
            <w:color w:val="0000ff"/>
          </w:rPr>
          <w:t xml:space="preserve">условие (7)</w:t>
        </w:r>
      </w:hyperlink>
      <w:r>
        <w:rPr>
          <w:sz w:val="20"/>
        </w:rPr>
        <w:t xml:space="preserve"> выполняется для всех точек квотирования, квотирование на этом завершается.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4.8.6. После решения задачи оптимизации, выбросы m-го источника выбросов умножаются на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. Допустимый вклад B</w:t>
      </w:r>
      <w:r>
        <w:rPr>
          <w:sz w:val="20"/>
          <w:vertAlign w:val="subscript"/>
        </w:rPr>
        <w:t xml:space="preserve">k,n</w:t>
      </w:r>
      <w:r>
        <w:rPr>
          <w:sz w:val="20"/>
        </w:rPr>
        <w:t xml:space="preserve"> n-го квотируемого объекта в k-й точке квотирования для данного объекта вычисляется по формуле (8):</w:t>
      </w:r>
    </w:p>
    <w:p>
      <w:pPr>
        <w:pStyle w:val="0"/>
        <w:jc w:val="both"/>
      </w:pPr>
      <w:r>
        <w:rPr>
          <w:sz w:val="20"/>
        </w:rPr>
      </w:r>
    </w:p>
    <w:bookmarkStart w:id="149" w:name="P149"/>
    <w:bookmarkEnd w:id="149"/>
    <w:p>
      <w:pPr>
        <w:pStyle w:val="0"/>
        <w:jc w:val="center"/>
      </w:pPr>
      <w:r>
        <w:rPr>
          <w:position w:val="-19"/>
        </w:rPr>
        <w:drawing>
          <wp:inline distT="0" distB="0" distL="0" distR="0">
            <wp:extent cx="1463040" cy="3695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 I</w:t>
      </w:r>
      <w:r>
        <w:rPr>
          <w:sz w:val="20"/>
          <w:vertAlign w:val="subscript"/>
        </w:rPr>
        <w:t xml:space="preserve">n</w:t>
      </w:r>
      <w:r>
        <w:rPr>
          <w:sz w:val="20"/>
        </w:rPr>
        <w:t xml:space="preserve"> - совокупность индексов источников выбросов, принадлежащих n-му квотируемому объекту.</w:t>
      </w:r>
    </w:p>
    <w:bookmarkStart w:id="152" w:name="P152"/>
    <w:bookmarkEnd w:id="1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4.8.7. Допустимые вклады рассчитываются по </w:t>
      </w:r>
      <w:hyperlink w:history="0" w:anchor="P149" w:tooltip="Ссылка на текущий документ">
        <w:r>
          <w:rPr>
            <w:sz w:val="20"/>
            <w:color w:val="0000ff"/>
          </w:rPr>
          <w:t xml:space="preserve">формуле (8)</w:t>
        </w:r>
      </w:hyperlink>
      <w:r>
        <w:rPr>
          <w:sz w:val="20"/>
        </w:rPr>
        <w:t xml:space="preserve"> для тех квотируемых объектов, для источников которых производилось уменьшение выбросов при выполнении расчетов в соответствии с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0"/>
            <w:color w:val="0000ff"/>
          </w:rPr>
          <w:t xml:space="preserve">п. 4.8.1</w:t>
        </w:r>
      </w:hyperlink>
      <w:r>
        <w:rPr>
          <w:sz w:val="20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0"/>
            <w:color w:val="0000ff"/>
          </w:rPr>
          <w:t xml:space="preserve">4.8.5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Установление квот выбросов</w:t>
      </w:r>
    </w:p>
    <w:p>
      <w:pPr>
        <w:pStyle w:val="0"/>
        <w:jc w:val="both"/>
      </w:pPr>
      <w:r>
        <w:rPr>
          <w:sz w:val="20"/>
        </w:rPr>
      </w:r>
    </w:p>
    <w:bookmarkStart w:id="156" w:name="P156"/>
    <w:bookmarkEnd w:id="156"/>
    <w:p>
      <w:pPr>
        <w:pStyle w:val="0"/>
        <w:ind w:firstLine="540"/>
        <w:jc w:val="both"/>
      </w:pPr>
      <w:r>
        <w:rPr>
          <w:sz w:val="20"/>
        </w:rPr>
        <w:t xml:space="preserve">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&lt;5&gt; </w:t>
      </w:r>
      <w:hyperlink w:history="0" r:id="rId30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Статья 3</w:t>
        </w:r>
      </w:hyperlink>
      <w:r>
        <w:rPr>
          <w:sz w:val="20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абз. 3,4 п. 5.1 утрачивают силу (</w:t>
            </w:r>
            <w:hyperlink w:history="0" r:id="rId31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абз. 2 п. 5.1 (в ред. 28.04.2023) утрачивает силу (</w:t>
            </w:r>
            <w:hyperlink w:history="0" r:id="rId32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64" w:name="P164"/>
    <w:bookmarkEnd w:id="164"/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(для квотируемых объектов, на которых осуществлялась хозяйственная и (или) иная деятельность в 2017 году) &lt;6&gt;. В таком случае значения квот выбросов определяются исходя из необходимости снижения не менее чем на 20% совокупной массы выбросов приоритетных загрязняющих веществ квотируемого объекта в целом (с учетом снижения выбросов приоритетных загрязняющих веществ, по которым установлены квоты на основе определения допустимых вкладов в концентрацию) по отношению к его фактическим выбросам приоритетных загрязняющих веществ в 2017 году с учетом приоритетов, установленных в соответствии с </w:t>
      </w:r>
      <w:hyperlink w:history="0" w:anchor="P56" w:tooltip="II. Приоритеты при определении допустимых вкладов">
        <w:r>
          <w:rPr>
            <w:sz w:val="20"/>
            <w:color w:val="0000ff"/>
          </w:rPr>
          <w:t xml:space="preserve">главой II</w:t>
        </w:r>
      </w:hyperlink>
      <w:r>
        <w:rPr>
          <w:sz w:val="20"/>
        </w:rPr>
        <w:t xml:space="preserve"> настоящих Правил, и предложений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подготовленных в соответствии с </w:t>
      </w:r>
      <w:hyperlink w:history="0" w:anchor="P194" w:tooltip="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...">
        <w:r>
          <w:rPr>
            <w:sz w:val="20"/>
            <w:color w:val="0000ff"/>
          </w:rPr>
          <w:t xml:space="preserve">пунктом 6.2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&lt;6&gt; </w:t>
      </w:r>
      <w:hyperlink w:history="0" r:id="rId34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Подпункт "а" пункта 7</w:t>
        </w:r>
      </w:hyperlink>
      <w:r>
        <w:rPr>
          <w:sz w:val="20"/>
        </w:rPr>
        <w:t xml:space="preserve"> Указа Президента Российской Федерации от 07.05.2018 N 204 "О национальных целях и стратегических задачах развития Российской Федерации на период до 2024 года" (Собрание законодательства Российской Федерации, 2018, N 20, ст. 2817, N 30, ст. 4717).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9" w:name="P169"/>
    <w:bookmarkEnd w:id="169"/>
    <w:p>
      <w:pPr>
        <w:pStyle w:val="0"/>
        <w:ind w:firstLine="540"/>
        <w:jc w:val="both"/>
      </w:pPr>
      <w:r>
        <w:rPr>
          <w:sz w:val="20"/>
        </w:rPr>
        <w:t xml:space="preserve">На территориях городских поселений и городских округов, дополнительно отнесенных к территориям эксперимента,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&lt;6.1&gt;. В таком случае значения квот выбросов определяются исходя из необходимости снижения в два раза совокупной массы выбросов приоритетных загрязняющих веществ квотируемого объекта в целом (с учетом снижения выбросов приоритетных загрязняющих веществ, по которым установлены квоты на основе определения допустимых вкладов в концентрацию) по отношению к его фактическим выбросам приоритетных загрязняющих веществ в 2020 году с учетом приоритетов, установленных в соответствии с </w:t>
      </w:r>
      <w:hyperlink w:history="0" w:anchor="P56" w:tooltip="II. Приоритеты при определении допустимых вкладов">
        <w:r>
          <w:rPr>
            <w:sz w:val="20"/>
            <w:color w:val="0000ff"/>
          </w:rPr>
          <w:t xml:space="preserve">главой II</w:t>
        </w:r>
      </w:hyperlink>
      <w:r>
        <w:rPr>
          <w:sz w:val="20"/>
        </w:rPr>
        <w:t xml:space="preserve"> настоящих Правил, и предложений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подготовленных в соответствии с </w:t>
      </w:r>
      <w:hyperlink w:history="0" w:anchor="P194" w:tooltip="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...">
        <w:r>
          <w:rPr>
            <w:sz w:val="20"/>
            <w:color w:val="0000ff"/>
          </w:rPr>
          <w:t xml:space="preserve">пунктом 6.2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5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сноска 6.1 утрачивает силу (</w:t>
            </w:r>
            <w:hyperlink w:history="0" r:id="rId36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&lt;6.1&gt; </w:t>
      </w:r>
      <w:hyperlink w:history="0" r:id="rId37" w:tooltip="Указ Президента РФ от 21.07.2020 N 474 &quot;О национальных целях развития Российской Федерации на период до 2030 года&quot; {КонсультантПлюс}">
        <w:r>
          <w:rPr>
            <w:sz w:val="20"/>
            <w:color w:val="0000ff"/>
          </w:rPr>
          <w:t xml:space="preserve">Абзац шестой подпункта "в" пункта 2</w:t>
        </w:r>
      </w:hyperlink>
      <w:r>
        <w:rPr>
          <w:sz w:val="20"/>
        </w:rPr>
        <w:t xml:space="preserve"> Указа Президента Российской Федерации от 21 июля 2020 г. N 474 "О национальных целях развития Российской Федерации на период до 2030 года".</w:t>
      </w:r>
    </w:p>
    <w:p>
      <w:pPr>
        <w:pStyle w:val="0"/>
        <w:jc w:val="both"/>
      </w:pPr>
      <w:r>
        <w:rPr>
          <w:sz w:val="20"/>
        </w:rPr>
        <w:t xml:space="preserve">(сноска введена </w:t>
      </w:r>
      <w:hyperlink w:history="0" r:id="rId38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случае, если юридическое лицо или индивидуальный предприниматель осуществляет хозяйственную и (или) иную деятельность на двух и более квотируемых объектах, расположенных в границах одной территории эксперимента, допускается установление квот выбросов для совокупности таких квотируемых объектов.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9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Квотируемыми объектами являются объекты, оказывающие негативное воздействие на окружающую среду и создающие риски для здоровья человека, в том числе объекты коммунальной, транспортной, социальной инфраструктур, для которых в соответствии с </w:t>
      </w:r>
      <w:hyperlink w:history="0" w:anchor="P152" w:tooltip="4.8.7. Допустимые вклады рассчитываются по формуле (8) для тех квотируемых объектов, для источников которых производилось уменьшение выбросов при выполнении расчетов в соответствии с п. 4.8.1 - 4.8.5.">
        <w:r>
          <w:rPr>
            <w:sz w:val="20"/>
            <w:color w:val="0000ff"/>
          </w:rPr>
          <w:t xml:space="preserve">пунктом 4.8.7</w:t>
        </w:r>
      </w:hyperlink>
      <w:r>
        <w:rPr>
          <w:sz w:val="20"/>
        </w:rPr>
        <w:t xml:space="preserve"> настоящих Правил требуется уменьшение их вкладов в концентрации загрязняющих веществ.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Квоты выбросов устанавливаются по каждому приоритетному загрязняющему веществу для совокупности источников выбросов квотируемого объекта (квотируемого объекта в целом).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На основе расчетов допустимых вкладов в максимальные разовые концентрации устанавливаются квоты максимальных разовых выбросов (г/с), на основе расчетов допустимых вкладов в средние концентрации - квоты валовых (годовых) выбросов (т/год).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Квоты выбросов устанавливаются с обязательным указанием параметров источников выбросов, таких как высота и диаметр (размеры) устья источника выбросов, его расположение, скорость и температура выхода газовоздушной смеси. Недопустимо установление квот выбросов как ограничения только величины максимально разовых (г/с) или валовых (годовых) (т/год) выбросов конкретного приоритетного загрязняющего вещества без указания параметров источников выбросов.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В качестве ориентировочного значения квоты выбросов источника выбросов, соответствующего допустимому вкладу в концентрацию квотируемого объекта, используется значение его выбросов на существующее положение (до выполнения квотирования в соответствии с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0"/>
            <w:color w:val="0000ff"/>
          </w:rPr>
          <w:t xml:space="preserve">пунктами 4.8.1</w:t>
        </w:r>
      </w:hyperlink>
      <w:r>
        <w:rPr>
          <w:sz w:val="20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0"/>
            <w:color w:val="0000ff"/>
          </w:rPr>
          <w:t xml:space="preserve">4.8.5</w:t>
        </w:r>
      </w:hyperlink>
      <w:r>
        <w:rPr>
          <w:sz w:val="20"/>
        </w:rPr>
        <w:t xml:space="preserve"> настоящих Правил), умноженное на определенную в процессе расчетов допустимых вкладов величину q</w:t>
      </w:r>
      <w:r>
        <w:rPr>
          <w:sz w:val="20"/>
          <w:vertAlign w:val="subscript"/>
        </w:rPr>
        <w:t xml:space="preserve">m</w:t>
      </w:r>
      <w:r>
        <w:rPr>
          <w:sz w:val="20"/>
        </w:rPr>
        <w:t xml:space="preserve">. Это значение квоты выбросов может быть впоследствии скорректировано с учетом конкретных планируемых к внедрению технологий или природоохранных мероприятий на квотируемом объекте.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В качестве окончательных значений квот выбросов источников выбросов для квотируемого объекта допускается устанавливать только те значения, при которых его воздействие на загрязнение атмосферного воздуха не превышает его допустимый вклад в концентрацию в каждой точке квотирования. Для этого проводятся оценочные расчеты максимальных разовых и средних концентраций загрязняющих веществ с использованием скорректированных с учетом квотирования значений выбросов и технологических параметров источников выбросов конкретного квотируемого объекта.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Квотирование выбросов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п. 6.1 (в ред. 28.04.2023) утрачивает силу (</w:t>
            </w:r>
            <w:hyperlink w:history="0" r:id="rId40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6.1. Федеральный орган исполнительной власти, уполномоченный Правительством Российской Федерации на осуществление федерального государственного экологического контроля (надзора) в соответствии с </w:t>
      </w:r>
      <w:hyperlink w:history="0" r:id="rId41" w:tooltip="Федеральный закон от 10.01.2002 N 7-ФЗ (ред. от 25.12.2023) &quot;Об охране окружающей среды&quot; (с изм. и доп., вступ. в силу с 01.03.2024) {КонсультантПлюс}">
        <w:r>
          <w:rPr>
            <w:sz w:val="20"/>
            <w:color w:val="0000ff"/>
          </w:rPr>
          <w:t xml:space="preserve">пунктом 1 статьи 65</w:t>
        </w:r>
      </w:hyperlink>
      <w:r>
        <w:rPr>
          <w:sz w:val="20"/>
        </w:rPr>
        <w:t xml:space="preserve"> Федерального закона от 10 января 2002 г. N 7-ФЗ "Об охране окружающей среды" (далее - федеральный орган исполнительной власти, уполномоченный на осуществление федерального государственного экологического контроля (надзора), 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об определенных для данных квотируемых объектов допустимых вкладах в концентрацию и необходимости снижения совокупной массы выбросов приоритетных загрязняющих веществ с учетом целевых показателей снижения выбросов.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п. 6.2 (в ред. 28.04.2023) утрачивает силу (</w:t>
            </w:r>
            <w:hyperlink w:history="0" r:id="rId43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94" w:name="P194"/>
    <w:bookmarkEnd w:id="194"/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способом, позволяющим обеспечить подтверждение направления и получения таких предложений:</w:t>
      </w:r>
    </w:p>
    <w:bookmarkStart w:id="195" w:name="P195"/>
    <w:bookmarkEnd w:id="1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снижения совокупной массы выбросов приоритетных загрязняющих веществ не менее чем на 20% с учетом положений </w:t>
      </w:r>
      <w:hyperlink w:history="0" w:anchor="P156" w:tooltip="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">
        <w:r>
          <w:rPr>
            <w:sz w:val="20"/>
            <w:color w:val="0000ff"/>
          </w:rPr>
          <w:t xml:space="preserve">пункта 5.1</w:t>
        </w:r>
      </w:hyperlink>
      <w:r>
        <w:rPr>
          <w:sz w:val="20"/>
        </w:rPr>
        <w:t xml:space="preserve"> настоящих Правил;</w:t>
      </w:r>
    </w:p>
    <w:bookmarkStart w:id="196" w:name="P196"/>
    <w:bookmarkEnd w:id="19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снижения в два раза совокупной массы выбросов приоритетных загрязняющих веществ квотируемого объекта с учетом положений </w:t>
      </w:r>
      <w:hyperlink w:history="0" w:anchor="P156" w:tooltip="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">
        <w:r>
          <w:rPr>
            <w:sz w:val="20"/>
            <w:color w:val="0000ff"/>
          </w:rPr>
          <w:t xml:space="preserve">пункта 5.1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Предложенные юридическими лицами и индивидуальными предпринимателями, осуществляющими хозяйственную и (или) иную деятельность на квотируемых объектах на территориях эксперимента, квоты выбросов для квотируемых объектов должны обеспечивать непревышение определенных в соответствии с </w:t>
      </w:r>
      <w:hyperlink w:history="0" r:id="rId44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пунктом 3 части 3 статьи 4</w:t>
        </w:r>
      </w:hyperlink>
      <w:r>
        <w:rPr>
          <w:sz w:val="20"/>
        </w:rPr>
        <w:t xml:space="preserve"> Федерального закона от 26 июля 2019 г.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для таких объектов допустимых вкладов в концентрацию и (или) снижение совокупной массы выбросов приоритетных загрязняющих веществ с учетом требований, установленных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0"/>
            <w:color w:val="0000ff"/>
          </w:rPr>
          <w:t xml:space="preserve">третьим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jc w:val="both"/>
      </w:pPr>
      <w:r>
        <w:rPr>
          <w:sz w:val="20"/>
        </w:rPr>
        <w:t xml:space="preserve">(п. 6.2 в ред. </w:t>
      </w:r>
      <w:hyperlink w:history="0" r:id="rId45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п. 6.3 (в ред. 28.04.2023) утрачивает силу (</w:t>
            </w:r>
            <w:hyperlink w:history="0" r:id="rId46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6.3.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15 рабочих дней со дня регистрации предложений по квотам выбросов, поступивших от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рассматривает представленные предложения по квотам выбросов и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издает приказ об установлении для квотируемых объектов и источников выбросов, расположенных на их территории, квот выбросов с учетом представленных предложений и уведомляет об установленных квотах выбросов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любым доступным способом, позволяющим обеспечить подтверждение направления и получения такого уведомления;</w:t>
      </w:r>
    </w:p>
    <w:bookmarkStart w:id="203" w:name="P203"/>
    <w:bookmarkEnd w:id="2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 несоответствии предложений по квотам выбросов требованиям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0"/>
            <w:color w:val="0000ff"/>
          </w:rPr>
          <w:t xml:space="preserve">абзацев второго</w:t>
        </w:r>
      </w:hyperlink>
      <w:r>
        <w:rPr>
          <w:sz w:val="20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0"/>
            <w:color w:val="0000ff"/>
          </w:rPr>
          <w:t xml:space="preserve">третьего пункта 6.2</w:t>
        </w:r>
      </w:hyperlink>
      <w:r>
        <w:rPr>
          <w:sz w:val="20"/>
        </w:rPr>
        <w:t xml:space="preserve"> настоящих Правил с мотивированным обоснованием указанного несоответствия любым доступным способом, позволяющим обеспечить подтверждение направления и получения такого уведомления, и предлагает уточнить квоты выбросов в течение 10 рабочих дней с даты его получения.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повторного поступления от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предложений по квотам выбросов, не соответствующих требованиям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0"/>
            <w:color w:val="0000ff"/>
          </w:rPr>
          <w:t xml:space="preserve">абзацев второго</w:t>
        </w:r>
      </w:hyperlink>
      <w:r>
        <w:rPr>
          <w:sz w:val="20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0"/>
            <w:color w:val="0000ff"/>
          </w:rPr>
          <w:t xml:space="preserve">третьего пункта 6.2</w:t>
        </w:r>
      </w:hyperlink>
      <w:r>
        <w:rPr>
          <w:sz w:val="20"/>
        </w:rPr>
        <w:t xml:space="preserve"> настоящих Правил либо непредставления уточненных квот выбросов в срок, предусмотренный </w:t>
      </w:r>
      <w:hyperlink w:history="0" w:anchor="P203" w:tooltip="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 несоответствии предложений по квотам выбросов требованиям абзацев второго и третьего пункта 6.2 настоящих Правил с мотивированным обоснованием указанного несоответствия любым доступным способом, позволяющим обеспечить подтверждение направления и получения такого уведомления, и предлагает уточнить квоты выбросов в течение 10 рабочих дне...">
        <w:r>
          <w:rPr>
            <w:sz w:val="20"/>
            <w:color w:val="0000ff"/>
          </w:rPr>
          <w:t xml:space="preserve">абзацем третьим</w:t>
        </w:r>
      </w:hyperlink>
      <w:r>
        <w:rPr>
          <w:sz w:val="20"/>
        </w:rPr>
        <w:t xml:space="preserve"> настоящего пункта, а также непредставления в течение 60 дней со дня направления письменного уведомления юридическому лицу и индивидуальному предпринимателю, осуществляющему хозяйственную и (или) иную деятельность на квотируемых объектах на территориях эксперимента, об определенных для данных квотируемых объектов допустимых вкладах в концентрацию, предложений по квотам выбросов, федеральный орган исполнительной власти, уполномоченный на осуществление федерального государственного экологического контроля (надзора), издает приказ об установлении для квотируемых объектов и источников выбросов, расположенных на их территории, квот выбросов исходя из допустимых вкладов в концентрацию и целевых показателей снижения выбросов по каждому приоритетному загрязняющему веществу, за исключением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для которых квоты выбросов устанавливаются в соответствии с </w:t>
      </w:r>
      <w:hyperlink w:history="0" w:anchor="P164" w:tooltip="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(для квотируемых объектов, на которых осуществлялась хозяйственная и (или) иная деятельнос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169" w:tooltip="На территориях городских поселений и городских округов, дополнительно отнесенных к территориям эксперимента,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&lt;6.1&gt;. В таком случае значения квот выбросов определяются исходя из необходимости снижения в два раза совокупной массы выбросов приоритетны...">
        <w:r>
          <w:rPr>
            <w:sz w:val="20"/>
            <w:color w:val="0000ff"/>
          </w:rPr>
          <w:t xml:space="preserve">третьим пункта 5.1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(п. 6.3 в ред. </w:t>
      </w:r>
      <w:hyperlink w:history="0" r:id="rId47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абз. 1 п. 6.4 (в ред. 28.04.2023) утрачивает силу (</w:t>
            </w:r>
            <w:hyperlink w:history="0" r:id="rId48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6.4. Уполномоченный орган субъекта Российской Федерации, в срок, не превышающий трех месяцев со дня установления квот выбросов, в целях их достижения разрабатывает и направляет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в отношении мероприятий, направленных на снижение выбросов на квотируемых объектах, относящихся к объектам коммунальной, транспортной, социальной инфраструктур.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Указанные предложения учитываются при подготовке корректировки комплексных планов мероприятий по снижению выбросов загрязняющих веществ в атмосферный воздух для городов - участников эксперимента по квотированию выбросов.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6.5. Юридические лица и индивидуальные предприниматели, осуществляющие хозяйственную и (или) иную деятельность на квотируемых объектах, в срок, не превышающий трех месяцев со дня получения уведомления об установленных квотах выбросов, в случае невозможности их соблюдения разрабатывают планы мероприятий по достижению установленных квот выбросов и направляют такие планы на согласование в межведомственный совет по проведению эксперимента, создаваемый при федеральном органе исполнительной власти, осуществляющем функции по выработке государственной политики и нормативно-правовому регулированию в сфере охраны окружающей среды &lt;7&gt;.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&lt;7&gt; </w:t>
      </w:r>
      <w:hyperlink w:history="0" r:id="rId50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Пункт 2 статьи 5</w:t>
        </w:r>
      </w:hyperlink>
      <w:r>
        <w:rPr>
          <w:sz w:val="20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Указанные планы рассматриваются межведомственным советом по проведению эксперимента в срок, не превышающий 31 рабочий день.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Рекомендуемая форма предоставления и перечень документов, необходимых для согласования планов мероприятий, основания для отказа в согласовании, порядок обжалования, а также порядок корректировки планов мероприятий и их повторного согласования утверждается межведомственным советом по проведению эксперимента.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Планы мероприятий по достижению квот выбросов утверждаются юридическими лицами или индивидуальными предпринимателями, осуществляющими хозяйственную и (или) иную деятельность на квотируемых объектах, после согласования таких планов межведомственным советом по проведению эксперимента.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28.04.2023 из ФЗ от 26.07.2019 N 195-ФЗ </w:t>
            </w:r>
            <w:r>
              <w:rPr>
                <w:sz w:val="20"/>
                <w:color w:val="392c69"/>
              </w:rPr>
              <w:t xml:space="preserve">исключены</w:t>
            </w:r>
            <w:r>
              <w:rPr>
                <w:sz w:val="20"/>
                <w:color w:val="392c69"/>
              </w:rPr>
              <w:t xml:space="preserve"> нормы о проведении компенсационных мероприятий.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6.6. В случае, если мероприятия, направленные на достижение квот выбросов на квотируемом объекте, не могут быть реализованы в сроки проведения эксперимента, юридическое лицо или индивидуальный предприниматель, осуществляющие хозяйственную и (или) иную деятельность на квотируемых объектах, включает в план мероприятий по достижению квот выбросов компенсационные мероприятия из перечня компенсационных мероприятий, утверждаемого уполномоченным органом субъекта Российской Федерации для каждой территории эксперимента. В перечень компенсационных мероприятий включаются мероприятия, направленные на улучшение качества атмосферного воздуха на территории эксперимента, не включенные в комплексный план. Требования к перечню компенсационных мероприятий определяются Правительством Российской Федерации. Указанные юридическое лицо или индивидуальный предприниматель обеспечивает выполнение таких компенсационных мероприятий самостоятельно или посредством оплаты расходов, связанных с их выполнением. &lt;8&gt;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&lt;8&gt; </w:t>
      </w:r>
      <w:hyperlink w:history="0" r:id="rId51" w:tooltip="Федеральный закон от 26.07.2019 N 195-ФЗ (ред. от 04.08.2023) &quot;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&quot; {КонсультантПлюс}">
        <w:r>
          <w:rPr>
            <w:sz w:val="20"/>
            <w:color w:val="0000ff"/>
          </w:rPr>
          <w:t xml:space="preserve">Пункт 10 статьи 5</w:t>
        </w:r>
      </w:hyperlink>
      <w:r>
        <w:rPr>
          <w:sz w:val="20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п. 6.7 (в ред. 28.04.2023) утрачивает силу (</w:t>
            </w:r>
            <w:hyperlink w:history="0" r:id="rId52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6.7. Утвержденные планы мероприятий по достижению квот выбросов, при необходимости включающие в себя компенсационные мероприятия, направляются юридическими лицами или индивидуальными предпринимателями, осуществляющими хозяйственную и (или) иную деятельность на квотируемых объектах, в федеральный орган исполнительной власти, уполномоченный на осуществление федерального государственного экологического контроля (надзора), а также - в орган исполнительной власти соответствующего субъекта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6.8. Для квотируемых объектов, относящихся в соответствии с законодательством в области охраны окружающей среды к объектам I категории, утвержденные квоты выбросов включаются уполномоченным Правительством Российской Федерации федеральным органом исполнительной власти в комплексные экологические разрешения или уполномоченным федеральным органом исполнительной власти или органом исполнительной власти субъекта Российской Федерации согласно их компетенции - в разрешения на выброс загрязняющих веществ в атмосферный воздух, выдаваемые в соответствии с законодательством в области охраны окружающей среды.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6.9. Для квотируемых объектов, относящихся в соответствии с законодательством в области охраны окружающей среды к объектам II категории, получающим комплексное экологическое разрешение, утвержденные квоты выбросов включаются уполномоченным Правительством Российской Федерации федеральным органом исполнительной власти в предусмотренные законодательством в области охраны окружающей среды комплексные экологические разрешения, или уполномоченным федеральным органом исполнительной власти или органом исполнительной власти субъекта Российской Федерации согласно их компетенции - в разрешения на выброс загрязняющих веществ в атмосферный воздух, выдаваемые в соответствии с законодательством в области охраны окружающей среды.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квотируемых объектов II категории, не получающих комплексное экологическое разрешение, утвержденные квоты выбросов включаются юридическими лицами или индивидуальными предпринимателями в декларации о воздействии на окружающую среду, представляемые в соответствии с законодательством в области охраны окружающей среды.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6.10. Юридические лица или индивидуальные предприниматели, осуществляющие хозяйственную и (или) иную деятельность на квотируемых объектах, в состав отчета об организации и о результатах осуществления производственного экологического контроля, представляемого в соответствии с законодательством в области охраны окружающей среды, в отношении квотируемых объектов дополнительно включают сведения об утвержденных квотах выбросов, о соответствии выбросов на квотируемых объектах таким квотам, а также о реализации планов мероприятий по достижению квот выбросов.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01.09.2029 пп. 6.11-6.13 утрачивают силу (</w:t>
            </w:r>
            <w:hyperlink w:history="0" r:id="rId54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6.11.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вправе обратиться в федеральный орган исполнительной власти, уполномоченный на осуществление федерального государственного экологического контроля (надзора), с заявлением о переоформлении установленных квот выбросов, составленным в свободной форме,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корректировки данных инвентаризации стационарных источников и выбросов загрязняющих веществ в атмосферный воздух;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реорганизации юридического лица, осуществляющего хозяйственную и (или) иную деятельность на квотируемых объектах на территориях эксперимента;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если допущены описки или явные арифметические ошибки при установлении для квотируемых объектов и источников выбросов, расположенных на их территории, квот выбросов.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о переоформлении установленных квот выбросов должно содержать предложения по перерасчету установленных квот выбросов с приложением документов, необходимых для переоформления установленных квот выбросов.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переоформления установленных квот выбросов в случае корректировки данных инвентаризации стационарных источников и выбросов загрязняющих веществ в атмосферный воздух юридическим лицом и индивидуальным предпринимателем, осуществляющими хозяйственную и (или) иную деятельность на квотируемых объектах на территориях эксперимента, представляются данные инвентаризации выбросов загрязняющих веществ в атмосферный воздух - в отношении действующих объектов хозяйственной и (или) иной деятельности либо данные проектной документации - в отношении вводимых в эксплуатацию новых и (или) реконструированных объектов хозяйственной и (или) иной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переоформления установленных квот выбросов в случае реорганизации юридического лица, осуществляющего хозяйственную и (или) иную деятельность на квотируемых объектах на территориях эксперимента, реорганизованное юридическое лицо, осуществляющее хозяйственную и (или) иную деятельность на квотируемых объектах на территориях эксперимента, вправе представить выписку из Единого государственного реестра юридических лиц (в случае непредставления реорганизованным юридическим лицом, осуществляющим хозяйственную и (или) иную деятельность на квотируемых объектах на территориях эксперимента, такого документа федеральный орган исполнительной власти, уполномоченный на осуществление федерального государственного экологического контроля (надзора), запрашивает его самостоятельно в ФНС России посредством межведомственного информационного взаимодействия).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переоформления установленных квот выбросов в случае описок или явных арифметических ошибок, допущенных при установлении для квотируемых объектов и источников выбросов, расположенных на их территории, квот выбросов представляются первичные документы, подтверждающие описку или явную арифметическую ошибку при установлении для квотируемых объектов и источников выбросов, расположенных на их территории, квот выбросов.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подписания заявления о переоформлении установленных квот выбросов уполномоченным представителем юридического лица или индивидуального предпринимателя, осуществляющих хозяйственную и (или) иную деятельность на квотируемых объектах на территориях эксперимента, представляются документы, подтверждающие полномочия такого представителя.</w:t>
      </w:r>
    </w:p>
    <w:p>
      <w:pPr>
        <w:pStyle w:val="0"/>
        <w:jc w:val="both"/>
      </w:pPr>
      <w:r>
        <w:rPr>
          <w:sz w:val="20"/>
        </w:rPr>
        <w:t xml:space="preserve">(п. 6.11 введен </w:t>
      </w:r>
      <w:hyperlink w:history="0" r:id="rId55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6.12.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10 рабочих дней со дня регистрации заявления о переоформлении установленных квот выбросов издает приказ о переоформлении установленных квот выбросов либо отказывает в переоформлении установленных квот выбросов с мотивированным обоснованием и уведомляет о принятом решении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любым доступным способом, позволяющим обеспечить подтверждение направления и получения такого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отказа в переоформлении установленных квот выбросов является непредставление документов, подтверждающих необходимость переоформления установленных квот выбросов, и (или) превышение установленных для квотируемого объекта допустимых вкладов в концентрацию, и (или) необеспечение снижения совокупной массы выбросов приоритетных загрязняющих веществ с учетом требований, установленных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0"/>
            <w:color w:val="0000ff"/>
          </w:rPr>
          <w:t xml:space="preserve">третьим пункта 6.2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jc w:val="both"/>
      </w:pPr>
      <w:r>
        <w:rPr>
          <w:sz w:val="20"/>
        </w:rPr>
        <w:t xml:space="preserve">(п. 6.12 введен </w:t>
      </w:r>
      <w:hyperlink w:history="0" r:id="rId56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6.13. При получении информации из налоговых органов о ликвидации юридического лица и прекращении деятельности индивидуального предпринимателя, осуществляющих хозяйственную и (или) иную деятельность на квотируемых объектах на территориях эксперимента,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10 рабочих дней со дня получения такой информации издает приказ об отмене установленных квот выбросов.</w:t>
      </w:r>
    </w:p>
    <w:p>
      <w:pPr>
        <w:pStyle w:val="0"/>
        <w:jc w:val="both"/>
      </w:pPr>
      <w:r>
        <w:rPr>
          <w:sz w:val="20"/>
        </w:rPr>
        <w:t xml:space="preserve">(п. 6.13 введен </w:t>
      </w:r>
      <w:hyperlink w:history="0" r:id="rId57" w:tooltip="Приказ Минприроды России от 28.04.2023 N 265 &quot;О внесении изменений в приказ Министерства природных ресурсов и экологии Российской Федерации от 29 ноября 2019 г. N 814 &quot;Об утверждении правил квотирования выбросов загрязняющих веществ (за исключением радиоактивных веществ) в атмосферный воздух&quot; (Зарегистрировано в Минюсте России 01.06.2023 N 736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Минприроды России от 28.04.2023 N 265)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29.11.2019 N 814</w:t>
            <w:br/>
            <w:t>(ред. от 28.04.2023)</w:t>
            <w:br/>
            <w:t>"Об утверждении правил квотирования выбросов загрязняю...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21.03.2024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48628&amp;dst=100006" TargetMode = "External"/>
	<Relationship Id="rId8" Type="http://schemas.openxmlformats.org/officeDocument/2006/relationships/hyperlink" Target="https://login.consultant.ru/link/?req=doc&amp;base=LAW&amp;n=454249&amp;dst=100037" TargetMode = "External"/>
	<Relationship Id="rId9" Type="http://schemas.openxmlformats.org/officeDocument/2006/relationships/hyperlink" Target="https://login.consultant.ru/link/?req=doc&amp;base=LAW&amp;n=448628&amp;dst=100006" TargetMode = "External"/>
	<Relationship Id="rId10" Type="http://schemas.openxmlformats.org/officeDocument/2006/relationships/hyperlink" Target="https://login.consultant.ru/link/?req=doc&amp;base=LAW&amp;n=448628&amp;dst=100006" TargetMode = "External"/>
	<Relationship Id="rId11" Type="http://schemas.openxmlformats.org/officeDocument/2006/relationships/hyperlink" Target="https://login.consultant.ru/link/?req=doc&amp;base=LAW&amp;n=448628&amp;dst=100008" TargetMode = "External"/>
	<Relationship Id="rId12" Type="http://schemas.openxmlformats.org/officeDocument/2006/relationships/hyperlink" Target="https://login.consultant.ru/link/?req=doc&amp;base=LAW&amp;n=448628&amp;dst=100009" TargetMode = "External"/>
	<Relationship Id="rId13" Type="http://schemas.openxmlformats.org/officeDocument/2006/relationships/hyperlink" Target="https://login.consultant.ru/link/?req=doc&amp;base=LAW&amp;n=449669&amp;dst=100011" TargetMode = "External"/>
	<Relationship Id="rId14" Type="http://schemas.openxmlformats.org/officeDocument/2006/relationships/hyperlink" Target="https://login.consultant.ru/link/?req=doc&amp;base=LAW&amp;n=448628&amp;dst=100014" TargetMode = "External"/>
	<Relationship Id="rId15" Type="http://schemas.openxmlformats.org/officeDocument/2006/relationships/hyperlink" Target="https://login.consultant.ru/link/?req=doc&amp;base=LAW&amp;n=454249&amp;dst=100008" TargetMode = "External"/>
	<Relationship Id="rId16" Type="http://schemas.openxmlformats.org/officeDocument/2006/relationships/hyperlink" Target="https://login.consultant.ru/link/?req=doc&amp;base=LAW&amp;n=454249&amp;dst=100085" TargetMode = "External"/>
	<Relationship Id="rId17" Type="http://schemas.openxmlformats.org/officeDocument/2006/relationships/hyperlink" Target="https://login.consultant.ru/link/?req=doc&amp;base=LAW&amp;n=454249&amp;dst=10" TargetMode = "External"/>
	<Relationship Id="rId18" Type="http://schemas.openxmlformats.org/officeDocument/2006/relationships/hyperlink" Target="https://login.consultant.ru/link/?req=doc&amp;base=LAW&amp;n=448628&amp;dst=100014" TargetMode = "External"/>
	<Relationship Id="rId19" Type="http://schemas.openxmlformats.org/officeDocument/2006/relationships/hyperlink" Target="https://login.consultant.ru/link/?req=doc&amp;base=LAW&amp;n=449669&amp;dst=184" TargetMode = "External"/>
	<Relationship Id="rId20" Type="http://schemas.openxmlformats.org/officeDocument/2006/relationships/hyperlink" Target="https://login.consultant.ru/link/?req=doc&amp;base=LAW&amp;n=222765&amp;dst=100012" TargetMode = "External"/>
	<Relationship Id="rId21" Type="http://schemas.openxmlformats.org/officeDocument/2006/relationships/hyperlink" Target="https://login.consultant.ru/link/?req=doc&amp;base=LAW&amp;n=222765&amp;dst=100056" TargetMode = "External"/>
	<Relationship Id="rId22" Type="http://schemas.openxmlformats.org/officeDocument/2006/relationships/hyperlink" Target="https://login.consultant.ru/link/?req=doc&amp;base=LAW&amp;n=222765&amp;dst=100332" TargetMode = "External"/>
	<Relationship Id="rId23" Type="http://schemas.openxmlformats.org/officeDocument/2006/relationships/hyperlink" Target="https://login.consultant.ru/link/?req=doc&amp;base=LAW&amp;n=300614&amp;dst=100027" TargetMode = "External"/>
	<Relationship Id="rId24" Type="http://schemas.openxmlformats.org/officeDocument/2006/relationships/hyperlink" Target="https://login.consultant.ru/link/?req=doc&amp;base=LAW&amp;n=300614" TargetMode = "External"/>
	<Relationship Id="rId25" Type="http://schemas.openxmlformats.org/officeDocument/2006/relationships/image" Target="media/image2.wmf"/>
	<Relationship Id="rId26" Type="http://schemas.openxmlformats.org/officeDocument/2006/relationships/image" Target="media/image3.wmf"/>
	<Relationship Id="rId27" Type="http://schemas.openxmlformats.org/officeDocument/2006/relationships/image" Target="media/image4.wmf"/>
	<Relationship Id="rId28" Type="http://schemas.openxmlformats.org/officeDocument/2006/relationships/image" Target="media/image5.wmf"/>
	<Relationship Id="rId29" Type="http://schemas.openxmlformats.org/officeDocument/2006/relationships/image" Target="media/image6.wmf"/>
	<Relationship Id="rId30" Type="http://schemas.openxmlformats.org/officeDocument/2006/relationships/hyperlink" Target="https://login.consultant.ru/link/?req=doc&amp;base=LAW&amp;n=454249&amp;dst=100021" TargetMode = "External"/>
	<Relationship Id="rId31" Type="http://schemas.openxmlformats.org/officeDocument/2006/relationships/hyperlink" Target="https://login.consultant.ru/link/?req=doc&amp;base=LAW&amp;n=448628&amp;dst=100018" TargetMode = "External"/>
	<Relationship Id="rId32" Type="http://schemas.openxmlformats.org/officeDocument/2006/relationships/hyperlink" Target="https://login.consultant.ru/link/?req=doc&amp;base=LAW&amp;n=448628&amp;dst=100016" TargetMode = "External"/>
	<Relationship Id="rId33" Type="http://schemas.openxmlformats.org/officeDocument/2006/relationships/hyperlink" Target="https://login.consultant.ru/link/?req=doc&amp;base=LAW&amp;n=448628&amp;dst=100016" TargetMode = "External"/>
	<Relationship Id="rId34" Type="http://schemas.openxmlformats.org/officeDocument/2006/relationships/hyperlink" Target="https://login.consultant.ru/link/?req=doc&amp;base=LAW&amp;n=358026&amp;dst=100091" TargetMode = "External"/>
	<Relationship Id="rId35" Type="http://schemas.openxmlformats.org/officeDocument/2006/relationships/hyperlink" Target="https://login.consultant.ru/link/?req=doc&amp;base=LAW&amp;n=448628&amp;dst=100018" TargetMode = "External"/>
	<Relationship Id="rId36" Type="http://schemas.openxmlformats.org/officeDocument/2006/relationships/hyperlink" Target="https://login.consultant.ru/link/?req=doc&amp;base=LAW&amp;n=448628&amp;dst=100021" TargetMode = "External"/>
	<Relationship Id="rId37" Type="http://schemas.openxmlformats.org/officeDocument/2006/relationships/hyperlink" Target="https://login.consultant.ru/link/?req=doc&amp;base=LAW&amp;n=357927&amp;dst=100031" TargetMode = "External"/>
	<Relationship Id="rId38" Type="http://schemas.openxmlformats.org/officeDocument/2006/relationships/hyperlink" Target="https://login.consultant.ru/link/?req=doc&amp;base=LAW&amp;n=448628&amp;dst=100021" TargetMode = "External"/>
	<Relationship Id="rId39" Type="http://schemas.openxmlformats.org/officeDocument/2006/relationships/hyperlink" Target="https://login.consultant.ru/link/?req=doc&amp;base=LAW&amp;n=448628&amp;dst=100020" TargetMode = "External"/>
	<Relationship Id="rId40" Type="http://schemas.openxmlformats.org/officeDocument/2006/relationships/hyperlink" Target="https://login.consultant.ru/link/?req=doc&amp;base=LAW&amp;n=448628&amp;dst=100023" TargetMode = "External"/>
	<Relationship Id="rId41" Type="http://schemas.openxmlformats.org/officeDocument/2006/relationships/hyperlink" Target="https://login.consultant.ru/link/?req=doc&amp;base=LAW&amp;n=454306&amp;dst=833" TargetMode = "External"/>
	<Relationship Id="rId42" Type="http://schemas.openxmlformats.org/officeDocument/2006/relationships/hyperlink" Target="https://login.consultant.ru/link/?req=doc&amp;base=LAW&amp;n=448628&amp;dst=100023" TargetMode = "External"/>
	<Relationship Id="rId43" Type="http://schemas.openxmlformats.org/officeDocument/2006/relationships/hyperlink" Target="https://login.consultant.ru/link/?req=doc&amp;base=LAW&amp;n=448628&amp;dst=100026" TargetMode = "External"/>
	<Relationship Id="rId44" Type="http://schemas.openxmlformats.org/officeDocument/2006/relationships/hyperlink" Target="https://login.consultant.ru/link/?req=doc&amp;base=LAW&amp;n=454249&amp;dst=100045" TargetMode = "External"/>
	<Relationship Id="rId45" Type="http://schemas.openxmlformats.org/officeDocument/2006/relationships/hyperlink" Target="https://login.consultant.ru/link/?req=doc&amp;base=LAW&amp;n=448628&amp;dst=100026" TargetMode = "External"/>
	<Relationship Id="rId46" Type="http://schemas.openxmlformats.org/officeDocument/2006/relationships/hyperlink" Target="https://login.consultant.ru/link/?req=doc&amp;base=LAW&amp;n=448628&amp;dst=100031" TargetMode = "External"/>
	<Relationship Id="rId47" Type="http://schemas.openxmlformats.org/officeDocument/2006/relationships/hyperlink" Target="https://login.consultant.ru/link/?req=doc&amp;base=LAW&amp;n=448628&amp;dst=100031" TargetMode = "External"/>
	<Relationship Id="rId48" Type="http://schemas.openxmlformats.org/officeDocument/2006/relationships/hyperlink" Target="https://login.consultant.ru/link/?req=doc&amp;base=LAW&amp;n=448628&amp;dst=100036" TargetMode = "External"/>
	<Relationship Id="rId49" Type="http://schemas.openxmlformats.org/officeDocument/2006/relationships/hyperlink" Target="https://login.consultant.ru/link/?req=doc&amp;base=LAW&amp;n=448628&amp;dst=100036" TargetMode = "External"/>
	<Relationship Id="rId50" Type="http://schemas.openxmlformats.org/officeDocument/2006/relationships/hyperlink" Target="https://login.consultant.ru/link/?req=doc&amp;base=LAW&amp;n=454249&amp;dst=100064" TargetMode = "External"/>
	<Relationship Id="rId51" Type="http://schemas.openxmlformats.org/officeDocument/2006/relationships/hyperlink" Target="https://login.consultant.ru/link/?req=doc&amp;base=LAW&amp;n=454249&amp;dst=100077" TargetMode = "External"/>
	<Relationship Id="rId52" Type="http://schemas.openxmlformats.org/officeDocument/2006/relationships/hyperlink" Target="https://login.consultant.ru/link/?req=doc&amp;base=LAW&amp;n=448628&amp;dst=100036" TargetMode = "External"/>
	<Relationship Id="rId53" Type="http://schemas.openxmlformats.org/officeDocument/2006/relationships/hyperlink" Target="https://login.consultant.ru/link/?req=doc&amp;base=LAW&amp;n=448628&amp;dst=100036" TargetMode = "External"/>
	<Relationship Id="rId54" Type="http://schemas.openxmlformats.org/officeDocument/2006/relationships/hyperlink" Target="https://login.consultant.ru/link/?req=doc&amp;base=LAW&amp;n=448628&amp;dst=100037" TargetMode = "External"/>
	<Relationship Id="rId55" Type="http://schemas.openxmlformats.org/officeDocument/2006/relationships/hyperlink" Target="https://login.consultant.ru/link/?req=doc&amp;base=LAW&amp;n=448628&amp;dst=100037" TargetMode = "External"/>
	<Relationship Id="rId56" Type="http://schemas.openxmlformats.org/officeDocument/2006/relationships/hyperlink" Target="https://login.consultant.ru/link/?req=doc&amp;base=LAW&amp;n=448628&amp;dst=100047" TargetMode = "External"/>
	<Relationship Id="rId57" Type="http://schemas.openxmlformats.org/officeDocument/2006/relationships/hyperlink" Target="https://login.consultant.ru/link/?req=doc&amp;base=LAW&amp;n=448628&amp;dst=10004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4023.00.50</Application>
  <Company>КонсультантПлюс Версия 4023.00.50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29.11.2019 N 814
(ред. от 28.04.2023)
"Об утверждении правил квотирования выбросов загрязняющих веществ (за исключением радиоактивных веществ) в атмосферный воздух"
(Зарегистрировано в Минюсте России 24.12.2019 N 56956)</dc:title>
  <dcterms:created xsi:type="dcterms:W3CDTF">2024-03-21T14:45:08Z</dcterms:created>
</cp:coreProperties>
</file>