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0"/>
              </w:rPr>
              <w:t xml:space="preserve">Директива N 2010/75/ЕС Европейского парламента и Совета Европейского Союза</w:t>
              <w:br/>
              <w:t xml:space="preserve">"О промышленных выбросах (о комплексном предотвращении загрязнения и контроле над ним) (новая редакция)" [рус., англ.]</w:t>
              <w:br/>
              <w:t xml:space="preserve">(Вместе с "Категориями видов деятельности, указанными в статье 10...", "Списком загрязняющих веществ", "Критериями для определения наилучших доступных технологий", "Участием общественности в принятии решений", &lt;Техническими характеристиками заводов по совместному сжиганию отходов&gt;, &lt;Техническими положениями для установок, производящих диоксид титана, и видов деятельности, в которых используются органические растворители&gt;, "Корреляционной таблицей")</w:t>
              <w:br/>
              <w:t xml:space="preserve">(Принята в г. Страсбурге 24.11.2010)</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20.03.2024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jc w:val="right"/>
      </w:pPr>
      <w:r>
        <w:rPr>
          <w:sz w:val="20"/>
        </w:rPr>
        <w:t xml:space="preserve">[неофициальный перевод] </w:t>
      </w:r>
      <w:hyperlink w:history="0" w:anchor="P17" w:tooltip="&lt;*&gt; Перевод Артамоновой И.В.">
        <w:r>
          <w:rPr>
            <w:sz w:val="20"/>
            <w:color w:val="0000ff"/>
          </w:rPr>
          <w:t xml:space="preserve">&lt;*&gt;</w:t>
        </w:r>
      </w:hyperlink>
    </w:p>
    <w:p>
      <w:pPr>
        <w:pStyle w:val="0"/>
        <w:jc w:val="center"/>
      </w:pPr>
      <w:r>
        <w:rPr>
          <w:sz w:val="20"/>
        </w:rPr>
      </w:r>
    </w:p>
    <w:p>
      <w:pPr>
        <w:pStyle w:val="2"/>
        <w:jc w:val="center"/>
      </w:pPr>
      <w:r>
        <w:rPr>
          <w:sz w:val="20"/>
        </w:rPr>
        <w:t xml:space="preserve">ЕВРОПЕЙСКИЙ СОЮЗ</w:t>
      </w:r>
    </w:p>
    <w:p>
      <w:pPr>
        <w:pStyle w:val="2"/>
        <w:jc w:val="center"/>
      </w:pPr>
      <w:r>
        <w:rPr>
          <w:sz w:val="20"/>
        </w:rPr>
      </w:r>
    </w:p>
    <w:bookmarkStart w:id="5" w:name="P5"/>
    <w:bookmarkEnd w:id="5"/>
    <w:p>
      <w:pPr>
        <w:pStyle w:val="2"/>
        <w:jc w:val="center"/>
      </w:pPr>
      <w:r>
        <w:rPr>
          <w:sz w:val="20"/>
        </w:rPr>
        <w:t xml:space="preserve">ДИРЕКТИВА N 2010/75/ЕС</w:t>
      </w:r>
    </w:p>
    <w:p>
      <w:pPr>
        <w:pStyle w:val="2"/>
        <w:jc w:val="center"/>
      </w:pPr>
      <w:r>
        <w:rPr>
          <w:sz w:val="20"/>
        </w:rPr>
        <w:t xml:space="preserve">ЕВРОПЕЙСКОГО ПАРЛАМЕНТА И СОВЕТА ЕС</w:t>
      </w:r>
    </w:p>
    <w:p>
      <w:pPr>
        <w:pStyle w:val="2"/>
        <w:jc w:val="center"/>
      </w:pPr>
      <w:r>
        <w:rPr>
          <w:sz w:val="20"/>
        </w:rPr>
        <w:t xml:space="preserve">О ПРОМЫШЛЕННЫХ ВЫБРОСАХ (О КОМПЛЕКСНОМ ПРЕДОТВРАЩЕНИИ</w:t>
      </w:r>
    </w:p>
    <w:p>
      <w:pPr>
        <w:pStyle w:val="2"/>
        <w:jc w:val="center"/>
      </w:pPr>
      <w:r>
        <w:rPr>
          <w:sz w:val="20"/>
        </w:rPr>
        <w:t xml:space="preserve">ЗАГРЯЗНЕНИЯ И КОНТРОЛЕ НАД НИМ) </w:t>
      </w:r>
      <w:hyperlink w:history="0" w:anchor="P18" w:tooltip="&lt;**&gt; Directive 2010/75/EU of the European Parliament and of the Council of 24 November 2010 on industrial emissions (integrated pollution prevention and control) (recast) (Text with EEA relevance). Опубликована в Официальном журнале (далее - ОЖ) N L 334, 17.12.2010, стр. 17.">
        <w:r>
          <w:rPr>
            <w:sz w:val="20"/>
            <w:color w:val="0000ff"/>
          </w:rPr>
          <w:t xml:space="preserve">&lt;**&gt;</w:t>
        </w:r>
      </w:hyperlink>
    </w:p>
    <w:p>
      <w:pPr>
        <w:pStyle w:val="2"/>
        <w:jc w:val="center"/>
      </w:pPr>
      <w:r>
        <w:rPr>
          <w:sz w:val="20"/>
        </w:rPr>
        <w:t xml:space="preserve">(НОВАЯ РЕДАКЦИЯ)</w:t>
      </w:r>
    </w:p>
    <w:p>
      <w:pPr>
        <w:pStyle w:val="2"/>
        <w:jc w:val="center"/>
      </w:pPr>
      <w:r>
        <w:rPr>
          <w:sz w:val="20"/>
        </w:rPr>
      </w:r>
    </w:p>
    <w:p>
      <w:pPr>
        <w:pStyle w:val="2"/>
        <w:jc w:val="center"/>
      </w:pPr>
      <w:r>
        <w:rPr>
          <w:sz w:val="20"/>
        </w:rPr>
        <w:t xml:space="preserve">(Страсбург, 24 ноября 2010 года)</w:t>
      </w:r>
    </w:p>
    <w:p>
      <w:pPr>
        <w:pStyle w:val="0"/>
        <w:jc w:val="center"/>
      </w:pPr>
      <w:r>
        <w:rPr>
          <w:sz w:val="20"/>
        </w:rPr>
      </w:r>
    </w:p>
    <w:p>
      <w:pPr>
        <w:pStyle w:val="0"/>
        <w:jc w:val="center"/>
      </w:pPr>
      <w:r>
        <w:rPr>
          <w:sz w:val="20"/>
        </w:rPr>
        <w:t xml:space="preserve">(Действие Директивы распространяется на Европейское</w:t>
      </w:r>
    </w:p>
    <w:p>
      <w:pPr>
        <w:pStyle w:val="0"/>
        <w:jc w:val="center"/>
      </w:pPr>
      <w:r>
        <w:rPr>
          <w:sz w:val="20"/>
        </w:rPr>
        <w:t xml:space="preserve">экономическое пространство)</w:t>
      </w:r>
    </w:p>
    <w:p>
      <w:pPr>
        <w:pStyle w:val="0"/>
        <w:ind w:firstLine="540"/>
        <w:jc w:val="both"/>
      </w:pPr>
      <w:r>
        <w:rPr>
          <w:sz w:val="20"/>
        </w:rPr>
      </w:r>
    </w:p>
    <w:p>
      <w:pPr>
        <w:pStyle w:val="0"/>
        <w:ind w:firstLine="540"/>
        <w:jc w:val="both"/>
      </w:pPr>
      <w:r>
        <w:rPr>
          <w:sz w:val="20"/>
        </w:rPr>
        <w:t xml:space="preserve">--------------------------------</w:t>
      </w:r>
    </w:p>
    <w:bookmarkStart w:id="17" w:name="P17"/>
    <w:bookmarkEnd w:id="17"/>
    <w:p>
      <w:pPr>
        <w:pStyle w:val="0"/>
        <w:spacing w:before="200" w:line-rule="auto"/>
        <w:ind w:firstLine="540"/>
        <w:jc w:val="both"/>
      </w:pPr>
      <w:r>
        <w:rPr>
          <w:sz w:val="20"/>
        </w:rPr>
        <w:t xml:space="preserve">&lt;*&gt; Перевод Артамоновой И.В.</w:t>
      </w:r>
    </w:p>
    <w:bookmarkStart w:id="18" w:name="P18"/>
    <w:bookmarkEnd w:id="18"/>
    <w:p>
      <w:pPr>
        <w:pStyle w:val="0"/>
        <w:spacing w:before="200" w:line-rule="auto"/>
        <w:ind w:firstLine="540"/>
        <w:jc w:val="both"/>
      </w:pPr>
      <w:r>
        <w:rPr>
          <w:sz w:val="20"/>
        </w:rPr>
        <w:t xml:space="preserve">&lt;**&gt; Directive 2010/75/EU of the European Parliament and of the Council of 24 November 2010 on industrial emissions (integrated pollution prevention and control) (recast) (Text with EEA relevance). Опубликована в Официальном журнале (далее - ОЖ) N L 334, 17.12.2010, стр. 17.</w:t>
      </w:r>
    </w:p>
    <w:p>
      <w:pPr>
        <w:pStyle w:val="0"/>
        <w:ind w:firstLine="540"/>
        <w:jc w:val="both"/>
      </w:pPr>
      <w:r>
        <w:rPr>
          <w:sz w:val="20"/>
        </w:rPr>
      </w:r>
    </w:p>
    <w:p>
      <w:pPr>
        <w:pStyle w:val="0"/>
        <w:ind w:firstLine="540"/>
        <w:jc w:val="both"/>
      </w:pPr>
      <w:r>
        <w:rPr>
          <w:sz w:val="20"/>
        </w:rPr>
        <w:t xml:space="preserve">Европейский парламент и Совет Европейского Союза,</w:t>
      </w:r>
    </w:p>
    <w:p>
      <w:pPr>
        <w:pStyle w:val="0"/>
        <w:spacing w:before="200" w:line-rule="auto"/>
        <w:ind w:firstLine="540"/>
        <w:jc w:val="both"/>
      </w:pPr>
      <w:r>
        <w:rPr>
          <w:sz w:val="20"/>
        </w:rPr>
        <w:t xml:space="preserve">руководствуясь </w:t>
      </w:r>
      <w:hyperlink w:history="0" r:id="rId7" w:tooltip="&quot;Договор о функционировании Европейского Союза&quot; [рус., англ.] (Вместе со &quot;Списком, предусмотренным в статье 38...&quot;, &quot;Заморскими странами и территориями, к которым применяются положения части четвертой Договора...&quot;) (Подписан в г. Риме 25.03.1957) (с изм. и доп. от 13.12.2007) {КонсультантПлюс}">
        <w:r>
          <w:rPr>
            <w:sz w:val="20"/>
            <w:color w:val="0000ff"/>
          </w:rPr>
          <w:t xml:space="preserve">Договором</w:t>
        </w:r>
      </w:hyperlink>
      <w:r>
        <w:rPr>
          <w:sz w:val="20"/>
        </w:rPr>
        <w:t xml:space="preserve"> о функционировании Европейского Союза и, в частности, </w:t>
      </w:r>
      <w:hyperlink w:history="0" r:id="rId8" w:tooltip="&quot;Договор о функционировании Европейского Союза&quot; [рус., англ.] (Вместе со &quot;Списком, предусмотренным в статье 38...&quot;, &quot;Заморскими странами и территориями, к которым применяются положения части четвертой Договора...&quot;) (Подписан в г. Риме 25.03.1957) (с изм. и доп. от 13.12.2007) {КонсультантПлюс}">
        <w:r>
          <w:rPr>
            <w:sz w:val="20"/>
            <w:color w:val="0000ff"/>
          </w:rPr>
          <w:t xml:space="preserve">статьей 192 (1)</w:t>
        </w:r>
      </w:hyperlink>
      <w:r>
        <w:rPr>
          <w:sz w:val="20"/>
        </w:rPr>
        <w:t xml:space="preserve"> Договора,</w:t>
      </w:r>
    </w:p>
    <w:p>
      <w:pPr>
        <w:pStyle w:val="0"/>
        <w:spacing w:before="200" w:line-rule="auto"/>
        <w:ind w:firstLine="540"/>
        <w:jc w:val="both"/>
      </w:pPr>
      <w:r>
        <w:rPr>
          <w:sz w:val="20"/>
        </w:rPr>
        <w:t xml:space="preserve">на основании предложения Европейской комиссии,</w:t>
      </w:r>
    </w:p>
    <w:p>
      <w:pPr>
        <w:pStyle w:val="0"/>
        <w:spacing w:before="200" w:line-rule="auto"/>
        <w:ind w:firstLine="540"/>
        <w:jc w:val="both"/>
      </w:pPr>
      <w:r>
        <w:rPr>
          <w:sz w:val="20"/>
        </w:rPr>
        <w:t xml:space="preserve">с учетом заключения Европейского комитета по социальным и экономическим вопросам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ОЖ N C 182, 4.8.2009, стр. 46.</w:t>
      </w:r>
    </w:p>
    <w:p>
      <w:pPr>
        <w:pStyle w:val="0"/>
        <w:ind w:firstLine="540"/>
        <w:jc w:val="both"/>
      </w:pPr>
      <w:r>
        <w:rPr>
          <w:sz w:val="20"/>
        </w:rPr>
      </w:r>
    </w:p>
    <w:p>
      <w:pPr>
        <w:pStyle w:val="0"/>
        <w:ind w:firstLine="540"/>
        <w:jc w:val="both"/>
      </w:pPr>
      <w:r>
        <w:rPr>
          <w:sz w:val="20"/>
        </w:rPr>
        <w:t xml:space="preserve">с учетом заключения Комитета регионов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ОЖ N C 325, 19.12.2008, стр. 60.</w:t>
      </w:r>
    </w:p>
    <w:p>
      <w:pPr>
        <w:pStyle w:val="0"/>
        <w:ind w:firstLine="540"/>
        <w:jc w:val="both"/>
      </w:pPr>
      <w:r>
        <w:rPr>
          <w:sz w:val="20"/>
        </w:rPr>
      </w:r>
    </w:p>
    <w:p>
      <w:pPr>
        <w:pStyle w:val="0"/>
        <w:ind w:firstLine="540"/>
        <w:jc w:val="both"/>
      </w:pPr>
      <w:r>
        <w:rPr>
          <w:sz w:val="20"/>
        </w:rPr>
        <w:t xml:space="preserve">действуя в соответствии с обычной законодательной процедурой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Позиция Европейского парламента от 10 марта 2009 г. (ОЖ N C 87 E, 1.4.2010, стр. 191) и Позиция Совета ЕС в первом чтении от 15 февраля 2010 г. (ОЖ N C 107 E, 27.4.2010, стр. 1). Позиция Европейского парламента от 7 июля 2010 г. (еще не опубликованная в Официальном журнале) и Решение Совета ЕС от 8 ноября 2010 г.</w:t>
      </w:r>
    </w:p>
    <w:p>
      <w:pPr>
        <w:pStyle w:val="0"/>
        <w:ind w:firstLine="540"/>
        <w:jc w:val="both"/>
      </w:pPr>
      <w:r>
        <w:rPr>
          <w:sz w:val="20"/>
        </w:rPr>
      </w:r>
    </w:p>
    <w:p>
      <w:pPr>
        <w:pStyle w:val="0"/>
        <w:ind w:firstLine="540"/>
        <w:jc w:val="both"/>
      </w:pPr>
      <w:r>
        <w:rPr>
          <w:sz w:val="20"/>
        </w:rPr>
        <w:t xml:space="preserve">принимая во внимание следующие обстоятельства:</w:t>
      </w:r>
    </w:p>
    <w:p>
      <w:pPr>
        <w:pStyle w:val="0"/>
        <w:spacing w:before="200" w:line-rule="auto"/>
        <w:ind w:firstLine="540"/>
        <w:jc w:val="both"/>
      </w:pPr>
      <w:r>
        <w:rPr>
          <w:sz w:val="20"/>
        </w:rPr>
        <w:t xml:space="preserve">1) Необходимо внести существенные изменения в Директиву 78/176/ЕЭС Совета ЕС от 20 февраля 1978 г. об обращении с отходами от промышленности, связанной с диоксидом титана </w:t>
      </w:r>
      <w:hyperlink w:history="0" w:anchor="P38" w:tooltip="&lt;1&gt; ОЖ N L 54, 25.2.1978, стр. 19.">
        <w:r>
          <w:rPr>
            <w:sz w:val="20"/>
            <w:color w:val="0000ff"/>
          </w:rPr>
          <w:t xml:space="preserve">&lt;1&gt;</w:t>
        </w:r>
      </w:hyperlink>
      <w:r>
        <w:rPr>
          <w:sz w:val="20"/>
        </w:rPr>
        <w:t xml:space="preserve">, в Директиву 82/883/ЕЭС Совета ЕС от 3 декабря 1982 г. о процедурах по наблюдению и мониторингу окружающей среды, загрязненной отходами от промышленности, связанной с диоксидом титана </w:t>
      </w:r>
      <w:hyperlink w:history="0" w:anchor="P39" w:tooltip="&lt;2&gt; ОЖ N L 378, 31.12.1982, стр. 1.">
        <w:r>
          <w:rPr>
            <w:sz w:val="20"/>
            <w:color w:val="0000ff"/>
          </w:rPr>
          <w:t xml:space="preserve">&lt;2&gt;</w:t>
        </w:r>
      </w:hyperlink>
      <w:r>
        <w:rPr>
          <w:sz w:val="20"/>
        </w:rPr>
        <w:t xml:space="preserve">, в Директиву 92/112/ЕЭС Совета ЕС от 15 декабря 1992 г. о процедурах по гармонизации программ сокращения и предотвращения загрязнения, вызванного отходами от промышленности, связанной с диоксидом титана </w:t>
      </w:r>
      <w:hyperlink w:history="0" w:anchor="P40" w:tooltip="&lt;3&gt; ОЖ N L 409, 31.12.1992, стр. 11.">
        <w:r>
          <w:rPr>
            <w:sz w:val="20"/>
            <w:color w:val="0000ff"/>
          </w:rPr>
          <w:t xml:space="preserve">&lt;3&gt;</w:t>
        </w:r>
      </w:hyperlink>
      <w:r>
        <w:rPr>
          <w:sz w:val="20"/>
        </w:rPr>
        <w:t xml:space="preserve">, в </w:t>
      </w:r>
      <w:hyperlink w:history="0" r:id="rId9"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20"/>
            <w:color w:val="0000ff"/>
          </w:rPr>
          <w:t xml:space="preserve">Директиву</w:t>
        </w:r>
      </w:hyperlink>
      <w:r>
        <w:rPr>
          <w:sz w:val="20"/>
        </w:rPr>
        <w:t xml:space="preserve"> 1999/13/ЕС Совета ЕС от 11 марта 1999 г. 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 </w:t>
      </w:r>
      <w:hyperlink w:history="0" w:anchor="P41" w:tooltip="&lt;4&gt; ОЖ N L 85, 29.3.1999, стр. 1.">
        <w:r>
          <w:rPr>
            <w:sz w:val="20"/>
            <w:color w:val="0000ff"/>
          </w:rPr>
          <w:t xml:space="preserve">&lt;4&gt;</w:t>
        </w:r>
      </w:hyperlink>
      <w:r>
        <w:rPr>
          <w:sz w:val="20"/>
        </w:rPr>
        <w:t xml:space="preserve">, в </w:t>
      </w:r>
      <w:hyperlink w:history="0" r:id="rId10"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20"/>
            <w:color w:val="0000ff"/>
          </w:rPr>
          <w:t xml:space="preserve">Директиву</w:t>
        </w:r>
      </w:hyperlink>
      <w:r>
        <w:rPr>
          <w:sz w:val="20"/>
        </w:rPr>
        <w:t xml:space="preserve"> 2000/76/ЕС Европейского парламента и Совета ЕС от 4 декабря 2000 г. о сжигании отходов </w:t>
      </w:r>
      <w:hyperlink w:history="0" w:anchor="P42" w:tooltip="&lt;5&gt; ОЖ N L 332, 28.12.2000, стр. 91.">
        <w:r>
          <w:rPr>
            <w:sz w:val="20"/>
            <w:color w:val="0000ff"/>
          </w:rPr>
          <w:t xml:space="preserve">&lt;5&gt;</w:t>
        </w:r>
      </w:hyperlink>
      <w:r>
        <w:rPr>
          <w:sz w:val="20"/>
        </w:rPr>
        <w:t xml:space="preserve">, в </w:t>
      </w:r>
      <w:hyperlink w:history="0" r:id="rId11"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20"/>
            <w:color w:val="0000ff"/>
          </w:rPr>
          <w:t xml:space="preserve">Директиву</w:t>
        </w:r>
      </w:hyperlink>
      <w:r>
        <w:rPr>
          <w:sz w:val="20"/>
        </w:rPr>
        <w:t xml:space="preserve"> 2001/80/ЕС Европейского парламента и Совета ЕС от 23 октября 2001 г. об ограничении выбросов некоторых загрязняющих воздух веществ от крупных установок сжигания </w:t>
      </w:r>
      <w:hyperlink w:history="0" w:anchor="P43" w:tooltip="&lt;6&gt; ОЖ N L 309, 27.11.2001, стр. 1.">
        <w:r>
          <w:rPr>
            <w:sz w:val="20"/>
            <w:color w:val="0000ff"/>
          </w:rPr>
          <w:t xml:space="preserve">&lt;6&gt;</w:t>
        </w:r>
      </w:hyperlink>
      <w:r>
        <w:rPr>
          <w:sz w:val="20"/>
        </w:rPr>
        <w:t xml:space="preserve">, а также в </w:t>
      </w:r>
      <w:hyperlink w:history="0" r:id="rId12"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20"/>
            <w:color w:val="0000ff"/>
          </w:rPr>
          <w:t xml:space="preserve">Директиву</w:t>
        </w:r>
      </w:hyperlink>
      <w:r>
        <w:rPr>
          <w:sz w:val="20"/>
        </w:rPr>
        <w:t xml:space="preserve"> 2008/1/ЕС Европейского парламента и Совета ЕС от 15 января 2008 г. о комплексном предотвращении и контроле за загрязнением </w:t>
      </w:r>
      <w:hyperlink w:history="0" w:anchor="P44" w:tooltip="&lt;7&gt; ОЖ N L 24, 29.1.2008, стр. 8.">
        <w:r>
          <w:rPr>
            <w:sz w:val="20"/>
            <w:color w:val="0000ff"/>
          </w:rPr>
          <w:t xml:space="preserve">&lt;7&gt;</w:t>
        </w:r>
      </w:hyperlink>
      <w:r>
        <w:rPr>
          <w:sz w:val="20"/>
        </w:rPr>
        <w:t xml:space="preserve">. В интересах ясности необходимо изложить указанные </w:t>
      </w:r>
      <w:r>
        <w:rPr>
          <w:sz w:val="20"/>
        </w:rPr>
        <w:t xml:space="preserve">Директивы</w:t>
      </w:r>
      <w:r>
        <w:rPr>
          <w:sz w:val="20"/>
        </w:rPr>
        <w:t xml:space="preserve"> в новой редакции.</w:t>
      </w:r>
    </w:p>
    <w:p>
      <w:pPr>
        <w:pStyle w:val="0"/>
        <w:spacing w:before="200" w:line-rule="auto"/>
        <w:ind w:firstLine="540"/>
        <w:jc w:val="both"/>
      </w:pPr>
      <w:r>
        <w:rPr>
          <w:sz w:val="20"/>
        </w:rPr>
        <w:t xml:space="preserve">--------------------------------</w:t>
      </w:r>
    </w:p>
    <w:bookmarkStart w:id="38" w:name="P38"/>
    <w:bookmarkEnd w:id="38"/>
    <w:p>
      <w:pPr>
        <w:pStyle w:val="0"/>
        <w:spacing w:before="200" w:line-rule="auto"/>
        <w:ind w:firstLine="540"/>
        <w:jc w:val="both"/>
      </w:pPr>
      <w:r>
        <w:rPr>
          <w:sz w:val="20"/>
        </w:rPr>
        <w:t xml:space="preserve">&lt;1&gt; ОЖ N L 54, 25.2.1978, стр. 19.</w:t>
      </w:r>
    </w:p>
    <w:bookmarkStart w:id="39" w:name="P39"/>
    <w:bookmarkEnd w:id="39"/>
    <w:p>
      <w:pPr>
        <w:pStyle w:val="0"/>
        <w:spacing w:before="200" w:line-rule="auto"/>
        <w:ind w:firstLine="540"/>
        <w:jc w:val="both"/>
      </w:pPr>
      <w:r>
        <w:rPr>
          <w:sz w:val="20"/>
        </w:rPr>
        <w:t xml:space="preserve">&lt;2&gt; ОЖ N L 378, 31.12.1982, стр. 1.</w:t>
      </w:r>
    </w:p>
    <w:bookmarkStart w:id="40" w:name="P40"/>
    <w:bookmarkEnd w:id="40"/>
    <w:p>
      <w:pPr>
        <w:pStyle w:val="0"/>
        <w:spacing w:before="200" w:line-rule="auto"/>
        <w:ind w:firstLine="540"/>
        <w:jc w:val="both"/>
      </w:pPr>
      <w:r>
        <w:rPr>
          <w:sz w:val="20"/>
        </w:rPr>
        <w:t xml:space="preserve">&lt;3&gt; ОЖ N L 409, 31.12.1992, стр. 11.</w:t>
      </w:r>
    </w:p>
    <w:bookmarkStart w:id="41" w:name="P41"/>
    <w:bookmarkEnd w:id="41"/>
    <w:p>
      <w:pPr>
        <w:pStyle w:val="0"/>
        <w:spacing w:before="200" w:line-rule="auto"/>
        <w:ind w:firstLine="540"/>
        <w:jc w:val="both"/>
      </w:pPr>
      <w:r>
        <w:rPr>
          <w:sz w:val="20"/>
        </w:rPr>
        <w:t xml:space="preserve">&lt;4&gt; ОЖ N L 85, 29.3.1999, стр. 1.</w:t>
      </w:r>
    </w:p>
    <w:bookmarkStart w:id="42" w:name="P42"/>
    <w:bookmarkEnd w:id="42"/>
    <w:p>
      <w:pPr>
        <w:pStyle w:val="0"/>
        <w:spacing w:before="200" w:line-rule="auto"/>
        <w:ind w:firstLine="540"/>
        <w:jc w:val="both"/>
      </w:pPr>
      <w:r>
        <w:rPr>
          <w:sz w:val="20"/>
        </w:rPr>
        <w:t xml:space="preserve">&lt;5&gt; ОЖ N L 332, 28.12.2000, стр. 91.</w:t>
      </w:r>
    </w:p>
    <w:bookmarkStart w:id="43" w:name="P43"/>
    <w:bookmarkEnd w:id="43"/>
    <w:p>
      <w:pPr>
        <w:pStyle w:val="0"/>
        <w:spacing w:before="200" w:line-rule="auto"/>
        <w:ind w:firstLine="540"/>
        <w:jc w:val="both"/>
      </w:pPr>
      <w:r>
        <w:rPr>
          <w:sz w:val="20"/>
        </w:rPr>
        <w:t xml:space="preserve">&lt;6&gt; ОЖ N L 309, 27.11.2001, стр. 1.</w:t>
      </w:r>
    </w:p>
    <w:bookmarkStart w:id="44" w:name="P44"/>
    <w:bookmarkEnd w:id="44"/>
    <w:p>
      <w:pPr>
        <w:pStyle w:val="0"/>
        <w:spacing w:before="200" w:line-rule="auto"/>
        <w:ind w:firstLine="540"/>
        <w:jc w:val="both"/>
      </w:pPr>
      <w:r>
        <w:rPr>
          <w:sz w:val="20"/>
        </w:rPr>
        <w:t xml:space="preserve">&lt;7&gt; ОЖ N L 24, 29.1.2008, стр. 8.</w:t>
      </w:r>
    </w:p>
    <w:p>
      <w:pPr>
        <w:pStyle w:val="0"/>
        <w:ind w:firstLine="540"/>
        <w:jc w:val="both"/>
      </w:pPr>
      <w:r>
        <w:rPr>
          <w:sz w:val="20"/>
        </w:rPr>
      </w:r>
    </w:p>
    <w:p>
      <w:pPr>
        <w:pStyle w:val="0"/>
        <w:ind w:firstLine="540"/>
        <w:jc w:val="both"/>
      </w:pPr>
      <w:r>
        <w:rPr>
          <w:sz w:val="20"/>
        </w:rPr>
        <w:t xml:space="preserve">2) В целях предупреждения, сокращения и по возможности предотвращения загрязнения от промышленной деятельности в соответствии с принципом "загрязнитель платит" и принципом предупреждения загрязнения необходимо установить общие принципы контроля основных видов промышленной деятельности с учетом особой значимости вмешательства на уровне источника, обеспечения рационального использования природных ресурсов, а также с учетом по необходимости экономической ситуации и специфических характеристик места осуществления промышленной деятельности.</w:t>
      </w:r>
    </w:p>
    <w:p>
      <w:pPr>
        <w:pStyle w:val="0"/>
        <w:spacing w:before="200" w:line-rule="auto"/>
        <w:ind w:firstLine="540"/>
        <w:jc w:val="both"/>
      </w:pPr>
      <w:r>
        <w:rPr>
          <w:sz w:val="20"/>
        </w:rPr>
        <w:t xml:space="preserve">3) Существование различных подходов к раздельному контролю за выбросами в воздух, воду или почву может привести к переносу загрязнения от одного объекта окружающей среды к другому, не защищая окружающую среду в целом. В связи с этим целесообразно предусмотреть комплексный подход к предупреждению и контролю за выбросами в воздух, воду и почву, а также к обращению с отходами, обеспечению энергетической эффективности и предотвращению аварий. Такой подход также будет способствовать созданию равных условий для стран Европейского Союза путем согласования требований к экологической результативности промышленных установок.</w:t>
      </w:r>
    </w:p>
    <w:p>
      <w:pPr>
        <w:pStyle w:val="0"/>
        <w:spacing w:before="200" w:line-rule="auto"/>
        <w:ind w:firstLine="540"/>
        <w:jc w:val="both"/>
      </w:pPr>
      <w:r>
        <w:rPr>
          <w:sz w:val="20"/>
        </w:rPr>
        <w:t xml:space="preserve">4) Целесообразно пересмотреть законодательство о промышленных установках в целях упрощения и уточнения существующих положений, сокращения излишних административных барьеров и имплементации выводов Сообщений Европейской комиссии от 21 сентября 2005 г. о Тематической стратегии по загрязнению воздуха (далее именуемой Тематическая стратегия по загрязнению воздуха), от 22 сентября 2006 г. о Тематической стратегии по охране почв, а также от 21 декабря 2005 г. о Тематической стратегии по предотвращению образования и переработке отходов, принятых в целях реализации </w:t>
      </w:r>
      <w:hyperlink w:history="0" r:id="rId13" w:tooltip="Решение N 1600/2002/EC Европейского парламента и Совета Европейского Союза &quot;О Шестой программе действий Сообщества в области окружающей среды&quot; [рус., англ.] (Принято в г. Брюсселе 22.07.2002) ------------ Утратил силу или отменен {КонсультантПлюс}">
        <w:r>
          <w:rPr>
            <w:sz w:val="20"/>
            <w:color w:val="0000ff"/>
          </w:rPr>
          <w:t xml:space="preserve">Решения</w:t>
        </w:r>
      </w:hyperlink>
      <w:r>
        <w:rPr>
          <w:sz w:val="20"/>
        </w:rPr>
        <w:t xml:space="preserve"> 1600/2002/ЕС Европейского парламента и Совета ЕС от 22 июля 2002 г. о Шестой программе действий Сообщества по охране окружающей среды &lt;*&gt;. Указанные Сообщения устанавливают цели по охране здоровья человека и окружающей среды, которые не могут быть достигнуты без дальнейшего сокращения выбросов, возникающих в результате промышленной деятельности.</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ОЖ N L 242, 10.9.2002, стр. 1.</w:t>
      </w:r>
    </w:p>
    <w:p>
      <w:pPr>
        <w:pStyle w:val="0"/>
        <w:ind w:firstLine="540"/>
        <w:jc w:val="both"/>
      </w:pPr>
      <w:r>
        <w:rPr>
          <w:sz w:val="20"/>
        </w:rPr>
      </w:r>
    </w:p>
    <w:p>
      <w:pPr>
        <w:pStyle w:val="0"/>
        <w:ind w:firstLine="540"/>
        <w:jc w:val="both"/>
      </w:pPr>
      <w:r>
        <w:rPr>
          <w:sz w:val="20"/>
        </w:rPr>
        <w:t xml:space="preserve">5) В целях обеспечения предупреждения и контроля за загрязнением каждая установка должна функционировать только при наличии разрешения или, отношении определенных установок и видов деятельности, в которых используются органические растворители, только при наличии разрешения или регистрации.</w:t>
      </w:r>
    </w:p>
    <w:p>
      <w:pPr>
        <w:pStyle w:val="0"/>
        <w:spacing w:before="200" w:line-rule="auto"/>
        <w:ind w:firstLine="540"/>
        <w:jc w:val="both"/>
      </w:pPr>
      <w:r>
        <w:rPr>
          <w:sz w:val="20"/>
        </w:rPr>
        <w:t xml:space="preserve">6) Государства-члены ЕС вправе определять обязанности операторов установок при условии выполнения требований настоящей Директивы. Государства-члены ЕС вправе выдать разрешение одному оператору, несущему ответственность за эксплуатацию установки, или определить ответственность нескольких операторов на различных частях установки. В случае если действующая законодательная система государства-члена ЕС предусматривает наличие одного оператора, несущего ответственность за эксплуатацию установки, такое государство вправе сохранить эту систему.</w:t>
      </w:r>
    </w:p>
    <w:p>
      <w:pPr>
        <w:pStyle w:val="0"/>
        <w:spacing w:before="200" w:line-rule="auto"/>
        <w:ind w:firstLine="540"/>
        <w:jc w:val="both"/>
      </w:pPr>
      <w:r>
        <w:rPr>
          <w:sz w:val="20"/>
        </w:rPr>
        <w:t xml:space="preserve">7) В целях содействия выдаче разрешений государства-члены ЕС должны установить требования в отношении определенных категорий установок в виде юридически обязательных норм.</w:t>
      </w:r>
    </w:p>
    <w:p>
      <w:pPr>
        <w:pStyle w:val="0"/>
        <w:spacing w:before="200" w:line-rule="auto"/>
        <w:ind w:firstLine="540"/>
        <w:jc w:val="both"/>
      </w:pPr>
      <w:r>
        <w:rPr>
          <w:sz w:val="20"/>
        </w:rPr>
        <w:t xml:space="preserve">8) Важно предупреждать аварии и инциденты и ограничивать их последствия. Ответственность за экологические последствия аварий и инцидентов регулируется соответствующим национальным законодательством и, если применимо, соответствующим законодательством Европейского Союза.</w:t>
      </w:r>
    </w:p>
    <w:p>
      <w:pPr>
        <w:pStyle w:val="0"/>
        <w:spacing w:before="200" w:line-rule="auto"/>
        <w:ind w:firstLine="540"/>
        <w:jc w:val="both"/>
      </w:pPr>
      <w:r>
        <w:rPr>
          <w:sz w:val="20"/>
        </w:rPr>
        <w:t xml:space="preserve">9) Чтобы избежать дублирования в правовом регулировании, разрешение на установку, предусмотренное </w:t>
      </w:r>
      <w:hyperlink w:history="0" r:id="rId14" w:tooltip="Директива N 2003/87/ЕС Европейского парламента и Совета Европейского Союза &quot;Об учреждении системы торговли квотами на выброс парниковых газов в Союзе и об изменении Директивы 96/61/ЕС Совета ЕС&quot; [рус., англ.] (Вместе с &quot;Категориями деятельности...&quot;, &quot;Парниковыми газами...&quot;, &quot;Увеличением процентного значения квот...&quot;, &quot;Распределением средств из фонда модернизации...&quot;, &quot;Принципами осуществления мониторинга и представления отчетности...&quot;, &quot;Критериями верификации...&quot;) (Принята в г. Люксембурге 13.10.2003) (с из {КонсультантПлюс}">
        <w:r>
          <w:rPr>
            <w:sz w:val="20"/>
            <w:color w:val="0000ff"/>
          </w:rPr>
          <w:t xml:space="preserve">Директивой</w:t>
        </w:r>
      </w:hyperlink>
      <w:r>
        <w:rPr>
          <w:sz w:val="20"/>
        </w:rPr>
        <w:t xml:space="preserve"> 2003/87/ЕС Европейского парламента и Совета ЕС от 13 октября 2003 г. учреждающей схему торговли квотами на выброс парниковых газов в Сообществе </w:t>
      </w:r>
      <w:hyperlink w:history="0" w:anchor="P58" w:tooltip="&lt;*&gt; ОЖ N L 275, 25.10.2003, стр. 32.">
        <w:r>
          <w:rPr>
            <w:sz w:val="20"/>
            <w:color w:val="0000ff"/>
          </w:rPr>
          <w:t xml:space="preserve">&lt;*&gt;</w:t>
        </w:r>
      </w:hyperlink>
      <w:r>
        <w:rPr>
          <w:sz w:val="20"/>
        </w:rPr>
        <w:t xml:space="preserve">, не должно включать пороговые значения выбросов в отношении прямых выбросов парниковых газов, указанных в приложении I к этой Директиве, за исключением случаев, когда необходимо гарантировать отсутствие значительного загрязнения на местном уровне, а также в случаях, когда действие такой схемы не распространяется на установку.</w:t>
      </w:r>
    </w:p>
    <w:p>
      <w:pPr>
        <w:pStyle w:val="0"/>
        <w:spacing w:before="200" w:line-rule="auto"/>
        <w:ind w:firstLine="540"/>
        <w:jc w:val="both"/>
      </w:pPr>
      <w:r>
        <w:rPr>
          <w:sz w:val="20"/>
        </w:rPr>
        <w:t xml:space="preserve">--------------------------------</w:t>
      </w:r>
    </w:p>
    <w:bookmarkStart w:id="58" w:name="P58"/>
    <w:bookmarkEnd w:id="58"/>
    <w:p>
      <w:pPr>
        <w:pStyle w:val="0"/>
        <w:spacing w:before="200" w:line-rule="auto"/>
        <w:ind w:firstLine="540"/>
        <w:jc w:val="both"/>
      </w:pPr>
      <w:r>
        <w:rPr>
          <w:sz w:val="20"/>
        </w:rPr>
        <w:t xml:space="preserve">&lt;*&gt; ОЖ N L 275, 25.10.2003, стр. 32.</w:t>
      </w:r>
    </w:p>
    <w:p>
      <w:pPr>
        <w:pStyle w:val="0"/>
        <w:ind w:firstLine="540"/>
        <w:jc w:val="both"/>
      </w:pPr>
      <w:r>
        <w:rPr>
          <w:sz w:val="20"/>
        </w:rPr>
      </w:r>
    </w:p>
    <w:p>
      <w:pPr>
        <w:pStyle w:val="0"/>
        <w:ind w:firstLine="540"/>
        <w:jc w:val="both"/>
      </w:pPr>
      <w:r>
        <w:rPr>
          <w:sz w:val="20"/>
        </w:rPr>
        <w:t xml:space="preserve">10) В соответствии со </w:t>
      </w:r>
      <w:hyperlink w:history="0" r:id="rId15" w:tooltip="&quot;Договор о функционировании Европейского Союза&quot; [рус., англ.] (Вместе со &quot;Списком, предусмотренным в статье 38...&quot;, &quot;Заморскими странами и территориями, к которым применяются положения части четвертой Договора...&quot;) (Подписан в г. Риме 25.03.1957) (с изм. и доп. от 13.12.2007) {КонсультантПлюс}">
        <w:r>
          <w:rPr>
            <w:sz w:val="20"/>
            <w:color w:val="0000ff"/>
          </w:rPr>
          <w:t xml:space="preserve">статьей 193</w:t>
        </w:r>
      </w:hyperlink>
      <w:r>
        <w:rPr>
          <w:sz w:val="20"/>
        </w:rPr>
        <w:t xml:space="preserve"> Договора настоящая Директива не препятствует государствам-членам ЕС оставлять в силе или вводить более строгие защитные меры, например, требования к выбросам парниковых газов, при условии, что такие меры совместимы с Договорами, а также при условии уведомления Европейской комиссии.</w:t>
      </w:r>
    </w:p>
    <w:p>
      <w:pPr>
        <w:pStyle w:val="0"/>
        <w:spacing w:before="200" w:line-rule="auto"/>
        <w:ind w:firstLine="540"/>
        <w:jc w:val="both"/>
      </w:pPr>
      <w:r>
        <w:rPr>
          <w:sz w:val="20"/>
        </w:rPr>
        <w:t xml:space="preserve">11) Операторы должны подавать заявления на выдачу разрешений, содержащие информацию, необходимую компетентным органам для установления условий, предусмотренных разрешением. При подаче заявлений на выдачу разрешений операторам следует использовать информацию, полученную в результате применения Директивы 85/337/ЕЭС Совета ЕС от 27 июня 1985 г. по оценке воздействия некоторых государственных и частных проектов на окружающую среду &lt;*&gt;, а также Директивы 96/82/ЕС Совета ЕС от 9 декабря 1996 г. о контроле за крупными авариями, связанными с распространением опасных веществ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ОЖ N L 175, 5.7.1985, стр. 40.</w:t>
      </w:r>
    </w:p>
    <w:p>
      <w:pPr>
        <w:pStyle w:val="0"/>
        <w:spacing w:before="200" w:line-rule="auto"/>
        <w:ind w:firstLine="540"/>
        <w:jc w:val="both"/>
      </w:pPr>
      <w:r>
        <w:rPr>
          <w:sz w:val="20"/>
        </w:rPr>
        <w:t xml:space="preserve">&lt;**&gt; ОЖ N L 10, 14.7.1997, стр. 13.</w:t>
      </w:r>
    </w:p>
    <w:p>
      <w:pPr>
        <w:pStyle w:val="0"/>
        <w:ind w:firstLine="540"/>
        <w:jc w:val="both"/>
      </w:pPr>
      <w:r>
        <w:rPr>
          <w:sz w:val="20"/>
        </w:rPr>
      </w:r>
    </w:p>
    <w:p>
      <w:pPr>
        <w:pStyle w:val="0"/>
        <w:ind w:firstLine="540"/>
        <w:jc w:val="both"/>
      </w:pPr>
      <w:r>
        <w:rPr>
          <w:sz w:val="20"/>
        </w:rPr>
        <w:t xml:space="preserve">12) Разрешение должно включать меры, необходимые для достижения высокого уровня защиты окружающей среды в целом и для обеспечения функционирования установки в соответствии с общими принципами, регулирующими основные обязанности оператора. Разрешение также должно включать пороговые значения выбросов для загрязняющих веществ или эквивалентные значения, технические мероприятия, соответствующие требования к охране почв и грунтовых вод, а также требования по осуществлению мониторинга. Условия, предусмотренные разрешением, устанавливаются на основе наилучших доступных технологий.</w:t>
      </w:r>
    </w:p>
    <w:p>
      <w:pPr>
        <w:pStyle w:val="0"/>
        <w:spacing w:before="200" w:line-rule="auto"/>
        <w:ind w:firstLine="540"/>
        <w:jc w:val="both"/>
      </w:pPr>
      <w:r>
        <w:rPr>
          <w:sz w:val="20"/>
        </w:rPr>
        <w:t xml:space="preserve">13) В целях выявления наилучших доступных технологий и ограничения диспропорций в пределах Европейского Союза в отношении уровней выбросов от промышленной деятельности необходимо разработать справочники наилучших доступных технологий (далее именуемые "справочники BAT"). Указанные справочники необходимо пересматривать и по необходимости обновлять по результатам обмена информацией с заинтересованными лицами. Ключевые элементы справочников BAT (далее именуемые "заключения BAT") необходимо утверждать в установленном комитетом порядке. В этой связи Европейская комиссия должна в установленном комитетом порядке принимать рекомендации по сбору данных, по разработке справочников BAT, а также по обеспечению гарантии качества. Необходимо принимать во внимание заключения BAT при установлении условий, предусмотренных разрешением. Иные источники также могут быть приняты во внимание. Европейская комиссия должна стремиться к обновлению справочников BAT не позднее восьми лет после публикации предшествующей редакции.</w:t>
      </w:r>
    </w:p>
    <w:p>
      <w:pPr>
        <w:pStyle w:val="0"/>
        <w:spacing w:before="200" w:line-rule="auto"/>
        <w:ind w:firstLine="540"/>
        <w:jc w:val="both"/>
      </w:pPr>
      <w:r>
        <w:rPr>
          <w:sz w:val="20"/>
        </w:rPr>
        <w:t xml:space="preserve">14) В целях обеспечения эффективного и активного обмена информацией, необходимой для составления высококачественных справочников BAT, Европейская комиссия создает форум, который функционирует на прозрачной основе. Необходимо разработать практические мероприятия по обмену информацией и обеспечению доступности справочников BAT. В частности, необходимо гарантировать, что государства-члена ЕС и заинтересованные лица предоставляют информацию надлежащего качества и в достаточном количестве на основе разработанных рекомендаций, позволяющих выявить наилучшие доступные технологии и появляющиеся технологии.</w:t>
      </w:r>
    </w:p>
    <w:p>
      <w:pPr>
        <w:pStyle w:val="0"/>
        <w:spacing w:before="200" w:line-rule="auto"/>
        <w:ind w:firstLine="540"/>
        <w:jc w:val="both"/>
      </w:pPr>
      <w:r>
        <w:rPr>
          <w:sz w:val="20"/>
        </w:rPr>
        <w:t xml:space="preserve">15) Важно предоставить компетентным органам достаточную гибкость в установлении пороговых значений выбросов, которые гарантируют, что при нормальных условиях эксплуатации выбросы не превышают уровни, утвержденные в соответствии с наилучшими доступными технологиями. В этих целях компетентные органы вправе устанавливать уровни выбросов, отличные от уровней, утвержденных в соответствии с наилучшими доступными технологиями, в том, что касается значений, сроков и применимых условий эксплуатации. Указанные отличия возможны в той мере, в какой такие выбросы не превышают уровни, утвержденные в соответствии с наилучшими доступными технологиями по данным мониторинга выбросов. Результатом соблюдения пороговых значений выбросов, предусмотренных разрешением, является наличие выбросов ниже данных пороговых значений.</w:t>
      </w:r>
    </w:p>
    <w:p>
      <w:pPr>
        <w:pStyle w:val="0"/>
        <w:spacing w:before="200" w:line-rule="auto"/>
        <w:ind w:firstLine="540"/>
        <w:jc w:val="both"/>
      </w:pPr>
      <w:r>
        <w:rPr>
          <w:sz w:val="20"/>
        </w:rPr>
        <w:t xml:space="preserve">16) В целях учета определенных обстоятельств, когда применение уровней выбросов, утвержденных в соответствии с наилучшими доступными технологиями, приведет к непропорционально высоким издержкам по сравнению с преимуществами для окружающей среды, компетентные органы могут устанавливать пороговые значения выбросов, отклоняющиеся от указанных уровней. Такие отклонения должны основываться на оценке, проведенной с учетом четко определенных критериев. Выбросы не должны превышать пороговых значений, установленных настоящей Директивой. В любом случае необходимо обеспечить высокий уровень защиты окружающей среды в целом и не допускать значительного загрязнения.</w:t>
      </w:r>
    </w:p>
    <w:p>
      <w:pPr>
        <w:pStyle w:val="0"/>
        <w:spacing w:before="200" w:line-rule="auto"/>
        <w:ind w:firstLine="540"/>
        <w:jc w:val="both"/>
      </w:pPr>
      <w:r>
        <w:rPr>
          <w:sz w:val="20"/>
        </w:rPr>
        <w:t xml:space="preserve">17) Чтобы предоставить операторам возможность тестировать появляющиеся технологии, которые могут обеспечить более высокий общий уровень защиты окружающей среды или по крайней мере такой же уровень защиты окружающей среды при достижении большей эффективности в сокращении затрат по сравнению с существующими наилучшими доступными технологиями, компетентный орган вправе предусмотреть временные отступления от уровней выбросов, утвержденных в соответствии с наилучшими доступными технологиями.</w:t>
      </w:r>
    </w:p>
    <w:p>
      <w:pPr>
        <w:pStyle w:val="0"/>
        <w:spacing w:before="200" w:line-rule="auto"/>
        <w:ind w:firstLine="540"/>
        <w:jc w:val="both"/>
      </w:pPr>
      <w:r>
        <w:rPr>
          <w:sz w:val="20"/>
        </w:rPr>
        <w:t xml:space="preserve">18) Изменения в установках могут привести к увеличению уровней загрязнения. Операторы должны информировать компетентный орган о любых запланированных изменениях, которые могут оказать влияние на окружающую среду. Существенные изменения в установках, которые могут отрицательно повлиять на здоровье человека или на окружающую среду, могут быть внесены только при наличии разрешения, выданного в соответствии с настоящей Директивой.</w:t>
      </w:r>
    </w:p>
    <w:p>
      <w:pPr>
        <w:pStyle w:val="0"/>
        <w:spacing w:before="200" w:line-rule="auto"/>
        <w:ind w:firstLine="540"/>
        <w:jc w:val="both"/>
      </w:pPr>
      <w:r>
        <w:rPr>
          <w:sz w:val="20"/>
        </w:rPr>
        <w:t xml:space="preserve">19) Распространение минеральных удобрений существенным образом способствует выбросу загрязняющих веществ в воздух и воду. Для достижения целей, установленных Тематической стратегией по загрязнению воздуха и законодательством Европейского Союза об охране вод, Европейская комиссия должна пересмотреть необходимость учреждения надлежащих механизмов контроля за указанными выбросами посредством применения наилучших доступных технологий.</w:t>
      </w:r>
    </w:p>
    <w:p>
      <w:pPr>
        <w:pStyle w:val="0"/>
        <w:spacing w:before="200" w:line-rule="auto"/>
        <w:ind w:firstLine="540"/>
        <w:jc w:val="both"/>
      </w:pPr>
      <w:r>
        <w:rPr>
          <w:sz w:val="20"/>
        </w:rPr>
        <w:t xml:space="preserve">20) Интенсивное разведение домашней птицы и скота существенным образом способствует выбросу загрязняющих веществ в воздух и воду. Для достижения целей, установленных Тематической стратегией по загрязнению воздуха и законодательством Европейского Союза об охране вод, Европейская комиссия должна пересмотреть необходимость установления дифференцированных пороговых уровней мощности для разных видов домашней птицы, чтобы определить сферу действия настоящей Директивы и пересмотреть необходимость учреждения надлежащих механизмов контроля за выбросами от установок по разведению скота.</w:t>
      </w:r>
    </w:p>
    <w:p>
      <w:pPr>
        <w:pStyle w:val="0"/>
        <w:spacing w:before="200" w:line-rule="auto"/>
        <w:ind w:firstLine="540"/>
        <w:jc w:val="both"/>
      </w:pPr>
      <w:r>
        <w:rPr>
          <w:sz w:val="20"/>
        </w:rPr>
        <w:t xml:space="preserve">21) В целях учета изменений в наилучших доступных технологиях или иных изменений в установках необходимо регулярно пересматривать и при необходимости, уточнять условия разрешения, в частности, в тех случаях, когда приняты новые или измененные заключения BAT.</w:t>
      </w:r>
    </w:p>
    <w:p>
      <w:pPr>
        <w:pStyle w:val="0"/>
        <w:spacing w:before="200" w:line-rule="auto"/>
        <w:ind w:firstLine="540"/>
        <w:jc w:val="both"/>
      </w:pPr>
      <w:r>
        <w:rPr>
          <w:sz w:val="20"/>
        </w:rPr>
        <w:t xml:space="preserve">22) В особых случаях, когда по результатам пересмотра или уточнения условий разрешений будет выявлено, что для внедрения наилучших доступных технологий может потребоваться период более четырех лет после публикации решения о заключениях BAT, компетентные органы вправе установить в разрешениях более длительный срок, если это оправдано исходя из критериев, предусмотренных настоящей Директивой.</w:t>
      </w:r>
    </w:p>
    <w:p>
      <w:pPr>
        <w:pStyle w:val="0"/>
        <w:spacing w:before="200" w:line-rule="auto"/>
        <w:ind w:firstLine="540"/>
        <w:jc w:val="both"/>
      </w:pPr>
      <w:r>
        <w:rPr>
          <w:sz w:val="20"/>
        </w:rPr>
        <w:t xml:space="preserve">23) Необходимо гарантировать, что функционирование установки не ухудшает качество почв и грунтовых вод. В связи с этим условия разрешений должны предусматривать применение надлежащих мер по предупреждению загрязнений почв или грунтовых вод, а также регулярное наблюдение за применением таких мер, чтобы не допустить утечек, разливов, инцидентов или аварий, возникающих в процессе использования оборудования или хранения. В целях выявления потенциального загрязнения почв и грунтовых вод на ранних стадиях и принятия надлежащих корректирующих мероприятий по недопущению распространения загрязнения, необходимо также проводить мониторинг почв и грунтовых вод на наличие соответствующих опасных веществ. При определении частоты мониторинга нужно учитывать вид превентивных мероприятий, а также частоту и степень наблюдения.</w:t>
      </w:r>
    </w:p>
    <w:p>
      <w:pPr>
        <w:pStyle w:val="0"/>
        <w:spacing w:before="200" w:line-rule="auto"/>
        <w:ind w:firstLine="540"/>
        <w:jc w:val="both"/>
      </w:pPr>
      <w:r>
        <w:rPr>
          <w:sz w:val="20"/>
        </w:rPr>
        <w:t xml:space="preserve">24) Необходимо определять состояние загрязнения почв и грунтовых вод посредством базового отчета, чтобы гарантировать, что функционирование установки не ухудшает качество почв и грунтовых вод. Базовый отчет должен представлять собой практический инструмент, позволяющий, насколько это возможно, сравнить в количественном отношении состояние участка, описанное в данном отчете, и состояние участка, зафиксированное после окончательного прекращения видов деятельности, чтобы удостовериться в значительном увеличении загрязнения почв или грунтовых вод. В связи с этим базовый отчет должен содержать информацию с использованием существующих данных об измерениях почв и грунтовых вод, а также исторические данные о прошлых использованиях участка.</w:t>
      </w:r>
    </w:p>
    <w:p>
      <w:pPr>
        <w:pStyle w:val="0"/>
        <w:spacing w:before="200" w:line-rule="auto"/>
        <w:ind w:firstLine="540"/>
        <w:jc w:val="both"/>
      </w:pPr>
      <w:r>
        <w:rPr>
          <w:sz w:val="20"/>
        </w:rPr>
        <w:t xml:space="preserve">25) В соответствии с принципом "загрязнитель платит" при оценке значительности загрязнения почв и грунтовых вод, вызванного деятельностью оператора, который взял на себя обязательство по восстановлению участка до состояния, описанного в базовом отчете, государства-члены ЕС должны принимать во внимание условия разрешения, применимые в течение срока осуществления соответствующей деятельности, мероприятия по предупреждению загрязнения, а также соответствующее увеличение загрязнения по сравнению со степенью загрязнения, выявленной в базовом отчете. Ответственность за загрязнение, не связанное с деятельностью оператора, регулируется соответствующим национальным законодательством и, если применимо, соответствующим законодательством Европейского Союза.</w:t>
      </w:r>
    </w:p>
    <w:p>
      <w:pPr>
        <w:pStyle w:val="0"/>
        <w:spacing w:before="200" w:line-rule="auto"/>
        <w:ind w:firstLine="540"/>
        <w:jc w:val="both"/>
      </w:pPr>
      <w:r>
        <w:rPr>
          <w:sz w:val="20"/>
        </w:rPr>
        <w:t xml:space="preserve">26) В целях обеспечения эффективной имплементации и исполнения настоящей Директивы операторы должны регулярно представлять компетентному органу отчет о соблюдении условий разрешения. Государства-члены ЕС должны гарантировать, что оператор и компетентный орган принимают необходимые меры в случае несоблюдения настоящей Директивы и обеспечивают систему экологических проверок. Государства-члены ЕС гарантируют наличие достаточного количества специалистов, обладающих навыками и квалификацией, необходимой для эффективного проведения таких проверок.</w:t>
      </w:r>
    </w:p>
    <w:p>
      <w:pPr>
        <w:pStyle w:val="0"/>
        <w:spacing w:before="200" w:line-rule="auto"/>
        <w:ind w:firstLine="540"/>
        <w:jc w:val="both"/>
      </w:pPr>
      <w:r>
        <w:rPr>
          <w:sz w:val="20"/>
        </w:rPr>
        <w:t xml:space="preserve">27) В соответствии с Орхусской </w:t>
      </w:r>
      <w:hyperlink w:history="0" r:id="rId16" w:tooltip="&quot;Конвенция о доступе к информации, участии общественности в процессе принятия решений и доступе к правосудию по вопросам, касающимся окружающей среды&quot; (Вместе с &quot;Перечнем видов деятельности, упомянутых в пункте 1 &quot;a&quot; статьи 6&quot;, &quot;Арбитражем&quot;) (Заключена в г. Орхусе 25.06.1998) {КонсультантПлюс}">
        <w:r>
          <w:rPr>
            <w:sz w:val="20"/>
            <w:color w:val="0000ff"/>
          </w:rPr>
          <w:t xml:space="preserve">конвенцией</w:t>
        </w:r>
      </w:hyperlink>
      <w:r>
        <w:rPr>
          <w:sz w:val="20"/>
        </w:rPr>
        <w:t xml:space="preserve"> о доступе к информации, участии общественности в принятии решений и доступе к правосудию по вопросам, касающимся окружающей среды </w:t>
      </w:r>
      <w:hyperlink w:history="0" w:anchor="P83" w:tooltip="&lt;*&gt; ОЖ N L 124, 17.5.2005, стр. 4.">
        <w:r>
          <w:rPr>
            <w:sz w:val="20"/>
            <w:color w:val="0000ff"/>
          </w:rPr>
          <w:t xml:space="preserve">&lt;*&gt;</w:t>
        </w:r>
      </w:hyperlink>
      <w:r>
        <w:rPr>
          <w:sz w:val="20"/>
        </w:rPr>
        <w:t xml:space="preserve"> необходимо эффективное участие общественности в принятии решений. Это позволит общественности выражать свое мнение и озабоченность в связи с принятием решений, а лицам, принимающим решения, учитывать эти мнения и озабоченность, способствуя, таким образом, подотчетности и прозрачности процесса принятия решений, улучшая информированность об экологических вопросах и поддержку принятых решений. Заинтересованные члены общественности должны иметь доступ к правосудию с тем, чтобы способствовать защите права жить в окружающей среде, благоприятной для здоровья и благосостояния человека.</w:t>
      </w:r>
    </w:p>
    <w:p>
      <w:pPr>
        <w:pStyle w:val="0"/>
        <w:spacing w:before="200" w:line-rule="auto"/>
        <w:ind w:firstLine="540"/>
        <w:jc w:val="both"/>
      </w:pPr>
      <w:r>
        <w:rPr>
          <w:sz w:val="20"/>
        </w:rPr>
        <w:t xml:space="preserve">--------------------------------</w:t>
      </w:r>
    </w:p>
    <w:bookmarkStart w:id="83" w:name="P83"/>
    <w:bookmarkEnd w:id="83"/>
    <w:p>
      <w:pPr>
        <w:pStyle w:val="0"/>
        <w:spacing w:before="200" w:line-rule="auto"/>
        <w:ind w:firstLine="540"/>
        <w:jc w:val="both"/>
      </w:pPr>
      <w:r>
        <w:rPr>
          <w:sz w:val="20"/>
        </w:rPr>
        <w:t xml:space="preserve">&lt;*&gt; ОЖ N L 124, 17.5.2005, стр. 4.</w:t>
      </w:r>
    </w:p>
    <w:p>
      <w:pPr>
        <w:pStyle w:val="0"/>
        <w:ind w:firstLine="540"/>
        <w:jc w:val="both"/>
      </w:pPr>
      <w:r>
        <w:rPr>
          <w:sz w:val="20"/>
        </w:rPr>
      </w:r>
    </w:p>
    <w:p>
      <w:pPr>
        <w:pStyle w:val="0"/>
        <w:ind w:firstLine="540"/>
        <w:jc w:val="both"/>
      </w:pPr>
      <w:r>
        <w:rPr>
          <w:sz w:val="20"/>
        </w:rPr>
        <w:t xml:space="preserve">28) Сжигание топлива в установках с номинальной тепловой мощностью не выше 50 MW существенным образом способствует выбросу загрязняющих веществ в воздух. Для достижения целей, установленных Тематической стратегией по загрязнению воздуха, Европейская комиссия должна пересмотреть необходимость учреждения надлежащих механизмов контроля за выбросами от таких установок. При таком пересмотре следует учитывать особенности заводов по сжиганию, используемых в учреждениях здравоохранения, в частности, их исключительное использование в чрезвычайных ситуациях.</w:t>
      </w:r>
    </w:p>
    <w:p>
      <w:pPr>
        <w:pStyle w:val="0"/>
        <w:spacing w:before="200" w:line-rule="auto"/>
        <w:ind w:firstLine="540"/>
        <w:jc w:val="both"/>
      </w:pPr>
      <w:r>
        <w:rPr>
          <w:sz w:val="20"/>
        </w:rPr>
        <w:t xml:space="preserve">29) Крупные заводы по сжиганию значительным образом способствует выбросу загрязняющих веществ в воздух, что оказывает существенное влияние на здоровье человека и окружающую среду. В целях уменьшения такого влияния и соблюдения требований Директивы 2001/81/ЕС Европейского парламента и Совета ЕС от 23 октября 2001 г. о национальных предельных значениях выбросов для некоторых атмосферных загрязнителей &lt;*&gt;, а также для достижения целей, установленных Тематической стратегией по загрязнению воздуха, необходимо установить более жесткие пороговые значения выбросов на уровне Европейского Союза для определенных категорий заводов по сжиганию и загрязнителей.</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ОЖ N L 309, 27.11.2001, стр. 22</w:t>
      </w:r>
    </w:p>
    <w:p>
      <w:pPr>
        <w:pStyle w:val="0"/>
        <w:ind w:firstLine="540"/>
        <w:jc w:val="both"/>
      </w:pPr>
      <w:r>
        <w:rPr>
          <w:sz w:val="20"/>
        </w:rPr>
      </w:r>
    </w:p>
    <w:p>
      <w:pPr>
        <w:pStyle w:val="0"/>
        <w:ind w:firstLine="540"/>
        <w:jc w:val="both"/>
      </w:pPr>
      <w:r>
        <w:rPr>
          <w:sz w:val="20"/>
        </w:rPr>
        <w:t xml:space="preserve">30) Европейская комиссия должна пересмотреть необходимость установления пороговых значений выбросов на уровне Европейского Союза, а также необходимость изменения пороговых значений выбросов, установленных в </w:t>
      </w:r>
      <w:hyperlink w:history="0" w:anchor="P1507" w:tooltip="ТЕХНИЧЕСКИЕ ХАРАКТЕРИСТИКИ">
        <w:r>
          <w:rPr>
            <w:sz w:val="20"/>
            <w:color w:val="0000ff"/>
          </w:rPr>
          <w:t xml:space="preserve">Приложении V</w:t>
        </w:r>
      </w:hyperlink>
      <w:r>
        <w:rPr>
          <w:sz w:val="20"/>
        </w:rPr>
        <w:t xml:space="preserve"> к настоящей Директиве для определенных крупных заводов по сжиганию, с учетом пересмотра и изменения соответствующих справочников BAT. В данном контексте Европейской комиссии следует учитывать особенности энергетических систем очистительных заводов.</w:t>
      </w:r>
    </w:p>
    <w:p>
      <w:pPr>
        <w:pStyle w:val="0"/>
        <w:spacing w:before="200" w:line-rule="auto"/>
        <w:ind w:firstLine="540"/>
        <w:jc w:val="both"/>
      </w:pPr>
      <w:r>
        <w:rPr>
          <w:sz w:val="20"/>
        </w:rPr>
        <w:t xml:space="preserve">31) В силу характеристик местного твердого топлива целесообразно применять минимальные коэффициенты десульфуризации вместо пороговых значений выбросов для диоксида серы в отношении заводов, сжигающих такое топливо. Кроме того, поскольку особые характеристики нефтяных сланцев могут сделать невозможным применение некоторых методов снижения содержания серы или достижения такого же коэффициента десульфуризации, как в отношении иных видов топлива, для таких заводов целесообразно применять пониженный минимальный коэффициент десульфуризации.</w:t>
      </w:r>
    </w:p>
    <w:p>
      <w:pPr>
        <w:pStyle w:val="0"/>
        <w:spacing w:before="200" w:line-rule="auto"/>
        <w:ind w:firstLine="540"/>
        <w:jc w:val="both"/>
      </w:pPr>
      <w:r>
        <w:rPr>
          <w:sz w:val="20"/>
        </w:rPr>
        <w:t xml:space="preserve">32) В случае внезапных сбоев в поставке топлива с низким содержанием серы или газа, вызванных серьезным дефицитом, компетентный орган вправе, в порядке временного частичного отступления, допустить превышение пороговых значений выбросов, установленных настоящей Директивой соответствующими заводами по сжиганию.</w:t>
      </w:r>
    </w:p>
    <w:p>
      <w:pPr>
        <w:pStyle w:val="0"/>
        <w:spacing w:before="200" w:line-rule="auto"/>
        <w:ind w:firstLine="540"/>
        <w:jc w:val="both"/>
      </w:pPr>
      <w:r>
        <w:rPr>
          <w:sz w:val="20"/>
        </w:rPr>
        <w:t xml:space="preserve">33) Заинтересованный оператор не должен эксплуатировать завод по сжиганию в течение более 24 часов после неисправности или сбоя в работе очистного оборудования, а непрерывная эксплуатация не должна превышать 120 часов в течение 12 месяцев в целях снижения негативного воздействия загрязнения на окружающую среду. Однако при наличии исключительной необходимости в подаче энергии, а также в целях недопущения общего увеличения выбросов, возникающих в результате эксплуатации другого завода, компетентные органы вправе предоставить возможность отступить от этих сроков.</w:t>
      </w:r>
    </w:p>
    <w:p>
      <w:pPr>
        <w:pStyle w:val="0"/>
        <w:spacing w:before="200" w:line-rule="auto"/>
        <w:ind w:firstLine="540"/>
        <w:jc w:val="both"/>
      </w:pPr>
      <w:r>
        <w:rPr>
          <w:sz w:val="20"/>
        </w:rPr>
        <w:t xml:space="preserve">34) В целях обеспечения высокого уровня защиты окружающей среды и здоровья человека, а также недопущения трансграничного переноса отходов на заводы, действующие при более низких экологических стандартах, необходимо установить и поддерживать жесткие условия эксплуатации, технические требования и пороговые значения выбросов для заводов по сжиганию или совместному сжиганию отходов на территории Европейского Союза.</w:t>
      </w:r>
    </w:p>
    <w:p>
      <w:pPr>
        <w:pStyle w:val="0"/>
        <w:spacing w:before="200" w:line-rule="auto"/>
        <w:ind w:firstLine="540"/>
        <w:jc w:val="both"/>
      </w:pPr>
      <w:r>
        <w:rPr>
          <w:sz w:val="20"/>
        </w:rPr>
        <w:t xml:space="preserve">35) Использование органических растворителей в определенной деятельности или установках повышает уровень выбросов органических соединений в воздух, что способствует местному и трансграничному образованию фотохимических окислителей, которые наносят вред природным ресурсам и здоровью человека. В связи с этим необходимо принимать превентивные меры по предотвращению использования органических растворителей и установить требование по соблюдению пороговых значений выбросов в отношении органических соединений, а также надлежащих условий эксплуатации. Вместо пороговых значений, установленных настоящей Директивой, операторы вправе соблюдать схему сокращения выбросов при условии, что другие меры, например, использование продуктов и технологий с низким содержанием растворителя или не содержащих растворитель, позволят достичь эквивалентного сокращения выбросов.</w:t>
      </w:r>
    </w:p>
    <w:p>
      <w:pPr>
        <w:pStyle w:val="0"/>
        <w:spacing w:before="200" w:line-rule="auto"/>
        <w:ind w:firstLine="540"/>
        <w:jc w:val="both"/>
      </w:pPr>
      <w:r>
        <w:rPr>
          <w:sz w:val="20"/>
        </w:rPr>
        <w:t xml:space="preserve">36) Установки, производящие диоксид титана, могут привести к значительному повышению уровня загрязнения воздуха и воды. В целях уменьшения таких воздействий необходимо установить более жесткие пороговые значения выбросов в отношении определенных загрязняющих веществ на уровне Европейского Союза.</w:t>
      </w:r>
    </w:p>
    <w:p>
      <w:pPr>
        <w:pStyle w:val="0"/>
        <w:spacing w:before="200" w:line-rule="auto"/>
        <w:ind w:firstLine="540"/>
        <w:jc w:val="both"/>
      </w:pPr>
      <w:r>
        <w:rPr>
          <w:sz w:val="20"/>
        </w:rPr>
        <w:t xml:space="preserve">37) В связи с включением в сферу применения национальных законодательных, регламентарных и административных положений, введенных в действие в целях соблюдения настоящей Директивы, установок для производства керамических продуктов путем обжига государства-члены ЕС должны решить, применять ли критерий производственной мощности или мощности печи либо оба критерия. Указанное решение должно быть принято с учетом особенностей национального промышленного сектора и содержать четкую интерпретацию сферы применения.</w:t>
      </w:r>
    </w:p>
    <w:p>
      <w:pPr>
        <w:pStyle w:val="0"/>
        <w:spacing w:before="200" w:line-rule="auto"/>
        <w:ind w:firstLine="540"/>
        <w:jc w:val="both"/>
      </w:pPr>
      <w:r>
        <w:rPr>
          <w:sz w:val="20"/>
        </w:rPr>
        <w:t xml:space="preserve">38) В целях упрощения системы отчетности и устранения излишних административных барьеров Европейской комиссии следует выявлять методы по совершенствованию процесса обеспечения доступности сведений, как предусмотрено настоящей Директивой и требованиями иного законодательства Европейского Союза, в частности, </w:t>
      </w:r>
      <w:hyperlink w:history="0" r:id="rId17" w:tooltip="Регламент N 166/2006 Европейского парламента и Совета Европейского Союза &quot;О создании Европейского регистра выброса и переноса загрязняющих веществ и об изменении Директив 91/689/ЕЭС и 96/61 ЕС Совета ЕС&quot; [рус., англ.] (Вместе с &quot;Видами деятельности&quot;, &quot;Загрязнителями&quot;) (Принят в г. Страсбурге 18.01.2006) (с изм. и доп. от 20.06.2019) {КонсультантПлюс}">
        <w:r>
          <w:rPr>
            <w:sz w:val="20"/>
            <w:color w:val="0000ff"/>
          </w:rPr>
          <w:t xml:space="preserve">Регламента</w:t>
        </w:r>
      </w:hyperlink>
      <w:r>
        <w:rPr>
          <w:sz w:val="20"/>
        </w:rPr>
        <w:t xml:space="preserve"> (ЕС) 166/2006 Европейского парламента и Совета ЕС от 18 января 2006 г. о создании Европейского реестра для учета выбросов и переноса вредных веществ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ОЖ N L 33, 4.2.2006, стр. 1.</w:t>
      </w:r>
    </w:p>
    <w:p>
      <w:pPr>
        <w:pStyle w:val="0"/>
        <w:ind w:firstLine="540"/>
        <w:jc w:val="both"/>
      </w:pPr>
      <w:r>
        <w:rPr>
          <w:sz w:val="20"/>
        </w:rPr>
      </w:r>
    </w:p>
    <w:p>
      <w:pPr>
        <w:pStyle w:val="0"/>
        <w:ind w:firstLine="540"/>
        <w:jc w:val="both"/>
      </w:pPr>
      <w:r>
        <w:rPr>
          <w:sz w:val="20"/>
        </w:rPr>
        <w:t xml:space="preserve">39) В целях обеспечения единых условий имплементации имплементирующие полномочия должны быть переданы Европейской комиссии для принятия рекомендаций по сбору данных, составлению справочников BAT и обеспечению гарантии их качества, в том числе соответствия их содержания и формата, для принятия решений, содержащих заключения BAT, для утверждения детальных норм по определению периодов включения и отключения и переходных национальных планов в отношении крупных заводов по сжиганию, а также для утверждения вида, формата и частоты предоставления информации, которую государства-члены ЕС предоставляют Европейской комиссии. В соответствии со </w:t>
      </w:r>
      <w:hyperlink w:history="0" r:id="rId18" w:tooltip="&quot;Договор о функционировании Европейского Союза&quot; [рус., англ.] (Вместе со &quot;Списком, предусмотренным в статье 38...&quot;, &quot;Заморскими странами и территориями, к которым применяются положения части четвертой Договора...&quot;) (Подписан в г. Риме 25.03.1957) (с изм. и доп. от 13.12.2007) {КонсультантПлюс}">
        <w:r>
          <w:rPr>
            <w:sz w:val="20"/>
            <w:color w:val="0000ff"/>
          </w:rPr>
          <w:t xml:space="preserve">статьей 291</w:t>
        </w:r>
      </w:hyperlink>
      <w:r>
        <w:rPr>
          <w:sz w:val="20"/>
        </w:rPr>
        <w:t xml:space="preserve"> Договора нормы и общие принципы, касающиеся механизмов контроля со стороны государств-членов ЕС за осуществлением Европейской комиссией своих имплементирующих полномочий, устанавливаются заранее в форме регламента, принятого в соответствии с обычной законодательной процедурой. Вплоть до принятия такого регламента применяется Решение 1999/468/ЕС Совета ЕС от 28 июня 1999 г., устанавливающее процедуру по осуществлению полномочий, которыми наделена Европейская комиссия &lt;*&gt;, за исключением регулятивной процедуры с проверкой, которая не применяется.</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ОЖ N L 184, 17.7.1999, стр. 23.</w:t>
      </w:r>
    </w:p>
    <w:p>
      <w:pPr>
        <w:pStyle w:val="0"/>
        <w:ind w:firstLine="540"/>
        <w:jc w:val="both"/>
      </w:pPr>
      <w:r>
        <w:rPr>
          <w:sz w:val="20"/>
        </w:rPr>
      </w:r>
    </w:p>
    <w:p>
      <w:pPr>
        <w:pStyle w:val="0"/>
        <w:ind w:firstLine="540"/>
        <w:jc w:val="both"/>
      </w:pPr>
      <w:r>
        <w:rPr>
          <w:sz w:val="20"/>
        </w:rPr>
        <w:t xml:space="preserve">40) Европейская комиссия должна иметь полномочия по принятию актов делегированного законодательства в соответствии со </w:t>
      </w:r>
      <w:hyperlink w:history="0" r:id="rId19" w:tooltip="&quot;Договор о функционировании Европейского Союза&quot; [рус., англ.] (Вместе со &quot;Списком, предусмотренным в статье 38...&quot;, &quot;Заморскими странами и территориями, к которым применяются положения части четвертой Договора...&quot;) (Подписан в г. Риме 25.03.1957) (с изм. и доп. от 13.12.2007) {КонсультантПлюс}">
        <w:r>
          <w:rPr>
            <w:sz w:val="20"/>
            <w:color w:val="0000ff"/>
          </w:rPr>
          <w:t xml:space="preserve">статьей 290</w:t>
        </w:r>
      </w:hyperlink>
      <w:r>
        <w:rPr>
          <w:sz w:val="20"/>
        </w:rPr>
        <w:t xml:space="preserve"> Договора в отношении установления сроков проведения непрерывных измерений выбросов в воздух тяжелых металлов, диоксинов и фуранов, а также в отношении изменения отдельных частей </w:t>
      </w:r>
      <w:hyperlink w:history="0" w:anchor="P1507" w:tooltip="ТЕХНИЧЕСКИЕ ХАРАКТЕРИСТИКИ">
        <w:r>
          <w:rPr>
            <w:sz w:val="20"/>
            <w:color w:val="0000ff"/>
          </w:rPr>
          <w:t xml:space="preserve">Приложений V</w:t>
        </w:r>
      </w:hyperlink>
      <w:r>
        <w:rPr>
          <w:sz w:val="20"/>
        </w:rPr>
        <w:t xml:space="preserve">, </w:t>
      </w:r>
      <w:hyperlink w:history="0" w:anchor="P2073" w:tooltip="ТЕХНИЧЕСКИЕ ХАРАКТЕРИСТИКИ">
        <w:r>
          <w:rPr>
            <w:sz w:val="20"/>
            <w:color w:val="0000ff"/>
          </w:rPr>
          <w:t xml:space="preserve">VI</w:t>
        </w:r>
      </w:hyperlink>
      <w:r>
        <w:rPr>
          <w:sz w:val="20"/>
        </w:rPr>
        <w:t xml:space="preserve"> и </w:t>
      </w:r>
      <w:hyperlink w:history="0" w:anchor="P2795" w:tooltip="ТЕХНИЧЕСКИЕ ПОЛОЖЕНИЯ">
        <w:r>
          <w:rPr>
            <w:sz w:val="20"/>
            <w:color w:val="0000ff"/>
          </w:rPr>
          <w:t xml:space="preserve">VII</w:t>
        </w:r>
      </w:hyperlink>
      <w:r>
        <w:rPr>
          <w:sz w:val="20"/>
        </w:rPr>
        <w:t xml:space="preserve"> с учетом научного и технического прогресса. Что касается заводов по сжиганию или совместному сжиганию отходов, такие полномочия могут включать, inter alia, установление критериев отступления от непрерывного мониторинга совокупных выбросов пыли. Особенно важно, чтобы Европейская комиссия проводила соответствующие консультации при проведении подготовительных работ, в том числе на уровне экспертов.</w:t>
      </w:r>
    </w:p>
    <w:p>
      <w:pPr>
        <w:pStyle w:val="0"/>
        <w:spacing w:before="200" w:line-rule="auto"/>
        <w:ind w:firstLine="540"/>
        <w:jc w:val="both"/>
      </w:pPr>
      <w:r>
        <w:rPr>
          <w:sz w:val="20"/>
        </w:rPr>
        <w:t xml:space="preserve">41) В целях устранения значительного загрязнения окружающей среды, например, от тяжелых металлов, диоксинов и фуранов, Европейская комиссия, основываясь на оценке применения наилучших доступных технологий в определенной деятельности или на оценке влияния такой деятельности на окружающую среду в целом, вносит предложения о минимальных требованиях к пороговым значениям выбросов и к нормам о мониторинге и соответствии для всего Европейского Союза.</w:t>
      </w:r>
    </w:p>
    <w:p>
      <w:pPr>
        <w:pStyle w:val="0"/>
        <w:spacing w:before="200" w:line-rule="auto"/>
        <w:ind w:firstLine="540"/>
        <w:jc w:val="both"/>
      </w:pPr>
      <w:r>
        <w:rPr>
          <w:sz w:val="20"/>
        </w:rPr>
        <w:t xml:space="preserve">42) Государства-члены ЕС разрабатывают нормы о санкциях, применимых за нарушение положений национального законодательства, принятого в соответствии с настоящей Директивой, и обеспечивают их применение. Такие санкции должны быть эффективными, соразмерными и должны оказывать сдерживающее воздействие.</w:t>
      </w:r>
    </w:p>
    <w:p>
      <w:pPr>
        <w:pStyle w:val="0"/>
        <w:spacing w:before="200" w:line-rule="auto"/>
        <w:ind w:firstLine="540"/>
        <w:jc w:val="both"/>
      </w:pPr>
      <w:r>
        <w:rPr>
          <w:sz w:val="20"/>
        </w:rPr>
        <w:t xml:space="preserve">43) В целях предоставления достаточного срока для технического переоборудования существующих установок в соответствии с новыми требованиями настоящей Директивы отдельные требования должны применяться к данным установкам по истечении определенного срока, начиная с даты применения настоящей Директивы. Следует предоставить достаточный срок для проведения на заводах по сжиганию необходимых очистительных мероприятий в целях соблюдения пороговых значений выбросов, установленных в </w:t>
      </w:r>
      <w:hyperlink w:history="0" w:anchor="P1507" w:tooltip="ТЕХНИЧЕСКИЕ ХАРАКТЕРИСТИКИ">
        <w:r>
          <w:rPr>
            <w:sz w:val="20"/>
            <w:color w:val="0000ff"/>
          </w:rPr>
          <w:t xml:space="preserve">Приложении V</w:t>
        </w:r>
      </w:hyperlink>
      <w:r>
        <w:rPr>
          <w:sz w:val="20"/>
        </w:rPr>
        <w:t xml:space="preserve"> к настоящей Директиве.</w:t>
      </w:r>
    </w:p>
    <w:p>
      <w:pPr>
        <w:pStyle w:val="0"/>
        <w:spacing w:before="200" w:line-rule="auto"/>
        <w:ind w:firstLine="540"/>
        <w:jc w:val="both"/>
      </w:pPr>
      <w:r>
        <w:rPr>
          <w:sz w:val="20"/>
        </w:rPr>
        <w:t xml:space="preserve">44) Поскольку цели настоящей Директивы, а именно обеспечение высокого уровня защиты окружающей среды и улучшение качества окружающей среды, не могут быть достигнуты государствами-членами ЕС, но с большей эффективностью могут быть достигнуты на уровне Европейского Союза по причине трансграничного характера загрязнения от промышленной деятельности, постольку Европейский Союз вправе принимать меры в соответствии с принципом субсидиарности, предусмотренным </w:t>
      </w:r>
      <w:hyperlink w:history="0" r:id="rId20" w:tooltip="&quot;Договор о Европейском Союзе&quot; [рус., англ.] (Подписан в г. Маастрихте 07.02.1992) (с изм. и доп. от 13.12.2007) {КонсультантПлюс}">
        <w:r>
          <w:rPr>
            <w:sz w:val="20"/>
            <w:color w:val="0000ff"/>
          </w:rPr>
          <w:t xml:space="preserve">статьей 5</w:t>
        </w:r>
      </w:hyperlink>
      <w:r>
        <w:rPr>
          <w:sz w:val="20"/>
        </w:rPr>
        <w:t xml:space="preserve"> Договора. В соответствии с принципом пропорциональности, предусмотренным указанной </w:t>
      </w:r>
      <w:hyperlink w:history="0" r:id="rId21" w:tooltip="&quot;Договор о Европейском Союзе&quot; [рус., англ.] (Подписан в г. Маастрихте 07.02.1992) (с изм. и доп. от 13.12.2007) {КонсультантПлюс}">
        <w:r>
          <w:rPr>
            <w:sz w:val="20"/>
            <w:color w:val="0000ff"/>
          </w:rPr>
          <w:t xml:space="preserve">статьей</w:t>
        </w:r>
      </w:hyperlink>
      <w:r>
        <w:rPr>
          <w:sz w:val="20"/>
        </w:rPr>
        <w:t xml:space="preserve">, настоящая Директива не выходит за пределы того, что, необходимо для достижения данных целей.</w:t>
      </w:r>
    </w:p>
    <w:p>
      <w:pPr>
        <w:pStyle w:val="0"/>
        <w:spacing w:before="200" w:line-rule="auto"/>
        <w:ind w:firstLine="540"/>
        <w:jc w:val="both"/>
      </w:pPr>
      <w:r>
        <w:rPr>
          <w:sz w:val="20"/>
        </w:rPr>
        <w:t xml:space="preserve">45) Настоящая Директива соблюдает основные права и принципы, признанные, в частности, </w:t>
      </w:r>
      <w:hyperlink w:history="0" r:id="rId22" w:tooltip="&quot;Хартия Европейского Союза об основных правах&quot; (2007/С 303/01) [рус., англ.] (Вместе с &quot;Разъяснениями...&quot; (2007/С 303/02)) (Принята в г. Страсбурге 12.12.2007) {КонсультантПлюс}">
        <w:r>
          <w:rPr>
            <w:sz w:val="20"/>
            <w:color w:val="0000ff"/>
          </w:rPr>
          <w:t xml:space="preserve">Хартией</w:t>
        </w:r>
      </w:hyperlink>
      <w:r>
        <w:rPr>
          <w:sz w:val="20"/>
        </w:rPr>
        <w:t xml:space="preserve"> Европейского Союза об основных правах. В частности, настоящая Директива способствует применению </w:t>
      </w:r>
      <w:hyperlink w:history="0" r:id="rId23" w:tooltip="&quot;Хартия Европейского Союза об основных правах&quot; (2007/С 303/01) [рус., англ.] (Вместе с &quot;Разъяснениями...&quot; (2007/С 303/02)) (Принята в г. Страсбурге 12.12.2007) {КонсультантПлюс}">
        <w:r>
          <w:rPr>
            <w:sz w:val="20"/>
            <w:color w:val="0000ff"/>
          </w:rPr>
          <w:t xml:space="preserve">статьи 37</w:t>
        </w:r>
      </w:hyperlink>
      <w:r>
        <w:rPr>
          <w:sz w:val="20"/>
        </w:rPr>
        <w:t xml:space="preserve"> Хартии.</w:t>
      </w:r>
    </w:p>
    <w:p>
      <w:pPr>
        <w:pStyle w:val="0"/>
        <w:spacing w:before="200" w:line-rule="auto"/>
        <w:ind w:firstLine="540"/>
        <w:jc w:val="both"/>
      </w:pPr>
      <w:r>
        <w:rPr>
          <w:sz w:val="20"/>
        </w:rPr>
        <w:t xml:space="preserve">46) Обязательство по преобразованию настоящей Директивы в национальное право ограничивается только теми положениями, которые существенным образом изменены по сравнению с прежними Директивами. Обязательства по преобразованию неизмененных положений вытекают из прежних Директив.</w:t>
      </w:r>
    </w:p>
    <w:p>
      <w:pPr>
        <w:pStyle w:val="0"/>
        <w:spacing w:before="200" w:line-rule="auto"/>
        <w:ind w:firstLine="540"/>
        <w:jc w:val="both"/>
      </w:pPr>
      <w:r>
        <w:rPr>
          <w:sz w:val="20"/>
        </w:rPr>
        <w:t xml:space="preserve">47) В соответствии с параграфом 34 Межинституционального соглашения по совершенствованию законодательной работы </w:t>
      </w:r>
      <w:hyperlink w:history="0" w:anchor="P115" w:tooltip="&lt;*&gt; ОЖ N C 321, 31.12.2003, стр. 1.">
        <w:r>
          <w:rPr>
            <w:sz w:val="20"/>
            <w:color w:val="0000ff"/>
          </w:rPr>
          <w:t xml:space="preserve">&lt;*&gt;</w:t>
        </w:r>
      </w:hyperlink>
      <w:r>
        <w:rPr>
          <w:sz w:val="20"/>
        </w:rPr>
        <w:t xml:space="preserve">, государства-члены ЕС могут составлять для самих себя, а также в интересах Европейского Союза свои собственные таблицы, иллюстрирующие корреляции между настоящей Директивой и мерами по преобразованию в национальное право, а также обнародовать указанные таблицы.</w:t>
      </w:r>
    </w:p>
    <w:p>
      <w:pPr>
        <w:pStyle w:val="0"/>
        <w:spacing w:before="200" w:line-rule="auto"/>
        <w:ind w:firstLine="540"/>
        <w:jc w:val="both"/>
      </w:pPr>
      <w:r>
        <w:rPr>
          <w:sz w:val="20"/>
        </w:rPr>
        <w:t xml:space="preserve">--------------------------------</w:t>
      </w:r>
    </w:p>
    <w:bookmarkStart w:id="115" w:name="P115"/>
    <w:bookmarkEnd w:id="115"/>
    <w:p>
      <w:pPr>
        <w:pStyle w:val="0"/>
        <w:spacing w:before="200" w:line-rule="auto"/>
        <w:ind w:firstLine="540"/>
        <w:jc w:val="both"/>
      </w:pPr>
      <w:r>
        <w:rPr>
          <w:sz w:val="20"/>
        </w:rPr>
        <w:t xml:space="preserve">&lt;*&gt; ОЖ N C 321, 31.12.2003, стр. 1.</w:t>
      </w:r>
    </w:p>
    <w:p>
      <w:pPr>
        <w:pStyle w:val="0"/>
        <w:ind w:firstLine="540"/>
        <w:jc w:val="both"/>
      </w:pPr>
      <w:r>
        <w:rPr>
          <w:sz w:val="20"/>
        </w:rPr>
      </w:r>
    </w:p>
    <w:p>
      <w:pPr>
        <w:pStyle w:val="0"/>
        <w:ind w:firstLine="540"/>
        <w:jc w:val="both"/>
      </w:pPr>
      <w:r>
        <w:rPr>
          <w:sz w:val="20"/>
        </w:rPr>
        <w:t xml:space="preserve">48) Настоящая Директива действует без ущерба обязательствам государств-членов ЕС в отношении сроков преобразования в национальное право и применения настоящей Директивы, предусмотренных </w:t>
      </w:r>
      <w:hyperlink w:history="0" w:anchor="P3526" w:tooltip="Часть B">
        <w:r>
          <w:rPr>
            <w:sz w:val="20"/>
            <w:color w:val="0000ff"/>
          </w:rPr>
          <w:t xml:space="preserve">частью B</w:t>
        </w:r>
      </w:hyperlink>
      <w:r>
        <w:rPr>
          <w:sz w:val="20"/>
        </w:rPr>
        <w:t xml:space="preserve"> Приложения IX к настоящей Директиве.</w:t>
      </w:r>
    </w:p>
    <w:p>
      <w:pPr>
        <w:pStyle w:val="0"/>
        <w:spacing w:before="200" w:line-rule="auto"/>
        <w:ind w:firstLine="540"/>
        <w:jc w:val="both"/>
      </w:pPr>
      <w:r>
        <w:rPr>
          <w:sz w:val="20"/>
        </w:rPr>
        <w:t xml:space="preserve">приняли настоящую Директиву:</w:t>
      </w:r>
    </w:p>
    <w:p>
      <w:pPr>
        <w:pStyle w:val="0"/>
        <w:ind w:firstLine="540"/>
        <w:jc w:val="both"/>
      </w:pPr>
      <w:r>
        <w:rPr>
          <w:sz w:val="20"/>
        </w:rPr>
      </w:r>
    </w:p>
    <w:p>
      <w:pPr>
        <w:pStyle w:val="0"/>
        <w:outlineLvl w:val="1"/>
        <w:jc w:val="center"/>
      </w:pPr>
      <w:r>
        <w:rPr>
          <w:sz w:val="20"/>
        </w:rPr>
        <w:t xml:space="preserve">Глава I. ОБЩИЕ ПОЛОЖЕНИЯ</w:t>
      </w:r>
    </w:p>
    <w:p>
      <w:pPr>
        <w:pStyle w:val="0"/>
        <w:jc w:val="center"/>
      </w:pPr>
      <w:r>
        <w:rPr>
          <w:sz w:val="20"/>
        </w:rPr>
      </w:r>
    </w:p>
    <w:bookmarkStart w:id="122" w:name="P122"/>
    <w:bookmarkEnd w:id="122"/>
    <w:p>
      <w:pPr>
        <w:pStyle w:val="0"/>
        <w:outlineLvl w:val="2"/>
        <w:jc w:val="center"/>
      </w:pPr>
      <w:r>
        <w:rPr>
          <w:sz w:val="20"/>
        </w:rPr>
        <w:t xml:space="preserve">Статья 1</w:t>
      </w:r>
    </w:p>
    <w:p>
      <w:pPr>
        <w:pStyle w:val="0"/>
        <w:jc w:val="center"/>
      </w:pPr>
      <w:r>
        <w:rPr>
          <w:sz w:val="20"/>
        </w:rPr>
      </w:r>
    </w:p>
    <w:p>
      <w:pPr>
        <w:pStyle w:val="0"/>
        <w:jc w:val="center"/>
      </w:pPr>
      <w:r>
        <w:rPr>
          <w:sz w:val="20"/>
        </w:rPr>
        <w:t xml:space="preserve">Предмет</w:t>
      </w:r>
    </w:p>
    <w:p>
      <w:pPr>
        <w:pStyle w:val="0"/>
        <w:jc w:val="center"/>
      </w:pPr>
      <w:r>
        <w:rPr>
          <w:sz w:val="20"/>
        </w:rPr>
      </w:r>
    </w:p>
    <w:p>
      <w:pPr>
        <w:pStyle w:val="0"/>
        <w:ind w:firstLine="540"/>
        <w:jc w:val="both"/>
      </w:pPr>
      <w:r>
        <w:rPr>
          <w:sz w:val="20"/>
        </w:rPr>
        <w:t xml:space="preserve">Настоящая Директива устанавливает нормы о комплексном предотвращении загрязнения от промышленной деятельности и контроле над ним.</w:t>
      </w:r>
    </w:p>
    <w:p>
      <w:pPr>
        <w:pStyle w:val="0"/>
        <w:spacing w:before="200" w:line-rule="auto"/>
        <w:ind w:firstLine="540"/>
        <w:jc w:val="both"/>
      </w:pPr>
      <w:r>
        <w:rPr>
          <w:sz w:val="20"/>
        </w:rPr>
        <w:t xml:space="preserve">Настоящая Директива также устанавливает нормы, направленные на предотвращение или, в случае если это неосуществимо, на снижение выбросов в воздух, воду и землю, а также на предотвращение образования отходов в целях достижения высокого уровня защиты окружающей среды в целом.</w:t>
      </w:r>
    </w:p>
    <w:p>
      <w:pPr>
        <w:pStyle w:val="0"/>
        <w:ind w:firstLine="540"/>
        <w:jc w:val="both"/>
      </w:pPr>
      <w:r>
        <w:rPr>
          <w:sz w:val="20"/>
        </w:rPr>
      </w:r>
    </w:p>
    <w:bookmarkStart w:id="129" w:name="P129"/>
    <w:bookmarkEnd w:id="129"/>
    <w:p>
      <w:pPr>
        <w:pStyle w:val="0"/>
        <w:outlineLvl w:val="2"/>
        <w:jc w:val="center"/>
      </w:pPr>
      <w:r>
        <w:rPr>
          <w:sz w:val="20"/>
        </w:rPr>
        <w:t xml:space="preserve">Статья 2</w:t>
      </w:r>
    </w:p>
    <w:p>
      <w:pPr>
        <w:pStyle w:val="0"/>
        <w:jc w:val="center"/>
      </w:pPr>
      <w:r>
        <w:rPr>
          <w:sz w:val="20"/>
        </w:rPr>
      </w:r>
    </w:p>
    <w:p>
      <w:pPr>
        <w:pStyle w:val="0"/>
        <w:jc w:val="center"/>
      </w:pPr>
      <w:r>
        <w:rPr>
          <w:sz w:val="20"/>
        </w:rPr>
        <w:t xml:space="preserve">Сфера применения</w:t>
      </w:r>
    </w:p>
    <w:p>
      <w:pPr>
        <w:pStyle w:val="0"/>
        <w:jc w:val="center"/>
      </w:pPr>
      <w:r>
        <w:rPr>
          <w:sz w:val="20"/>
        </w:rPr>
      </w:r>
    </w:p>
    <w:bookmarkStart w:id="133" w:name="P133"/>
    <w:bookmarkEnd w:id="133"/>
    <w:p>
      <w:pPr>
        <w:pStyle w:val="0"/>
        <w:ind w:firstLine="540"/>
        <w:jc w:val="both"/>
      </w:pPr>
      <w:r>
        <w:rPr>
          <w:sz w:val="20"/>
        </w:rPr>
        <w:t xml:space="preserve">1. Настоящая Директива применяется к промышленной деятельности, приводящей к загрязнению, как предусмотрено </w:t>
      </w:r>
      <w:hyperlink w:history="0" w:anchor="P297" w:tooltip="Глава II. ПОЛОЖЕНИЯ ДЛЯ ВИДОВ ДЕЯТЕЛЬНОСТИ, ПЕРЕЧИСЛЕННЫХ">
        <w:r>
          <w:rPr>
            <w:sz w:val="20"/>
            <w:color w:val="0000ff"/>
          </w:rPr>
          <w:t xml:space="preserve">главами II</w:t>
        </w:r>
      </w:hyperlink>
      <w:r>
        <w:rPr>
          <w:sz w:val="20"/>
        </w:rPr>
        <w:t xml:space="preserve"> - </w:t>
      </w:r>
      <w:hyperlink w:history="0" w:anchor="P1049" w:tooltip="Глава VI. СПЕЦИАЛЬНЫЕ ПОЛОЖЕНИЯ ДЛЯ УСТАНОВОК,">
        <w:r>
          <w:rPr>
            <w:sz w:val="20"/>
            <w:color w:val="0000ff"/>
          </w:rPr>
          <w:t xml:space="preserve">VI</w:t>
        </w:r>
      </w:hyperlink>
      <w:r>
        <w:rPr>
          <w:sz w:val="20"/>
        </w:rPr>
        <w:t xml:space="preserve"> настоящей Директивы.</w:t>
      </w:r>
    </w:p>
    <w:bookmarkStart w:id="134" w:name="P134"/>
    <w:bookmarkEnd w:id="134"/>
    <w:p>
      <w:pPr>
        <w:pStyle w:val="0"/>
        <w:spacing w:before="200" w:line-rule="auto"/>
        <w:ind w:firstLine="540"/>
        <w:jc w:val="both"/>
      </w:pPr>
      <w:r>
        <w:rPr>
          <w:sz w:val="20"/>
        </w:rPr>
        <w:t xml:space="preserve">2. Настоящая Директива не применяется к научно-исследовательским и опытно-конструкторским работам, а также к тестированию новых продуктов и процессов.</w:t>
      </w:r>
    </w:p>
    <w:p>
      <w:pPr>
        <w:pStyle w:val="0"/>
        <w:ind w:firstLine="540"/>
        <w:jc w:val="both"/>
      </w:pPr>
      <w:r>
        <w:rPr>
          <w:sz w:val="20"/>
        </w:rPr>
      </w:r>
    </w:p>
    <w:p>
      <w:pPr>
        <w:pStyle w:val="0"/>
        <w:outlineLvl w:val="2"/>
        <w:jc w:val="center"/>
      </w:pPr>
      <w:r>
        <w:rPr>
          <w:sz w:val="20"/>
        </w:rPr>
        <w:t xml:space="preserve">Статья 3</w:t>
      </w:r>
    </w:p>
    <w:p>
      <w:pPr>
        <w:pStyle w:val="0"/>
        <w:jc w:val="center"/>
      </w:pPr>
      <w:r>
        <w:rPr>
          <w:sz w:val="20"/>
        </w:rPr>
      </w:r>
    </w:p>
    <w:p>
      <w:pPr>
        <w:pStyle w:val="0"/>
        <w:jc w:val="center"/>
      </w:pPr>
      <w:r>
        <w:rPr>
          <w:sz w:val="20"/>
        </w:rPr>
        <w:t xml:space="preserve">Определения</w:t>
      </w:r>
    </w:p>
    <w:p>
      <w:pPr>
        <w:pStyle w:val="0"/>
        <w:jc w:val="center"/>
      </w:pPr>
      <w:r>
        <w:rPr>
          <w:sz w:val="20"/>
        </w:rPr>
      </w:r>
    </w:p>
    <w:bookmarkStart w:id="140" w:name="P140"/>
    <w:bookmarkEnd w:id="140"/>
    <w:p>
      <w:pPr>
        <w:pStyle w:val="0"/>
        <w:ind w:firstLine="540"/>
        <w:jc w:val="both"/>
      </w:pPr>
      <w:r>
        <w:rPr>
          <w:sz w:val="20"/>
        </w:rPr>
        <w:t xml:space="preserve">В целях настоящей Директивы применяются следующие определения:</w:t>
      </w:r>
    </w:p>
    <w:bookmarkStart w:id="141" w:name="P141"/>
    <w:bookmarkEnd w:id="141"/>
    <w:p>
      <w:pPr>
        <w:pStyle w:val="0"/>
        <w:spacing w:before="200" w:line-rule="auto"/>
        <w:ind w:firstLine="540"/>
        <w:jc w:val="both"/>
      </w:pPr>
      <w:r>
        <w:rPr>
          <w:sz w:val="20"/>
        </w:rPr>
        <w:t xml:space="preserve">1) под "веществом" понимается любой химический элемент и его соединения, за исключением следующих веществ:</w:t>
      </w:r>
    </w:p>
    <w:p>
      <w:pPr>
        <w:pStyle w:val="0"/>
        <w:spacing w:before="200" w:line-rule="auto"/>
        <w:ind w:firstLine="540"/>
        <w:jc w:val="both"/>
      </w:pPr>
      <w:r>
        <w:rPr>
          <w:sz w:val="20"/>
        </w:rPr>
        <w:t xml:space="preserve">a) радиоактивных веществ в значении </w:t>
      </w:r>
      <w:hyperlink w:history="0" r:id="rId24" w:tooltip="Директива N 96/29/Евратом Совета Европейского Союза &quot;Устанавливающая базовые стандарты безопасности для защиты здоровья работников и общественности от опасностей, вызванных ионизирующим излучением&quot; [рус., англ.] (Вместе с &quot;Критериями...&quot;) (Принята в г. Брюсселе 13.05.1996) ------------ Утратил силу или отменен {КонсультантПлюс}">
        <w:r>
          <w:rPr>
            <w:sz w:val="20"/>
            <w:color w:val="0000ff"/>
          </w:rPr>
          <w:t xml:space="preserve">статьи 1</w:t>
        </w:r>
      </w:hyperlink>
      <w:r>
        <w:rPr>
          <w:sz w:val="20"/>
        </w:rPr>
        <w:t xml:space="preserve"> Директивы 96/29/Евратом Совета ЕС от 13 мая 1996 г., устанавливающей базовые стандарты безопасности для защиты здоровья работников и общественности от опасностей, вызванных ионизирующим излучением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ОЖ N L 159, 29.6.1996, стр. 1.</w:t>
      </w:r>
    </w:p>
    <w:p>
      <w:pPr>
        <w:pStyle w:val="0"/>
        <w:ind w:firstLine="540"/>
        <w:jc w:val="both"/>
      </w:pPr>
      <w:r>
        <w:rPr>
          <w:sz w:val="20"/>
        </w:rPr>
      </w:r>
    </w:p>
    <w:p>
      <w:pPr>
        <w:pStyle w:val="0"/>
        <w:ind w:firstLine="540"/>
        <w:jc w:val="both"/>
      </w:pPr>
      <w:r>
        <w:rPr>
          <w:sz w:val="20"/>
        </w:rPr>
        <w:t xml:space="preserve">b) генетически модифицированных микроорганизмов в значении </w:t>
      </w:r>
      <w:hyperlink w:history="0" r:id="rId25" w:tooltip="Директива N 2009/41/ЕС Европейского парламента и Совета Европейского Союза &quot;О внедрении компонентов генетически модифицированных микроорганизмов (новая редакция)&quot; [рус., англ.] (Вместе с &quot;Принципами, которыми необходимо руководствоваться при проведении оценки...&quot;, &quot;Сдерживанием и иными защитными мерами&quot;, &quot;Требуемой информацией для уведомления...&quot;, &quot;Корреляционной таблицей&quot;) (Принята в г. Страсбурге 06.05.2009) {КонсультантПлюс}">
        <w:r>
          <w:rPr>
            <w:sz w:val="20"/>
            <w:color w:val="0000ff"/>
          </w:rPr>
          <w:t xml:space="preserve">статьи 2 "b"</w:t>
        </w:r>
      </w:hyperlink>
      <w:r>
        <w:rPr>
          <w:sz w:val="20"/>
        </w:rPr>
        <w:t xml:space="preserve"> Директивы 2009/41/ЕС Европейского парламента и Совета ЕС от 6 мая 2009 г. об ограниченном использовании генетически модифицированных микроорганизмов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ОЖ N L 125, 21.5.2009, стр. 75.</w:t>
      </w:r>
    </w:p>
    <w:p>
      <w:pPr>
        <w:pStyle w:val="0"/>
        <w:ind w:firstLine="540"/>
        <w:jc w:val="both"/>
      </w:pPr>
      <w:r>
        <w:rPr>
          <w:sz w:val="20"/>
        </w:rPr>
      </w:r>
    </w:p>
    <w:p>
      <w:pPr>
        <w:pStyle w:val="0"/>
        <w:ind w:firstLine="540"/>
        <w:jc w:val="both"/>
      </w:pPr>
      <w:r>
        <w:rPr>
          <w:sz w:val="20"/>
        </w:rPr>
        <w:t xml:space="preserve">c) генетически модифицированных организмов в значении </w:t>
      </w:r>
      <w:hyperlink w:history="0" r:id="rId26" w:tooltip="Директива N 2001/18/ЕС Европейского парламента и Совета Европейского Союза &quot;О преднамеренном выпуске в окружающую среду генетически модифицированных организмов и об отмене Директивы Совета ЕС 90/220/ЕЭС&quot; [рус., англ.] (Вместе с &lt;Методами&gt;, &quot;Принципами оценки степени экологического риска&quot;, &lt;Информациями, требуемыми в рамках уведомления, о выпусках генетически модифицированных высших растений (ГМВР) (голосеменных и покрытосеменных), дополнительной&gt;, &quot;Критериями применения дифференцированных процедур...&quot;, &quot;Рук {КонсультантПлюс}">
        <w:r>
          <w:rPr>
            <w:sz w:val="20"/>
            <w:color w:val="0000ff"/>
          </w:rPr>
          <w:t xml:space="preserve">пункта 2 статьи 2</w:t>
        </w:r>
      </w:hyperlink>
      <w:r>
        <w:rPr>
          <w:sz w:val="20"/>
        </w:rPr>
        <w:t xml:space="preserve"> Директивы 2001/18/ЕС Европейского парламента и Совета ЕС от 12 марта 2001 г. о преднамеренном выбросе в окружающую среду генетически модифицированных организмов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ОЖ N L 106, 17.4.2001, стр. 1.</w:t>
      </w:r>
    </w:p>
    <w:p>
      <w:pPr>
        <w:pStyle w:val="0"/>
        <w:ind w:firstLine="540"/>
        <w:jc w:val="both"/>
      </w:pPr>
      <w:r>
        <w:rPr>
          <w:sz w:val="20"/>
        </w:rPr>
      </w:r>
    </w:p>
    <w:bookmarkStart w:id="154" w:name="P154"/>
    <w:bookmarkEnd w:id="154"/>
    <w:p>
      <w:pPr>
        <w:pStyle w:val="0"/>
        <w:ind w:firstLine="540"/>
        <w:jc w:val="both"/>
      </w:pPr>
      <w:r>
        <w:rPr>
          <w:sz w:val="20"/>
        </w:rPr>
        <w:t xml:space="preserve">2) под "загрязнением" понимается прямой или косвенный выброс в воздух, воду или землю возникающих в результате человеческой деятельности веществ, вибрации, горячих отработанных газов или шума, который может причинить вред здоровью человека или качеству окружающей среды, нанести ущерб имуществу, нарушить или препятствовать созданию рекреационных зон и иному законному использованию окружающей среды;</w:t>
      </w:r>
    </w:p>
    <w:bookmarkStart w:id="155" w:name="P155"/>
    <w:bookmarkEnd w:id="155"/>
    <w:p>
      <w:pPr>
        <w:pStyle w:val="0"/>
        <w:spacing w:before="200" w:line-rule="auto"/>
        <w:ind w:firstLine="540"/>
        <w:jc w:val="both"/>
      </w:pPr>
      <w:r>
        <w:rPr>
          <w:sz w:val="20"/>
        </w:rPr>
        <w:t xml:space="preserve">3) под "установкой" понимается стационарное техническое сооружение, посредством которого осуществляется один или несколько видов деятельности, перечисленных в </w:t>
      </w:r>
      <w:hyperlink w:history="0" w:anchor="P1250" w:tooltip="КАТЕГОРИИ ВИДОВ ДЕЯТЕЛЬНОСТИ,">
        <w:r>
          <w:rPr>
            <w:sz w:val="20"/>
            <w:color w:val="0000ff"/>
          </w:rPr>
          <w:t xml:space="preserve">Приложении I</w:t>
        </w:r>
      </w:hyperlink>
      <w:r>
        <w:rPr>
          <w:sz w:val="20"/>
        </w:rPr>
        <w:t xml:space="preserve"> или в </w:t>
      </w:r>
      <w:hyperlink w:history="0" w:anchor="P2799" w:tooltip="Часть 1">
        <w:r>
          <w:rPr>
            <w:sz w:val="20"/>
            <w:color w:val="0000ff"/>
          </w:rPr>
          <w:t xml:space="preserve">части 1</w:t>
        </w:r>
      </w:hyperlink>
      <w:r>
        <w:rPr>
          <w:sz w:val="20"/>
        </w:rPr>
        <w:t xml:space="preserve"> Приложения VII к настоящей Директиве, а также иные виды деятельности, осуществляемые на том же участке, имеющие непосредственную техническую связь с видами деятельности, перечисленными в этих Приложениях, и оказывающими влияние на выбросы и загрязнение;</w:t>
      </w:r>
    </w:p>
    <w:bookmarkStart w:id="156" w:name="P156"/>
    <w:bookmarkEnd w:id="156"/>
    <w:p>
      <w:pPr>
        <w:pStyle w:val="0"/>
        <w:spacing w:before="200" w:line-rule="auto"/>
        <w:ind w:firstLine="540"/>
        <w:jc w:val="both"/>
      </w:pPr>
      <w:r>
        <w:rPr>
          <w:sz w:val="20"/>
        </w:rPr>
        <w:t xml:space="preserve">4) под "выбросами" понимается прямое или косвенное выделение в воздух, воду или землю веществ, вибрации, горячих отработанных газов или шума из точечных или диффузных источников установки;</w:t>
      </w:r>
    </w:p>
    <w:bookmarkStart w:id="157" w:name="P157"/>
    <w:bookmarkEnd w:id="157"/>
    <w:p>
      <w:pPr>
        <w:pStyle w:val="0"/>
        <w:spacing w:before="200" w:line-rule="auto"/>
        <w:ind w:firstLine="540"/>
        <w:jc w:val="both"/>
      </w:pPr>
      <w:r>
        <w:rPr>
          <w:sz w:val="20"/>
        </w:rPr>
        <w:t xml:space="preserve">5) под "пороговым значением выбросов" понимается масса, выраженная в виде определенных параметров, концентрации и/или уровня выбросов, которые не могут быть превышены в течение одного или нескольких периодов;</w:t>
      </w:r>
    </w:p>
    <w:bookmarkStart w:id="158" w:name="P158"/>
    <w:bookmarkEnd w:id="158"/>
    <w:p>
      <w:pPr>
        <w:pStyle w:val="0"/>
        <w:spacing w:before="200" w:line-rule="auto"/>
        <w:ind w:firstLine="540"/>
        <w:jc w:val="both"/>
      </w:pPr>
      <w:r>
        <w:rPr>
          <w:sz w:val="20"/>
        </w:rPr>
        <w:t xml:space="preserve">6) под "стандартом качества окружающей среды" понимается совокупность требований, которым должна отвечать окружающая среда или ее отдельные объекты в определенный момент времени, как определено законодательством Европейского Союза;</w:t>
      </w:r>
    </w:p>
    <w:bookmarkStart w:id="159" w:name="P159"/>
    <w:bookmarkEnd w:id="159"/>
    <w:p>
      <w:pPr>
        <w:pStyle w:val="0"/>
        <w:spacing w:before="200" w:line-rule="auto"/>
        <w:ind w:firstLine="540"/>
        <w:jc w:val="both"/>
      </w:pPr>
      <w:r>
        <w:rPr>
          <w:sz w:val="20"/>
        </w:rPr>
        <w:t xml:space="preserve">7) под "разрешением" понимается письменное санкционирование эксплуатации всей или части установки, завода по сжиганию, завода по сжиганию отходов или завода по совместному сжиганию отходов;</w:t>
      </w:r>
    </w:p>
    <w:bookmarkStart w:id="160" w:name="P160"/>
    <w:bookmarkEnd w:id="160"/>
    <w:p>
      <w:pPr>
        <w:pStyle w:val="0"/>
        <w:spacing w:before="200" w:line-rule="auto"/>
        <w:ind w:firstLine="540"/>
        <w:jc w:val="both"/>
      </w:pPr>
      <w:r>
        <w:rPr>
          <w:sz w:val="20"/>
        </w:rPr>
        <w:t xml:space="preserve">8) под "общими обязательными нормами" понимаются пороговые значения выбросов или иные условия, установленные, как минимум, на отраслевом уровне, которые приняты с целью их непосредственного использования для определения условий разрешения;</w:t>
      </w:r>
    </w:p>
    <w:bookmarkStart w:id="161" w:name="P161"/>
    <w:bookmarkEnd w:id="161"/>
    <w:p>
      <w:pPr>
        <w:pStyle w:val="0"/>
        <w:spacing w:before="200" w:line-rule="auto"/>
        <w:ind w:firstLine="540"/>
        <w:jc w:val="both"/>
      </w:pPr>
      <w:r>
        <w:rPr>
          <w:sz w:val="20"/>
        </w:rPr>
        <w:t xml:space="preserve">9) под "существенным изменением" понимается изменение в характере или функционировании, а также расширение установки, завода по сжиганию, завода по сжиганию отходов или завода по совместному сжиганию отходов, которое может оказать существенное отрицательное влияние на здоровье человека или окружающую среду;</w:t>
      </w:r>
    </w:p>
    <w:bookmarkStart w:id="162" w:name="P162"/>
    <w:bookmarkEnd w:id="162"/>
    <w:p>
      <w:pPr>
        <w:pStyle w:val="0"/>
        <w:spacing w:before="200" w:line-rule="auto"/>
        <w:ind w:firstLine="540"/>
        <w:jc w:val="both"/>
      </w:pPr>
      <w:r>
        <w:rPr>
          <w:sz w:val="20"/>
        </w:rPr>
        <w:t xml:space="preserve">10) под "наилучшими доступными технологиями" понимается наиболее эффективная и передовая стадия развития видов деятельности и методов их осуществления, которая свидетельствует о практической пригодности определенных технологий для соблюдения пороговых значений выбросов и иных условий разрешений, направленных на предотвращение или, в случае если это неосуществимо, на снижение выбросов и влияния на окружающую среду в целом:</w:t>
      </w:r>
    </w:p>
    <w:p>
      <w:pPr>
        <w:pStyle w:val="0"/>
        <w:spacing w:before="200" w:line-rule="auto"/>
        <w:ind w:firstLine="540"/>
        <w:jc w:val="both"/>
      </w:pPr>
      <w:r>
        <w:rPr>
          <w:sz w:val="20"/>
        </w:rPr>
        <w:t xml:space="preserve">a) понятие "технологии" включает как используемые технологии, так и способы проектирования, строительства, обслуживания, функционирования и вывода установки из эксплуатации;</w:t>
      </w:r>
    </w:p>
    <w:p>
      <w:pPr>
        <w:pStyle w:val="0"/>
        <w:spacing w:before="200" w:line-rule="auto"/>
        <w:ind w:firstLine="540"/>
        <w:jc w:val="both"/>
      </w:pPr>
      <w:r>
        <w:rPr>
          <w:sz w:val="20"/>
        </w:rPr>
        <w:t xml:space="preserve">b) под "доступными технологиями" понимаются технологии, достаточно разработанные для внедрения в соответствующие отрасли промышленности на экономически и технически жизнеспособных условиях с учетом затрат и выгод, независимо от их использования или производства в государстве-члене ЕС, если они в достаточной мере доступны операторам;</w:t>
      </w:r>
    </w:p>
    <w:p>
      <w:pPr>
        <w:pStyle w:val="0"/>
        <w:spacing w:before="200" w:line-rule="auto"/>
        <w:ind w:firstLine="540"/>
        <w:jc w:val="both"/>
      </w:pPr>
      <w:r>
        <w:rPr>
          <w:sz w:val="20"/>
        </w:rPr>
        <w:t xml:space="preserve">c) под "наилучшими" понимаются наиболее эффективные технологии, позволяющие достичь высокого общего уровня защиты окружающей среды в целом;</w:t>
      </w:r>
    </w:p>
    <w:bookmarkStart w:id="166" w:name="P166"/>
    <w:bookmarkEnd w:id="166"/>
    <w:p>
      <w:pPr>
        <w:pStyle w:val="0"/>
        <w:spacing w:before="200" w:line-rule="auto"/>
        <w:ind w:firstLine="540"/>
        <w:jc w:val="both"/>
      </w:pPr>
      <w:r>
        <w:rPr>
          <w:sz w:val="20"/>
        </w:rPr>
        <w:t xml:space="preserve">11) под "справочниками BAT" понимаются документы, составленные в результате обмена информацией в соответствии со </w:t>
      </w:r>
      <w:hyperlink w:history="0" w:anchor="P339" w:tooltip="Статья 13">
        <w:r>
          <w:rPr>
            <w:sz w:val="20"/>
            <w:color w:val="0000ff"/>
          </w:rPr>
          <w:t xml:space="preserve">статьей 13</w:t>
        </w:r>
      </w:hyperlink>
      <w:r>
        <w:rPr>
          <w:sz w:val="20"/>
        </w:rPr>
        <w:t xml:space="preserve"> настоящей Директивы для определенных видов деятельности и описывающие, в частности, применяемые технологии, текущий уровень выбросов и потребления, методики, используемые для определения наилучших доступных технологий, а также заключения BAT и любые появляющиеся технологии с учетом критериев, перечисленных в </w:t>
      </w:r>
      <w:hyperlink w:history="0" w:anchor="P1462" w:tooltip="КРИТЕРИИ">
        <w:r>
          <w:rPr>
            <w:sz w:val="20"/>
            <w:color w:val="0000ff"/>
          </w:rPr>
          <w:t xml:space="preserve">Приложении III</w:t>
        </w:r>
      </w:hyperlink>
      <w:r>
        <w:rPr>
          <w:sz w:val="20"/>
        </w:rPr>
        <w:t xml:space="preserve"> к настоящей Директиве;</w:t>
      </w:r>
    </w:p>
    <w:p>
      <w:pPr>
        <w:pStyle w:val="0"/>
        <w:spacing w:before="200" w:line-rule="auto"/>
        <w:ind w:firstLine="540"/>
        <w:jc w:val="both"/>
      </w:pPr>
      <w:r>
        <w:rPr>
          <w:sz w:val="20"/>
        </w:rPr>
        <w:t xml:space="preserve">12) под "заключениями BAT" понимается документ, содержащий части справочников BAT с заключениями о наилучших доступных технологиях, их описании, информации об оценке их применимости; уровни выбросов, утвержденные в соответствии с наилучшими доступными технологиями, соответствующий мониторинг, соответствующие уровни потребления и при необходимости соответствующие меры по восстановлению участка;</w:t>
      </w:r>
    </w:p>
    <w:p>
      <w:pPr>
        <w:pStyle w:val="0"/>
        <w:spacing w:before="200" w:line-rule="auto"/>
        <w:ind w:firstLine="540"/>
        <w:jc w:val="both"/>
      </w:pPr>
      <w:r>
        <w:rPr>
          <w:sz w:val="20"/>
        </w:rPr>
        <w:t xml:space="preserve">13) под "уровнями выбросов, утвержденными в соответствии с наилучшими доступными технологиями", понимается диапазон уровней выбросов, полученный при нормальных условиях функционирования с использованием наилучших доступных технологий или сочетания наилучших доступных технологий, как описано в заключениях BAT, выраженный как среднее значение за определенный период времени при заданных условиях;</w:t>
      </w:r>
    </w:p>
    <w:bookmarkStart w:id="169" w:name="P169"/>
    <w:bookmarkEnd w:id="169"/>
    <w:p>
      <w:pPr>
        <w:pStyle w:val="0"/>
        <w:spacing w:before="200" w:line-rule="auto"/>
        <w:ind w:firstLine="540"/>
        <w:jc w:val="both"/>
      </w:pPr>
      <w:r>
        <w:rPr>
          <w:sz w:val="20"/>
        </w:rPr>
        <w:t xml:space="preserve">14) под "появляющимися технологиями" понимаются новаторские технологии для промышленной деятельности, которые при их коммерческом использовании могут обеспечить более высокий общий уровень защиты окружающей среды или по крайней мере такой же уровень защиты окружающей среды при достижении большей эффективности в сокращении затрат по сравнению с существующими наилучшими доступными технологиями;</w:t>
      </w:r>
    </w:p>
    <w:bookmarkStart w:id="170" w:name="P170"/>
    <w:bookmarkEnd w:id="170"/>
    <w:p>
      <w:pPr>
        <w:pStyle w:val="0"/>
        <w:spacing w:before="200" w:line-rule="auto"/>
        <w:ind w:firstLine="540"/>
        <w:jc w:val="both"/>
      </w:pPr>
      <w:r>
        <w:rPr>
          <w:sz w:val="20"/>
        </w:rPr>
        <w:t xml:space="preserve">15) под "оператором" понимается любое физическое или юридическое лицо, которое осуществляет эксплуатацию или контроль установок, заводов по сжиганию, заводов по сжиганию отходов или заводов по совместному сжиганию отходов или их отдельных частей либо, если это предусмотрено национальным законодательством, лицо, которому делегированы решающие полномочия в отношении технического функционирования установок и заводов;</w:t>
      </w:r>
    </w:p>
    <w:bookmarkStart w:id="171" w:name="P171"/>
    <w:bookmarkEnd w:id="171"/>
    <w:p>
      <w:pPr>
        <w:pStyle w:val="0"/>
        <w:spacing w:before="200" w:line-rule="auto"/>
        <w:ind w:firstLine="540"/>
        <w:jc w:val="both"/>
      </w:pPr>
      <w:r>
        <w:rPr>
          <w:sz w:val="20"/>
        </w:rPr>
        <w:t xml:space="preserve">16) под "общественностью" понимается одно или несколько физических или юридических лиц, а также их объединений, организаций или групп, как предусмотрено национальным законодательством или практикой;</w:t>
      </w:r>
    </w:p>
    <w:bookmarkStart w:id="172" w:name="P172"/>
    <w:bookmarkEnd w:id="172"/>
    <w:p>
      <w:pPr>
        <w:pStyle w:val="0"/>
        <w:spacing w:before="200" w:line-rule="auto"/>
        <w:ind w:firstLine="540"/>
        <w:jc w:val="both"/>
      </w:pPr>
      <w:r>
        <w:rPr>
          <w:sz w:val="20"/>
        </w:rPr>
        <w:t xml:space="preserve">17) под "заинтересованными членами общественности" понимаются члены общественности, на которых влияет или может повлиять принятие решения о выдаче или изменении разрешения или условий разрешения, а также члены общественности, проявляющие интерес в принятии такого решения; в целях настоящего определения неправительственные организации, содействующие обеспечению защиты окружающей среды и соответствующие требованиям, установленным национальным законодательством, признаются заинтересованными;</w:t>
      </w:r>
    </w:p>
    <w:bookmarkStart w:id="173" w:name="P173"/>
    <w:bookmarkEnd w:id="173"/>
    <w:p>
      <w:pPr>
        <w:pStyle w:val="0"/>
        <w:spacing w:before="200" w:line-rule="auto"/>
        <w:ind w:firstLine="540"/>
        <w:jc w:val="both"/>
      </w:pPr>
      <w:r>
        <w:rPr>
          <w:sz w:val="20"/>
        </w:rPr>
        <w:t xml:space="preserve">18) под "опасными веществами" понимаются вещества или смеси, как определено в </w:t>
      </w:r>
      <w:hyperlink w:history="0" r:id="rId27" w:tooltip="Регламент N 1272/2008 Европейского парламента и Совета Европейского Союза &quot;О классификации, маркировке и упаковке веществ и смесей, изменяющий и отменяющий Директивы 67/548/ЕЭС и 1999/45/ЕС и изменяющий Регламент (ЕС) 1907/2006&quot; [рус., англ.] (Вместе с Приложениями I, II) (Принят в г. Страсбурге 16.12.2008) (с изм. и доп. от 07.08.2013) {КонсультантПлюс}">
        <w:r>
          <w:rPr>
            <w:sz w:val="20"/>
            <w:color w:val="0000ff"/>
          </w:rPr>
          <w:t xml:space="preserve">статье 3</w:t>
        </w:r>
      </w:hyperlink>
      <w:r>
        <w:rPr>
          <w:sz w:val="20"/>
        </w:rPr>
        <w:t xml:space="preserve"> Регламента (ЕС) 1272/2008 Европейского парламента и Совета ЕС от 16 декабря 2008 г. о классификации, маркировке и упаковке веществ и смесей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ОЖ N L 353, 31.12.2008, стр. 1.</w:t>
      </w:r>
    </w:p>
    <w:p>
      <w:pPr>
        <w:pStyle w:val="0"/>
        <w:ind w:firstLine="540"/>
        <w:jc w:val="both"/>
      </w:pPr>
      <w:r>
        <w:rPr>
          <w:sz w:val="20"/>
        </w:rPr>
      </w:r>
    </w:p>
    <w:p>
      <w:pPr>
        <w:pStyle w:val="0"/>
        <w:ind w:firstLine="540"/>
        <w:jc w:val="both"/>
      </w:pPr>
      <w:r>
        <w:rPr>
          <w:sz w:val="20"/>
        </w:rPr>
        <w:t xml:space="preserve">19) под "базовым отчетом" понимается информация о состоянии загрязнения почв и грунтовых вод соответствующими опасными веществами;</w:t>
      </w:r>
    </w:p>
    <w:p>
      <w:pPr>
        <w:pStyle w:val="0"/>
        <w:spacing w:before="200" w:line-rule="auto"/>
        <w:ind w:firstLine="540"/>
        <w:jc w:val="both"/>
      </w:pPr>
      <w:r>
        <w:rPr>
          <w:sz w:val="20"/>
        </w:rPr>
        <w:t xml:space="preserve">20) под "грунтовыми водами" понимаются грунтовые воды в значении </w:t>
      </w:r>
      <w:hyperlink w:history="0" r:id="rId28" w:tooltip="Директива N 2000/60/ЕС Европейского парламента и Совета Европейского Союза &quot;Об установлении рамочных положений для деятельности Сообщества в области водной политики&quot; [рус., англ.] (Вместе с &quot;Информацией, требующейся для списка компетентных органов&quot;, &quot;Экономическим анализом&quot;, &quot;Охраняемыми территориями&quot;, &lt;Индикативным списком основных загрязняющих веществ и списками мер, подлежащими включению в программы мероприятий, приоритетных веществ&gt;, &quot;Планами управления речными бассейнами&quot;, &quot;Предельной величиной выбросо {КонсультантПлюс}">
        <w:r>
          <w:rPr>
            <w:sz w:val="20"/>
            <w:color w:val="0000ff"/>
          </w:rPr>
          <w:t xml:space="preserve">пункта 2 статьи 2</w:t>
        </w:r>
      </w:hyperlink>
      <w:r>
        <w:rPr>
          <w:sz w:val="20"/>
        </w:rPr>
        <w:t xml:space="preserve"> Директивы 2000/60/ЕС Европейского парламента и Совета ЕС от 23 октября 2000 г., устанавливающей рамочные положения о деятельности Сообщества в области водной политики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ОЖ N L 327, 22.12.2000, стр. 1.</w:t>
      </w:r>
    </w:p>
    <w:p>
      <w:pPr>
        <w:pStyle w:val="0"/>
        <w:ind w:firstLine="540"/>
        <w:jc w:val="both"/>
      </w:pPr>
      <w:r>
        <w:rPr>
          <w:sz w:val="20"/>
        </w:rPr>
      </w:r>
    </w:p>
    <w:p>
      <w:pPr>
        <w:pStyle w:val="0"/>
        <w:ind w:firstLine="540"/>
        <w:jc w:val="both"/>
      </w:pPr>
      <w:r>
        <w:rPr>
          <w:sz w:val="20"/>
        </w:rPr>
        <w:t xml:space="preserve">21) под "почвой" понимается верхний слой земной коры между залежами и поверхностью. Почва состоит из минеральных частиц, органического вещества, воды, воздуха и живых организмов;</w:t>
      </w:r>
    </w:p>
    <w:p>
      <w:pPr>
        <w:pStyle w:val="0"/>
        <w:spacing w:before="200" w:line-rule="auto"/>
        <w:ind w:firstLine="540"/>
        <w:jc w:val="both"/>
      </w:pPr>
      <w:r>
        <w:rPr>
          <w:sz w:val="20"/>
        </w:rPr>
        <w:t xml:space="preserve">22) под "экологической проверкой" понимаются все действия, в том числе посещение участков, мониторинг выбросов, проверки внутренних отчетов и сопутствующих документов, проверка правильности проведения самоконтроля, проверка используемых технологий и осуществления надлежащего экологического управления установками, предпринятые компетентным органом или от его имени в целях проверки соответствия установок условиям разрешения и при необходимости мониторинга воздействия на окружающую среду;</w:t>
      </w:r>
    </w:p>
    <w:bookmarkStart w:id="184" w:name="P184"/>
    <w:bookmarkEnd w:id="184"/>
    <w:p>
      <w:pPr>
        <w:pStyle w:val="0"/>
        <w:spacing w:before="200" w:line-rule="auto"/>
        <w:ind w:firstLine="540"/>
        <w:jc w:val="both"/>
      </w:pPr>
      <w:r>
        <w:rPr>
          <w:sz w:val="20"/>
        </w:rPr>
        <w:t xml:space="preserve">23) под "домашней птицей" понимается домашняя птица в значении пункта 1 статьи 2 Директивы 90/539/ЕЭС Совета ЕС от 15 октября 1990 г. об условиях охраны здоровья животных, регулирующих торговлю внутри Сообщества, а также импортные поставки домашней птицы и инкубационных яиц из третьих стран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ОЖ N L 303, 31.10.1990, стр. 6.</w:t>
      </w:r>
    </w:p>
    <w:p>
      <w:pPr>
        <w:pStyle w:val="0"/>
        <w:ind w:firstLine="540"/>
        <w:jc w:val="both"/>
      </w:pPr>
      <w:r>
        <w:rPr>
          <w:sz w:val="20"/>
        </w:rPr>
      </w:r>
    </w:p>
    <w:bookmarkStart w:id="188" w:name="P188"/>
    <w:bookmarkEnd w:id="188"/>
    <w:p>
      <w:pPr>
        <w:pStyle w:val="0"/>
        <w:ind w:firstLine="540"/>
        <w:jc w:val="both"/>
      </w:pPr>
      <w:r>
        <w:rPr>
          <w:sz w:val="20"/>
        </w:rPr>
        <w:t xml:space="preserve">24) под "топливом" понимается любые твердые, жидкие или газообразные горючие материалы;</w:t>
      </w:r>
    </w:p>
    <w:bookmarkStart w:id="189" w:name="P189"/>
    <w:bookmarkEnd w:id="189"/>
    <w:p>
      <w:pPr>
        <w:pStyle w:val="0"/>
        <w:spacing w:before="200" w:line-rule="auto"/>
        <w:ind w:firstLine="540"/>
        <w:jc w:val="both"/>
      </w:pPr>
      <w:r>
        <w:rPr>
          <w:sz w:val="20"/>
        </w:rPr>
        <w:t xml:space="preserve">25) под "заводом по сжиганию" понимается любой технический аппарат, в котором топливо окисляется в целях использования образовавшегося тепла;</w:t>
      </w:r>
    </w:p>
    <w:bookmarkStart w:id="190" w:name="P190"/>
    <w:bookmarkEnd w:id="190"/>
    <w:p>
      <w:pPr>
        <w:pStyle w:val="0"/>
        <w:spacing w:before="200" w:line-rule="auto"/>
        <w:ind w:firstLine="540"/>
        <w:jc w:val="both"/>
      </w:pPr>
      <w:r>
        <w:rPr>
          <w:sz w:val="20"/>
        </w:rPr>
        <w:t xml:space="preserve">26) под "дымовой трубой" понимается структура, содержащая один или несколько газоходов, через которые осуществляется выброс отработанных газов в воздух;</w:t>
      </w:r>
    </w:p>
    <w:bookmarkStart w:id="191" w:name="P191"/>
    <w:bookmarkEnd w:id="191"/>
    <w:p>
      <w:pPr>
        <w:pStyle w:val="0"/>
        <w:spacing w:before="200" w:line-rule="auto"/>
        <w:ind w:firstLine="540"/>
        <w:jc w:val="both"/>
      </w:pPr>
      <w:r>
        <w:rPr>
          <w:sz w:val="20"/>
        </w:rPr>
        <w:t xml:space="preserve">27) под "часами эксплуатации" понимается время, выраженное в часах, в течение которого завод по сжиганию в целом или его отдельные части функционирует и осуществляет выбросы в воздух, за исключением периодов включения и отключения;</w:t>
      </w:r>
    </w:p>
    <w:p>
      <w:pPr>
        <w:pStyle w:val="0"/>
        <w:spacing w:before="200" w:line-rule="auto"/>
        <w:ind w:firstLine="540"/>
        <w:jc w:val="both"/>
      </w:pPr>
      <w:r>
        <w:rPr>
          <w:sz w:val="20"/>
        </w:rPr>
        <w:t xml:space="preserve">28) под "коэффициентом десульфуризации" понимается отношение количества серы, которое не выделяется заводами по сжиганию в воздух за данный период времени, к количеству серы, содержащемуся в твердом топливе, которое вводится на заводы по сжиганию и используется за тот же период;</w:t>
      </w:r>
    </w:p>
    <w:p>
      <w:pPr>
        <w:pStyle w:val="0"/>
        <w:spacing w:before="200" w:line-rule="auto"/>
        <w:ind w:firstLine="540"/>
        <w:jc w:val="both"/>
      </w:pPr>
      <w:r>
        <w:rPr>
          <w:sz w:val="20"/>
        </w:rPr>
        <w:t xml:space="preserve">29) под "местным твердым топливом" понимается встречающееся в природе твердое топливо, сжигаемое в заводах по сжиганию, специально предназначенных для такого топлива, и добываемое на местном уровне;</w:t>
      </w:r>
    </w:p>
    <w:bookmarkStart w:id="194" w:name="P194"/>
    <w:bookmarkEnd w:id="194"/>
    <w:p>
      <w:pPr>
        <w:pStyle w:val="0"/>
        <w:spacing w:before="200" w:line-rule="auto"/>
        <w:ind w:firstLine="540"/>
        <w:jc w:val="both"/>
      </w:pPr>
      <w:r>
        <w:rPr>
          <w:sz w:val="20"/>
        </w:rPr>
        <w:t xml:space="preserve">30) под "определенным топливом" понимается топливо, которое среди иных видов топлива в многотопливных заводах по сжиганию, использующих дистилляцию и конверсию остатков перегонки сырой нефти для собственных нужд отдельно или совместно с другими видами топлива, имеет наиболее высокое пороговое значение выбросов, как указано в </w:t>
      </w:r>
      <w:hyperlink w:history="0" w:anchor="P1510" w:tooltip="Часть 1">
        <w:r>
          <w:rPr>
            <w:sz w:val="20"/>
            <w:color w:val="0000ff"/>
          </w:rPr>
          <w:t xml:space="preserve">части 1</w:t>
        </w:r>
      </w:hyperlink>
      <w:r>
        <w:rPr>
          <w:sz w:val="20"/>
        </w:rPr>
        <w:t xml:space="preserve"> Приложения V к настоящей Директиве; в случае если несколько видов топлива имеют одинаковое пороговое значение выбросов, под "определенным" понимается топливо с наибольшей тепловой мощностью;</w:t>
      </w:r>
    </w:p>
    <w:bookmarkStart w:id="195" w:name="P195"/>
    <w:bookmarkEnd w:id="195"/>
    <w:p>
      <w:pPr>
        <w:pStyle w:val="0"/>
        <w:spacing w:before="200" w:line-rule="auto"/>
        <w:ind w:firstLine="540"/>
        <w:jc w:val="both"/>
      </w:pPr>
      <w:r>
        <w:rPr>
          <w:sz w:val="20"/>
        </w:rPr>
        <w:t xml:space="preserve">31) под "биомассой" понимается одно из следующего:</w:t>
      </w:r>
    </w:p>
    <w:p>
      <w:pPr>
        <w:pStyle w:val="0"/>
        <w:spacing w:before="200" w:line-rule="auto"/>
        <w:ind w:firstLine="540"/>
        <w:jc w:val="both"/>
      </w:pPr>
      <w:r>
        <w:rPr>
          <w:sz w:val="20"/>
        </w:rPr>
        <w:t xml:space="preserve">a) продукты, состоящие из вещества растительного происхождения от сельского или лесного хозяйства, которые могут быть использованы в качестве топлива в целях извлечения их энергетического содержания;</w:t>
      </w:r>
    </w:p>
    <w:bookmarkStart w:id="197" w:name="P197"/>
    <w:bookmarkEnd w:id="197"/>
    <w:p>
      <w:pPr>
        <w:pStyle w:val="0"/>
        <w:spacing w:before="200" w:line-rule="auto"/>
        <w:ind w:firstLine="540"/>
        <w:jc w:val="both"/>
      </w:pPr>
      <w:r>
        <w:rPr>
          <w:sz w:val="20"/>
        </w:rPr>
        <w:t xml:space="preserve">b) следующие отходы:</w:t>
      </w:r>
    </w:p>
    <w:p>
      <w:pPr>
        <w:pStyle w:val="0"/>
        <w:spacing w:before="200" w:line-rule="auto"/>
        <w:ind w:firstLine="540"/>
        <w:jc w:val="both"/>
      </w:pPr>
      <w:r>
        <w:rPr>
          <w:sz w:val="20"/>
        </w:rPr>
        <w:t xml:space="preserve">i) растительные отходы сельского и лесного хозяйства;</w:t>
      </w:r>
    </w:p>
    <w:p>
      <w:pPr>
        <w:pStyle w:val="0"/>
        <w:spacing w:before="200" w:line-rule="auto"/>
        <w:ind w:firstLine="540"/>
        <w:jc w:val="both"/>
      </w:pPr>
      <w:r>
        <w:rPr>
          <w:sz w:val="20"/>
        </w:rPr>
        <w:t xml:space="preserve">ii) растительные отходы от пищевой промышленности, если извлекается генерируемое тепло;</w:t>
      </w:r>
    </w:p>
    <w:p>
      <w:pPr>
        <w:pStyle w:val="0"/>
        <w:spacing w:before="200" w:line-rule="auto"/>
        <w:ind w:firstLine="540"/>
        <w:jc w:val="both"/>
      </w:pPr>
      <w:r>
        <w:rPr>
          <w:sz w:val="20"/>
        </w:rPr>
        <w:t xml:space="preserve">iii) волокнистые растительные отходы от производства целлюлозы из первичного сырья, а также от производства бумаги из целлюлозы, если они попутно сжигаются на месте производства, а генерируемое тепло извлекается;</w:t>
      </w:r>
    </w:p>
    <w:p>
      <w:pPr>
        <w:pStyle w:val="0"/>
        <w:spacing w:before="200" w:line-rule="auto"/>
        <w:ind w:firstLine="540"/>
        <w:jc w:val="both"/>
      </w:pPr>
      <w:r>
        <w:rPr>
          <w:sz w:val="20"/>
        </w:rPr>
        <w:t xml:space="preserve">iv) пробковые отходы;</w:t>
      </w:r>
    </w:p>
    <w:p>
      <w:pPr>
        <w:pStyle w:val="0"/>
        <w:spacing w:before="200" w:line-rule="auto"/>
        <w:ind w:firstLine="540"/>
        <w:jc w:val="both"/>
      </w:pPr>
      <w:r>
        <w:rPr>
          <w:sz w:val="20"/>
        </w:rPr>
        <w:t xml:space="preserve">v) древесные отходы, за исключением древесных отходов, которые могут содержать галогенированные органические соединения или тяжелые металлы в результате обработки консервантами или покрытиями и которые включают, в частности, такие древесные отходы, происходящие из отходов строительства и сноса;</w:t>
      </w:r>
    </w:p>
    <w:bookmarkStart w:id="203" w:name="P203"/>
    <w:bookmarkEnd w:id="203"/>
    <w:p>
      <w:pPr>
        <w:pStyle w:val="0"/>
        <w:spacing w:before="200" w:line-rule="auto"/>
        <w:ind w:firstLine="540"/>
        <w:jc w:val="both"/>
      </w:pPr>
      <w:r>
        <w:rPr>
          <w:sz w:val="20"/>
        </w:rPr>
        <w:t xml:space="preserve">32) под "многотопливными заводами по сжиганию" понимаются любые заводы по сжиганию, которые могут одновременно или поочередно сжигать два или более видов топлива;</w:t>
      </w:r>
    </w:p>
    <w:bookmarkStart w:id="204" w:name="P204"/>
    <w:bookmarkEnd w:id="204"/>
    <w:p>
      <w:pPr>
        <w:pStyle w:val="0"/>
        <w:spacing w:before="200" w:line-rule="auto"/>
        <w:ind w:firstLine="540"/>
        <w:jc w:val="both"/>
      </w:pPr>
      <w:r>
        <w:rPr>
          <w:sz w:val="20"/>
        </w:rPr>
        <w:t xml:space="preserve">33) под "газовой турбиной" понимается любое вращающееся устройство, которое преобразует тепловую энергию в механическую работу и состоит из компрессора, термального устройства, в котором окисляется топливо для нагрева рабочей жидкости, и турбины;</w:t>
      </w:r>
    </w:p>
    <w:bookmarkStart w:id="205" w:name="P205"/>
    <w:bookmarkEnd w:id="205"/>
    <w:p>
      <w:pPr>
        <w:pStyle w:val="0"/>
        <w:spacing w:before="200" w:line-rule="auto"/>
        <w:ind w:firstLine="540"/>
        <w:jc w:val="both"/>
      </w:pPr>
      <w:r>
        <w:rPr>
          <w:sz w:val="20"/>
        </w:rPr>
        <w:t xml:space="preserve">34) под "газовым двигателем" понимается любой двигатель внутреннего сгорания, работающий по циклу Отто, с искровым зажиганием или, в отношении двухтопливного двигателя, с воспламенением от сжатия для сжигания топлива;</w:t>
      </w:r>
    </w:p>
    <w:p>
      <w:pPr>
        <w:pStyle w:val="0"/>
        <w:spacing w:before="200" w:line-rule="auto"/>
        <w:ind w:firstLine="540"/>
        <w:jc w:val="both"/>
      </w:pPr>
      <w:r>
        <w:rPr>
          <w:sz w:val="20"/>
        </w:rPr>
        <w:t xml:space="preserve">35) под "дизельным двигателем" понимается любой двигатель внутреннего сгорания, работающий по циклу Дизеля, с воспламенением от сжатия для сжигания топлива;</w:t>
      </w:r>
    </w:p>
    <w:bookmarkStart w:id="207" w:name="P207"/>
    <w:bookmarkEnd w:id="207"/>
    <w:p>
      <w:pPr>
        <w:pStyle w:val="0"/>
        <w:spacing w:before="200" w:line-rule="auto"/>
        <w:ind w:firstLine="540"/>
        <w:jc w:val="both"/>
      </w:pPr>
      <w:r>
        <w:rPr>
          <w:sz w:val="20"/>
        </w:rPr>
        <w:t xml:space="preserve">36) под "небольшой автономной системой" понимается небольшая автономная система в значении пункта 26 статьи 2 Директивы 2003/54/ЕС Европейского парламента и Совета ЕС от 26 июня 2003 г. об общих правилах для внутреннего рынка электричества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ОЖ N L 176, 15.7.2003, стр. 37.</w:t>
      </w:r>
    </w:p>
    <w:p>
      <w:pPr>
        <w:pStyle w:val="0"/>
        <w:ind w:firstLine="540"/>
        <w:jc w:val="both"/>
      </w:pPr>
      <w:r>
        <w:rPr>
          <w:sz w:val="20"/>
        </w:rPr>
      </w:r>
    </w:p>
    <w:bookmarkStart w:id="211" w:name="P211"/>
    <w:bookmarkEnd w:id="211"/>
    <w:p>
      <w:pPr>
        <w:pStyle w:val="0"/>
        <w:ind w:firstLine="540"/>
        <w:jc w:val="both"/>
      </w:pPr>
      <w:r>
        <w:rPr>
          <w:sz w:val="20"/>
        </w:rPr>
        <w:t xml:space="preserve">37) под "отходами" понимаются отходы в значении </w:t>
      </w:r>
      <w:hyperlink w:history="0" r:id="rId29" w:tooltip="Директива N 2008/98/ЕС Европейского парламента и Совета Европейского Союза &quot;Об отходах и отмене ряда Директив&quot; [рус., англ.] (Вместе с &lt;Операциями по уничтожению, утилизации&gt;, &quot;Свойствами отходов, которые превращают их в опасные&quot;, &lt;Примерами мер по предотвращению образования отходов, экономических инструментов, предоставляющих льготы при применении иерархии&gt;, &lt;Планом реализации&gt;, &quot;Корреляционной таблицей&quot;) (Принята в г. Страсбурге 19.11.2008) (с изм. и доп. от 30.05.2018) {КонсультантПлюс}">
        <w:r>
          <w:rPr>
            <w:sz w:val="20"/>
            <w:color w:val="0000ff"/>
          </w:rPr>
          <w:t xml:space="preserve">пункта 1 статьи 3</w:t>
        </w:r>
      </w:hyperlink>
      <w:r>
        <w:rPr>
          <w:sz w:val="20"/>
        </w:rPr>
        <w:t xml:space="preserve"> Директивы 2008/98/ЕС Европейского парламента и Совета ЕС от 19 ноября 2008 г., об отходах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ОЖ N L 312, 22.11.2008, стр. 3.</w:t>
      </w:r>
    </w:p>
    <w:p>
      <w:pPr>
        <w:pStyle w:val="0"/>
        <w:ind w:firstLine="540"/>
        <w:jc w:val="both"/>
      </w:pPr>
      <w:r>
        <w:rPr>
          <w:sz w:val="20"/>
        </w:rPr>
      </w:r>
    </w:p>
    <w:bookmarkStart w:id="215" w:name="P215"/>
    <w:bookmarkEnd w:id="215"/>
    <w:p>
      <w:pPr>
        <w:pStyle w:val="0"/>
        <w:ind w:firstLine="540"/>
        <w:jc w:val="both"/>
      </w:pPr>
      <w:r>
        <w:rPr>
          <w:sz w:val="20"/>
        </w:rPr>
        <w:t xml:space="preserve">38) под "опасными отходами" понимаются опасные отходы в значении </w:t>
      </w:r>
      <w:hyperlink w:history="0" r:id="rId30" w:tooltip="Директива N 2008/98/ЕС Европейского парламента и Совета Европейского Союза &quot;Об отходах и отмене ряда Директив&quot; [рус., англ.] (Вместе с &lt;Операциями по уничтожению, утилизации&gt;, &quot;Свойствами отходов, которые превращают их в опасные&quot;, &lt;Примерами мер по предотвращению образования отходов, экономических инструментов, предоставляющих льготы при применении иерархии&gt;, &lt;Планом реализации&gt;, &quot;Корреляционной таблицей&quot;) (Принята в г. Страсбурге 19.11.2008) (с изм. и доп. от 30.05.2018) {КонсультантПлюс}">
        <w:r>
          <w:rPr>
            <w:sz w:val="20"/>
            <w:color w:val="0000ff"/>
          </w:rPr>
          <w:t xml:space="preserve">пункта 2 статьи 3</w:t>
        </w:r>
      </w:hyperlink>
      <w:r>
        <w:rPr>
          <w:sz w:val="20"/>
        </w:rPr>
        <w:t xml:space="preserve"> Директивы 2008/98/ЕС;</w:t>
      </w:r>
    </w:p>
    <w:bookmarkStart w:id="216" w:name="P216"/>
    <w:bookmarkEnd w:id="216"/>
    <w:p>
      <w:pPr>
        <w:pStyle w:val="0"/>
        <w:spacing w:before="200" w:line-rule="auto"/>
        <w:ind w:firstLine="540"/>
        <w:jc w:val="both"/>
      </w:pPr>
      <w:r>
        <w:rPr>
          <w:sz w:val="20"/>
        </w:rPr>
        <w:t xml:space="preserve">39) под "смешанными бытовыми отходами" понимаются бытовые отходы, а также коммерческие, промышленные и институционные отходы, которые ввиду своей природы и состава схожи с бытовыми отходами, за исключением фракций, указанных в </w:t>
      </w:r>
      <w:hyperlink w:history="0" r:id="rId31" w:tooltip="Решение N 2000/532/ЕС Комиссии Европейских сообществ &quot;О замене Решения 94/3/ЕС, устанавливающего список отходов согласно Статье 1(а) Директивы 75/442/ЕЭС Совета ЕС об отходах, и замене Решения 94/904/ЕС Совета ЕС, устанавливающего список опасных отходов согласно Статье 1(4) Директивы 91/689/ЕЭС Совета ЕС об опасных отходах&quot; (С(2000) 1147) [рус., англ.] (Вместе со &quot;Списком отходов, указанным в статье 7 Директивы 2008/98/ЕС&quot;) (Принято в г. Брюсселе 03.05.2000) (с изм. и доп. от 18.12.2014) {КонсультантПлюс}">
        <w:r>
          <w:rPr>
            <w:sz w:val="20"/>
            <w:color w:val="0000ff"/>
          </w:rPr>
          <w:t xml:space="preserve">пункте 20 01</w:t>
        </w:r>
      </w:hyperlink>
      <w:r>
        <w:rPr>
          <w:sz w:val="20"/>
        </w:rPr>
        <w:t xml:space="preserve"> приложения к Решению 2000/532/ЕС &lt;*&gt;, которые собираются отдельно у источника, а также за исключением иных отходов, указанных в </w:t>
      </w:r>
      <w:hyperlink w:history="0" r:id="rId32" w:tooltip="Решение N 2000/532/ЕС Комиссии Европейских сообществ &quot;О замене Решения 94/3/ЕС, устанавливающего список отходов согласно Статье 1(а) Директивы 75/442/ЕЭС Совета ЕС об отходах, и замене Решения 94/904/ЕС Совета ЕС, устанавливающего список опасных отходов согласно Статье 1(4) Директивы 91/689/ЕЭС Совета ЕС об опасных отходах&quot; (С(2000) 1147) [рус., англ.] (Вместе со &quot;Списком отходов, указанным в статье 7 Директивы 2008/98/ЕС&quot;) (Принято в г. Брюсселе 03.05.2000) (с изм. и доп. от 18.12.2014) {КонсультантПлюс}">
        <w:r>
          <w:rPr>
            <w:sz w:val="20"/>
            <w:color w:val="0000ff"/>
          </w:rPr>
          <w:t xml:space="preserve">пункте 20 02</w:t>
        </w:r>
      </w:hyperlink>
      <w:r>
        <w:rPr>
          <w:sz w:val="20"/>
        </w:rPr>
        <w:t xml:space="preserve"> данного приложения;</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w:t>
      </w:r>
      <w:hyperlink w:history="0" r:id="rId33" w:tooltip="Решение N 2000/532/ЕС Комиссии Европейских сообществ &quot;О замене Решения 94/3/ЕС, устанавливающего список отходов согласно Статье 1(а) Директивы 75/442/ЕЭС Совета ЕС об отходах, и замене Решения 94/904/ЕС Совета ЕС, устанавливающего список опасных отходов согласно Статье 1(4) Директивы 91/689/ЕЭС Совета ЕС об опасных отходах&quot; (С(2000) 1147) [рус., англ.] (Вместе со &quot;Списком отходов, указанным в статье 7 Директивы 2008/98/ЕС&quot;) (Принято в г. Брюсселе 03.05.2000) (с изм. и доп. от 18.12.2014) {КонсультантПлюс}">
        <w:r>
          <w:rPr>
            <w:sz w:val="20"/>
            <w:color w:val="0000ff"/>
          </w:rPr>
          <w:t xml:space="preserve">Решение</w:t>
        </w:r>
      </w:hyperlink>
      <w:r>
        <w:rPr>
          <w:sz w:val="20"/>
        </w:rPr>
        <w:t xml:space="preserve"> 2000/532/ЕС Европейской комиссии от 3 мая 2000 г., заменяющее Решение 94/3/ЕС и определяющее список отходов, согласно статье 1 "a" Директивы 75/442/ЕЭС Совета ЕС об отходах и Решению 94/904/ЕС Совета ЕС, устанавливающему список опасных отходов, согласно </w:t>
      </w:r>
      <w:hyperlink w:history="0" r:id="rId34" w:tooltip="Директива N 91/689/ЕЭС Совета Европейских сообществ &quot;Об опасных отходах&quot; [рус., англ.] (Вместе с &lt;Категориями веществ по видам деятельности&gt;, &quot;Компонентами отходов...&quot;, &quot;Свойствами веществ, которые превращают их в опасные&quot;) (Принята в г. Брюсселе 12.12.1991) ------------ Утратил силу или отменен {КонсультантПлюс}">
        <w:r>
          <w:rPr>
            <w:sz w:val="20"/>
            <w:color w:val="0000ff"/>
          </w:rPr>
          <w:t xml:space="preserve">статье 1 (4)</w:t>
        </w:r>
      </w:hyperlink>
      <w:r>
        <w:rPr>
          <w:sz w:val="20"/>
        </w:rPr>
        <w:t xml:space="preserve"> Директивы 91/689/ЕЭС Совета ЕС об опасных отходах (ОЖ N L 226, 6.9.2000, стр. 3).</w:t>
      </w:r>
    </w:p>
    <w:p>
      <w:pPr>
        <w:pStyle w:val="0"/>
        <w:ind w:firstLine="540"/>
        <w:jc w:val="both"/>
      </w:pPr>
      <w:r>
        <w:rPr>
          <w:sz w:val="20"/>
        </w:rPr>
      </w:r>
    </w:p>
    <w:bookmarkStart w:id="220" w:name="P220"/>
    <w:bookmarkEnd w:id="220"/>
    <w:p>
      <w:pPr>
        <w:pStyle w:val="0"/>
        <w:ind w:firstLine="540"/>
        <w:jc w:val="both"/>
      </w:pPr>
      <w:r>
        <w:rPr>
          <w:sz w:val="20"/>
        </w:rPr>
        <w:t xml:space="preserve">40) под "заводом по сжиганию отходов" понимается любой стационарный или перемещаемый технический комплекс и оборудование, предназначенное для тепловой обработки отходов, вне зависимости от извлечения образующегося при сгорании тепла; сжигание отходов осуществляется путем оксидации, а также при помощи других видов тепловой обработки, таких как пиролиз, газификация, плазменная обработка, если образующиеся в результате обработки вещества впоследствии сжигаются;</w:t>
      </w:r>
    </w:p>
    <w:bookmarkStart w:id="221" w:name="P221"/>
    <w:bookmarkEnd w:id="221"/>
    <w:p>
      <w:pPr>
        <w:pStyle w:val="0"/>
        <w:spacing w:before="200" w:line-rule="auto"/>
        <w:ind w:firstLine="540"/>
        <w:jc w:val="both"/>
      </w:pPr>
      <w:r>
        <w:rPr>
          <w:sz w:val="20"/>
        </w:rPr>
        <w:t xml:space="preserve">41) под "заводом по совместному сжиганию отходов" понимается любой стационарный или перемещаемый технический комплекс, основной задачей которого является производство энергии или производство продукции и в котором отходы используются как основное или дополнительное топливо или подвергаются тепловой обработке с целью их уничтожения; сжигание отходов осуществляется путем оксидации, а также при помощи других видов тепловой обработки, таких как пиролиз, газификация или плазменная обработка, если образующиеся в результате обработки вещества впоследствии сжигаются;</w:t>
      </w:r>
    </w:p>
    <w:bookmarkStart w:id="222" w:name="P222"/>
    <w:bookmarkEnd w:id="222"/>
    <w:p>
      <w:pPr>
        <w:pStyle w:val="0"/>
        <w:spacing w:before="200" w:line-rule="auto"/>
        <w:ind w:firstLine="540"/>
        <w:jc w:val="both"/>
      </w:pPr>
      <w:r>
        <w:rPr>
          <w:sz w:val="20"/>
        </w:rPr>
        <w:t xml:space="preserve">42) под "номинальной мощностью" понимается сумма мощности сжигания печей, которыми оборудован завод по сжиганию отходов или завод по совместному сжиганию отходов при конструировании и согласовании с оператором с учетом теплоты сгорания отходов, выраженная в количестве отходов, сжигаемых в час;</w:t>
      </w:r>
    </w:p>
    <w:bookmarkStart w:id="223" w:name="P223"/>
    <w:bookmarkEnd w:id="223"/>
    <w:p>
      <w:pPr>
        <w:pStyle w:val="0"/>
        <w:spacing w:before="200" w:line-rule="auto"/>
        <w:ind w:firstLine="540"/>
        <w:jc w:val="both"/>
      </w:pPr>
      <w:r>
        <w:rPr>
          <w:sz w:val="20"/>
        </w:rPr>
        <w:t xml:space="preserve">43) под "диоксинами и фуранами" понимаются все полихлорированные дибензо-пи-диоксины и дибензофураны, перечисленные в </w:t>
      </w:r>
      <w:hyperlink w:history="0" w:anchor="P2088" w:tooltip="Часть 2">
        <w:r>
          <w:rPr>
            <w:sz w:val="20"/>
            <w:color w:val="0000ff"/>
          </w:rPr>
          <w:t xml:space="preserve">части 2</w:t>
        </w:r>
      </w:hyperlink>
      <w:r>
        <w:rPr>
          <w:sz w:val="20"/>
        </w:rPr>
        <w:t xml:space="preserve"> Приложения VI к настоящей Директиве;</w:t>
      </w:r>
    </w:p>
    <w:bookmarkStart w:id="224" w:name="P224"/>
    <w:bookmarkEnd w:id="224"/>
    <w:p>
      <w:pPr>
        <w:pStyle w:val="0"/>
        <w:spacing w:before="200" w:line-rule="auto"/>
        <w:ind w:firstLine="540"/>
        <w:jc w:val="both"/>
      </w:pPr>
      <w:r>
        <w:rPr>
          <w:sz w:val="20"/>
        </w:rPr>
        <w:t xml:space="preserve">44) под "органическими соединениями" понимаются любые соединения, в состав которых входит как минимум углерод, а также один или несколько элементов водорода, галогена, кислорода, серы, фосфора, кремния или азота, за исключением оксидов углерода, а также неорганических карбонатов и бикарбонатов;</w:t>
      </w:r>
    </w:p>
    <w:bookmarkStart w:id="225" w:name="P225"/>
    <w:bookmarkEnd w:id="225"/>
    <w:p>
      <w:pPr>
        <w:pStyle w:val="0"/>
        <w:spacing w:before="200" w:line-rule="auto"/>
        <w:ind w:firstLine="540"/>
        <w:jc w:val="both"/>
      </w:pPr>
      <w:r>
        <w:rPr>
          <w:sz w:val="20"/>
        </w:rPr>
        <w:t xml:space="preserve">45) под "летучими органическими соединениями" понимаются любые органические соединения, а также фракции креозота, которые при температуре 293,15 K имеют давление испарений 0,01 kPa или более или обладают соответствующей летучестью при определенных условиях использования;</w:t>
      </w:r>
    </w:p>
    <w:bookmarkStart w:id="226" w:name="P226"/>
    <w:bookmarkEnd w:id="226"/>
    <w:p>
      <w:pPr>
        <w:pStyle w:val="0"/>
        <w:spacing w:before="200" w:line-rule="auto"/>
        <w:ind w:firstLine="540"/>
        <w:jc w:val="both"/>
      </w:pPr>
      <w:r>
        <w:rPr>
          <w:sz w:val="20"/>
        </w:rPr>
        <w:t xml:space="preserve">46) под "органическим растворителем" понимается любое летучее органическое соединение, используемое в следующих целях:</w:t>
      </w:r>
    </w:p>
    <w:p>
      <w:pPr>
        <w:pStyle w:val="0"/>
        <w:spacing w:before="200" w:line-rule="auto"/>
        <w:ind w:firstLine="540"/>
        <w:jc w:val="both"/>
      </w:pPr>
      <w:r>
        <w:rPr>
          <w:sz w:val="20"/>
        </w:rPr>
        <w:t xml:space="preserve">a) само по себе или вместе с другими веществами без изменения его химического состава для растворения сырья, готовой продукции и отходов;</w:t>
      </w:r>
    </w:p>
    <w:p>
      <w:pPr>
        <w:pStyle w:val="0"/>
        <w:spacing w:before="200" w:line-rule="auto"/>
        <w:ind w:firstLine="540"/>
        <w:jc w:val="both"/>
      </w:pPr>
      <w:r>
        <w:rPr>
          <w:sz w:val="20"/>
        </w:rPr>
        <w:t xml:space="preserve">b) в качестве чистящего средства для растворения загрязнений;</w:t>
      </w:r>
    </w:p>
    <w:p>
      <w:pPr>
        <w:pStyle w:val="0"/>
        <w:spacing w:before="200" w:line-rule="auto"/>
        <w:ind w:firstLine="540"/>
        <w:jc w:val="both"/>
      </w:pPr>
      <w:r>
        <w:rPr>
          <w:sz w:val="20"/>
        </w:rPr>
        <w:t xml:space="preserve">c) в качестве растворителя;</w:t>
      </w:r>
    </w:p>
    <w:p>
      <w:pPr>
        <w:pStyle w:val="0"/>
        <w:spacing w:before="200" w:line-rule="auto"/>
        <w:ind w:firstLine="540"/>
        <w:jc w:val="both"/>
      </w:pPr>
      <w:r>
        <w:rPr>
          <w:sz w:val="20"/>
        </w:rPr>
        <w:t xml:space="preserve">d) в качестве дисперсной среды;</w:t>
      </w:r>
    </w:p>
    <w:p>
      <w:pPr>
        <w:pStyle w:val="0"/>
        <w:spacing w:before="200" w:line-rule="auto"/>
        <w:ind w:firstLine="540"/>
        <w:jc w:val="both"/>
      </w:pPr>
      <w:r>
        <w:rPr>
          <w:sz w:val="20"/>
        </w:rPr>
        <w:t xml:space="preserve">e) в качестве регулятора вязкости;</w:t>
      </w:r>
    </w:p>
    <w:p>
      <w:pPr>
        <w:pStyle w:val="0"/>
        <w:spacing w:before="200" w:line-rule="auto"/>
        <w:ind w:firstLine="540"/>
        <w:jc w:val="both"/>
      </w:pPr>
      <w:r>
        <w:rPr>
          <w:sz w:val="20"/>
        </w:rPr>
        <w:t xml:space="preserve">f) в качестве регулятора поверхностного натяжения;</w:t>
      </w:r>
    </w:p>
    <w:p>
      <w:pPr>
        <w:pStyle w:val="0"/>
        <w:spacing w:before="200" w:line-rule="auto"/>
        <w:ind w:firstLine="540"/>
        <w:jc w:val="both"/>
      </w:pPr>
      <w:r>
        <w:rPr>
          <w:sz w:val="20"/>
        </w:rPr>
        <w:t xml:space="preserve">g) в качестве пластификатора;</w:t>
      </w:r>
    </w:p>
    <w:p>
      <w:pPr>
        <w:pStyle w:val="0"/>
        <w:spacing w:before="200" w:line-rule="auto"/>
        <w:ind w:firstLine="540"/>
        <w:jc w:val="both"/>
      </w:pPr>
      <w:r>
        <w:rPr>
          <w:sz w:val="20"/>
        </w:rPr>
        <w:t xml:space="preserve">h) в качестве консерванта;</w:t>
      </w:r>
    </w:p>
    <w:bookmarkStart w:id="235" w:name="P235"/>
    <w:bookmarkEnd w:id="235"/>
    <w:p>
      <w:pPr>
        <w:pStyle w:val="0"/>
        <w:spacing w:before="200" w:line-rule="auto"/>
        <w:ind w:firstLine="540"/>
        <w:jc w:val="both"/>
      </w:pPr>
      <w:r>
        <w:rPr>
          <w:sz w:val="20"/>
        </w:rPr>
        <w:t xml:space="preserve">47) под "покрытием" понимается покрытие в значении пункта 8 статьи 2 Директивы 2004/42/ЕС Европейского парламента и Совета ЕС от 21 апреля 2004 г. об ограничении выбросов летучих органических соединений вследствие использования органических растворителей при производстве определенных красок, лаков и средств по обработке автомобилей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ОЖ N L 143, 30.4.2004, стр. 87.</w:t>
      </w:r>
    </w:p>
    <w:p>
      <w:pPr>
        <w:pStyle w:val="0"/>
        <w:ind w:firstLine="540"/>
        <w:jc w:val="both"/>
      </w:pPr>
      <w:r>
        <w:rPr>
          <w:sz w:val="20"/>
        </w:rPr>
      </w:r>
    </w:p>
    <w:bookmarkStart w:id="239" w:name="P239"/>
    <w:bookmarkEnd w:id="239"/>
    <w:p>
      <w:pPr>
        <w:pStyle w:val="0"/>
        <w:outlineLvl w:val="2"/>
        <w:jc w:val="center"/>
      </w:pPr>
      <w:r>
        <w:rPr>
          <w:sz w:val="20"/>
        </w:rPr>
        <w:t xml:space="preserve">Статья 4</w:t>
      </w:r>
    </w:p>
    <w:p>
      <w:pPr>
        <w:pStyle w:val="0"/>
        <w:jc w:val="center"/>
      </w:pPr>
      <w:r>
        <w:rPr>
          <w:sz w:val="20"/>
        </w:rPr>
      </w:r>
    </w:p>
    <w:p>
      <w:pPr>
        <w:pStyle w:val="0"/>
        <w:jc w:val="center"/>
      </w:pPr>
      <w:r>
        <w:rPr>
          <w:sz w:val="20"/>
        </w:rPr>
        <w:t xml:space="preserve">Обязательство по получению разрешения</w:t>
      </w:r>
    </w:p>
    <w:p>
      <w:pPr>
        <w:pStyle w:val="0"/>
        <w:jc w:val="center"/>
      </w:pPr>
      <w:r>
        <w:rPr>
          <w:sz w:val="20"/>
        </w:rPr>
      </w:r>
    </w:p>
    <w:bookmarkStart w:id="243" w:name="P243"/>
    <w:bookmarkEnd w:id="243"/>
    <w:p>
      <w:pPr>
        <w:pStyle w:val="0"/>
        <w:ind w:firstLine="540"/>
        <w:jc w:val="both"/>
      </w:pPr>
      <w:r>
        <w:rPr>
          <w:sz w:val="20"/>
        </w:rPr>
        <w:t xml:space="preserve">1. Государства-члены ЕС принимают необходимые меры по обеспечению того, чтобы функционирование установок, заводов по сжиганию, заводов по сжиганию отходов или заводов по совместному сжиганию отходов осуществлялось только при наличии разрешения.</w:t>
      </w:r>
    </w:p>
    <w:bookmarkStart w:id="244" w:name="P244"/>
    <w:bookmarkEnd w:id="244"/>
    <w:p>
      <w:pPr>
        <w:pStyle w:val="0"/>
        <w:spacing w:before="200" w:line-rule="auto"/>
        <w:ind w:firstLine="540"/>
        <w:jc w:val="both"/>
      </w:pPr>
      <w:r>
        <w:rPr>
          <w:sz w:val="20"/>
        </w:rPr>
        <w:t xml:space="preserve">В порядке отступления от первого подпараграфа, государства-члены ЕС вправе установить порядок регистрации установок, предусмотренных исключительно </w:t>
      </w:r>
      <w:hyperlink w:history="0" w:anchor="P937" w:tooltip="Глава V. СПЕЦИАЛЬНЫЕ ПОЛОЖЕНИЯ">
        <w:r>
          <w:rPr>
            <w:sz w:val="20"/>
            <w:color w:val="0000ff"/>
          </w:rPr>
          <w:t xml:space="preserve">главой V</w:t>
        </w:r>
      </w:hyperlink>
      <w:r>
        <w:rPr>
          <w:sz w:val="20"/>
        </w:rPr>
        <w:t xml:space="preserve"> настоящей Директивы.</w:t>
      </w:r>
    </w:p>
    <w:bookmarkStart w:id="245" w:name="P245"/>
    <w:bookmarkEnd w:id="245"/>
    <w:p>
      <w:pPr>
        <w:pStyle w:val="0"/>
        <w:spacing w:before="200" w:line-rule="auto"/>
        <w:ind w:firstLine="540"/>
        <w:jc w:val="both"/>
      </w:pPr>
      <w:r>
        <w:rPr>
          <w:sz w:val="20"/>
        </w:rPr>
        <w:t xml:space="preserve">Порядок регистрации устанавливается юридически обязательным актом и включает, как минимум уведомление оператором компетентного органа о намерении начать эксплуатацию установки.</w:t>
      </w:r>
    </w:p>
    <w:bookmarkStart w:id="246" w:name="P246"/>
    <w:bookmarkEnd w:id="246"/>
    <w:p>
      <w:pPr>
        <w:pStyle w:val="0"/>
        <w:spacing w:before="200" w:line-rule="auto"/>
        <w:ind w:firstLine="540"/>
        <w:jc w:val="both"/>
      </w:pPr>
      <w:r>
        <w:rPr>
          <w:sz w:val="20"/>
        </w:rPr>
        <w:t xml:space="preserve">2. Государства-члены ЕС вправе выдать разрешение на эксплуатацию двух или нескольких установок или частей установок, эксплуатируемых тем же оператором на том же участке.</w:t>
      </w:r>
    </w:p>
    <w:bookmarkStart w:id="247" w:name="P247"/>
    <w:bookmarkEnd w:id="247"/>
    <w:p>
      <w:pPr>
        <w:pStyle w:val="0"/>
        <w:spacing w:before="200" w:line-rule="auto"/>
        <w:ind w:firstLine="540"/>
        <w:jc w:val="both"/>
      </w:pPr>
      <w:r>
        <w:rPr>
          <w:sz w:val="20"/>
        </w:rPr>
        <w:t xml:space="preserve">В случае если разрешение выдано на эксплуатацию двух или нескольких установок, оно должно содержать условия, гарантирующие соответствие каждой установки требованиям настоящей Директивы.</w:t>
      </w:r>
    </w:p>
    <w:bookmarkStart w:id="248" w:name="P248"/>
    <w:bookmarkEnd w:id="248"/>
    <w:p>
      <w:pPr>
        <w:pStyle w:val="0"/>
        <w:spacing w:before="200" w:line-rule="auto"/>
        <w:ind w:firstLine="540"/>
        <w:jc w:val="both"/>
      </w:pPr>
      <w:r>
        <w:rPr>
          <w:sz w:val="20"/>
        </w:rPr>
        <w:t xml:space="preserve">3. Государства-члены ЕС вправе выдать разрешение на эксплуатацию нескольких частей установки различными операторами. В таких случаях разрешение должно предусматривать ответственность каждого оператора.</w:t>
      </w:r>
    </w:p>
    <w:p>
      <w:pPr>
        <w:pStyle w:val="0"/>
        <w:ind w:firstLine="540"/>
        <w:jc w:val="both"/>
      </w:pPr>
      <w:r>
        <w:rPr>
          <w:sz w:val="20"/>
        </w:rPr>
      </w:r>
    </w:p>
    <w:bookmarkStart w:id="250" w:name="P250"/>
    <w:bookmarkEnd w:id="250"/>
    <w:p>
      <w:pPr>
        <w:pStyle w:val="0"/>
        <w:outlineLvl w:val="2"/>
        <w:jc w:val="center"/>
      </w:pPr>
      <w:r>
        <w:rPr>
          <w:sz w:val="20"/>
        </w:rPr>
        <w:t xml:space="preserve">Статья 5</w:t>
      </w:r>
    </w:p>
    <w:p>
      <w:pPr>
        <w:pStyle w:val="0"/>
        <w:jc w:val="center"/>
      </w:pPr>
      <w:r>
        <w:rPr>
          <w:sz w:val="20"/>
        </w:rPr>
      </w:r>
    </w:p>
    <w:p>
      <w:pPr>
        <w:pStyle w:val="0"/>
        <w:jc w:val="center"/>
      </w:pPr>
      <w:r>
        <w:rPr>
          <w:sz w:val="20"/>
        </w:rPr>
        <w:t xml:space="preserve">Выдача разрешений</w:t>
      </w:r>
    </w:p>
    <w:p>
      <w:pPr>
        <w:pStyle w:val="0"/>
        <w:jc w:val="center"/>
      </w:pPr>
      <w:r>
        <w:rPr>
          <w:sz w:val="20"/>
        </w:rPr>
      </w:r>
    </w:p>
    <w:bookmarkStart w:id="254" w:name="P254"/>
    <w:bookmarkEnd w:id="254"/>
    <w:p>
      <w:pPr>
        <w:pStyle w:val="0"/>
        <w:ind w:firstLine="540"/>
        <w:jc w:val="both"/>
      </w:pPr>
      <w:r>
        <w:rPr>
          <w:sz w:val="20"/>
        </w:rPr>
        <w:t xml:space="preserve">1. Без ущерба действию других требований, предусмотренных национальным законодательством или законодательством Европейского Союза, компетентный орган выдает разрешение, если установка соответствует требованиям настоящей Директивы.</w:t>
      </w:r>
    </w:p>
    <w:bookmarkStart w:id="255" w:name="P255"/>
    <w:bookmarkEnd w:id="255"/>
    <w:p>
      <w:pPr>
        <w:pStyle w:val="0"/>
        <w:spacing w:before="200" w:line-rule="auto"/>
        <w:ind w:firstLine="540"/>
        <w:jc w:val="both"/>
      </w:pPr>
      <w:r>
        <w:rPr>
          <w:sz w:val="20"/>
        </w:rPr>
        <w:t xml:space="preserve">2. Государства-члены ЕС принимают необходимые меры по обеспечению координации условий и порядка выдачи разрешения в случаях, когда задействовано несколько компетентных органов или несколько операторов, а также в случаях выдачи нескольких разрешений, в целях применения всеми компетентными органами эффективного комплексного подхода к этой процедуре.</w:t>
      </w:r>
    </w:p>
    <w:bookmarkStart w:id="256" w:name="P256"/>
    <w:bookmarkEnd w:id="256"/>
    <w:p>
      <w:pPr>
        <w:pStyle w:val="0"/>
        <w:spacing w:before="200" w:line-rule="auto"/>
        <w:ind w:firstLine="540"/>
        <w:jc w:val="both"/>
      </w:pPr>
      <w:r>
        <w:rPr>
          <w:sz w:val="20"/>
        </w:rPr>
        <w:t xml:space="preserve">3. В отношении новых установок или при существенных изменениях, когда применяется статья 4 Директивы 85/337/ЕЭС, любая соответствующая информация или выводы, полученные в соответствии со статьями 5, 6, 7 и 9 указанной Директивы, должны быть рассмотрены и использованы в целях выдачи разрешения.</w:t>
      </w:r>
    </w:p>
    <w:p>
      <w:pPr>
        <w:pStyle w:val="0"/>
        <w:ind w:firstLine="540"/>
        <w:jc w:val="both"/>
      </w:pPr>
      <w:r>
        <w:rPr>
          <w:sz w:val="20"/>
        </w:rPr>
      </w:r>
    </w:p>
    <w:bookmarkStart w:id="258" w:name="P258"/>
    <w:bookmarkEnd w:id="258"/>
    <w:p>
      <w:pPr>
        <w:pStyle w:val="0"/>
        <w:outlineLvl w:val="2"/>
        <w:jc w:val="center"/>
      </w:pPr>
      <w:r>
        <w:rPr>
          <w:sz w:val="20"/>
        </w:rPr>
        <w:t xml:space="preserve">Статья 6</w:t>
      </w:r>
    </w:p>
    <w:p>
      <w:pPr>
        <w:pStyle w:val="0"/>
        <w:jc w:val="center"/>
      </w:pPr>
      <w:r>
        <w:rPr>
          <w:sz w:val="20"/>
        </w:rPr>
      </w:r>
    </w:p>
    <w:p>
      <w:pPr>
        <w:pStyle w:val="0"/>
        <w:jc w:val="center"/>
      </w:pPr>
      <w:r>
        <w:rPr>
          <w:sz w:val="20"/>
        </w:rPr>
        <w:t xml:space="preserve">Общие обязательные нормы</w:t>
      </w:r>
    </w:p>
    <w:p>
      <w:pPr>
        <w:pStyle w:val="0"/>
        <w:jc w:val="center"/>
      </w:pPr>
      <w:r>
        <w:rPr>
          <w:sz w:val="20"/>
        </w:rPr>
      </w:r>
    </w:p>
    <w:p>
      <w:pPr>
        <w:pStyle w:val="0"/>
        <w:ind w:firstLine="540"/>
        <w:jc w:val="both"/>
      </w:pPr>
      <w:r>
        <w:rPr>
          <w:sz w:val="20"/>
        </w:rPr>
        <w:t xml:space="preserve">Без ущерба действию обязательства по получению разрешения государства-члены ЕС вправе предусмотреть требования для определенных категорий установок, заводов по сжиганию, заводов по сжиганию отходов или заводов по совместному сжиганию отходов в виде общих обязательных норм.</w:t>
      </w:r>
    </w:p>
    <w:p>
      <w:pPr>
        <w:pStyle w:val="0"/>
        <w:spacing w:before="200" w:line-rule="auto"/>
        <w:ind w:firstLine="540"/>
        <w:jc w:val="both"/>
      </w:pPr>
      <w:r>
        <w:rPr>
          <w:sz w:val="20"/>
        </w:rPr>
        <w:t xml:space="preserve">В случае принятия общих обязательных норм в разрешении достаточно делать ссылку на такие нормы.</w:t>
      </w:r>
    </w:p>
    <w:p>
      <w:pPr>
        <w:pStyle w:val="0"/>
        <w:jc w:val="center"/>
      </w:pPr>
      <w:r>
        <w:rPr>
          <w:sz w:val="20"/>
        </w:rPr>
      </w:r>
    </w:p>
    <w:bookmarkStart w:id="265" w:name="P265"/>
    <w:bookmarkEnd w:id="265"/>
    <w:p>
      <w:pPr>
        <w:pStyle w:val="0"/>
        <w:outlineLvl w:val="2"/>
        <w:jc w:val="center"/>
      </w:pPr>
      <w:r>
        <w:rPr>
          <w:sz w:val="20"/>
        </w:rPr>
        <w:t xml:space="preserve">Статья 7</w:t>
      </w:r>
    </w:p>
    <w:p>
      <w:pPr>
        <w:pStyle w:val="0"/>
        <w:jc w:val="center"/>
      </w:pPr>
      <w:r>
        <w:rPr>
          <w:sz w:val="20"/>
        </w:rPr>
      </w:r>
    </w:p>
    <w:p>
      <w:pPr>
        <w:pStyle w:val="0"/>
        <w:jc w:val="center"/>
      </w:pPr>
      <w:r>
        <w:rPr>
          <w:sz w:val="20"/>
        </w:rPr>
        <w:t xml:space="preserve">Инциденты и аварии</w:t>
      </w:r>
    </w:p>
    <w:p>
      <w:pPr>
        <w:pStyle w:val="0"/>
        <w:jc w:val="center"/>
      </w:pPr>
      <w:r>
        <w:rPr>
          <w:sz w:val="20"/>
        </w:rPr>
      </w:r>
    </w:p>
    <w:bookmarkStart w:id="269" w:name="P269"/>
    <w:bookmarkEnd w:id="269"/>
    <w:p>
      <w:pPr>
        <w:pStyle w:val="0"/>
        <w:ind w:firstLine="540"/>
        <w:jc w:val="both"/>
      </w:pPr>
      <w:r>
        <w:rPr>
          <w:sz w:val="20"/>
        </w:rPr>
        <w:t xml:space="preserve">Без ущерба действию </w:t>
      </w:r>
      <w:hyperlink w:history="0" r:id="rId35" w:tooltip="Директива N 2004/35/СЕ Европейского парламента и Совета Европейского Союза &quot;Об экологической ответственности, направленной на предотвращение экологического ущерба и устранение его последствий&quot; [рус., англ.] (Вместе с &lt;Критериями, деятельностью, информацией и данными, международными конвенциями и документами, относящимися к статьям 2 (1) &quot;a&quot;, 3 (1), 4 (2), 4 (4), 18 (1)&gt;) (Принята в г. Страсбурге 21.04.2004) (с изм. и доп. от 12.06.2013) {КонсультантПлюс}">
        <w:r>
          <w:rPr>
            <w:sz w:val="20"/>
            <w:color w:val="0000ff"/>
          </w:rPr>
          <w:t xml:space="preserve">Директивы</w:t>
        </w:r>
      </w:hyperlink>
      <w:r>
        <w:rPr>
          <w:sz w:val="20"/>
        </w:rPr>
        <w:t xml:space="preserve"> 2004/35/ЕС Европейского парламента и Совета ЕС от 21 апреля 2004 г. об экологической ответственности, направленной на предотвращение ущерба окружающей среде &lt;*&gt;, в случае инцидента или аварии, которые оказывают значительное влияние на окружающую среду, государства-члены ЕС должны принимать необходимые меры, гарантирующие, что:</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ОЖ N L 143, 30.4.2004, стр. 56</w:t>
      </w:r>
    </w:p>
    <w:p>
      <w:pPr>
        <w:pStyle w:val="0"/>
        <w:ind w:firstLine="540"/>
        <w:jc w:val="both"/>
      </w:pPr>
      <w:r>
        <w:rPr>
          <w:sz w:val="20"/>
        </w:rPr>
      </w:r>
    </w:p>
    <w:bookmarkStart w:id="273" w:name="P273"/>
    <w:bookmarkEnd w:id="273"/>
    <w:p>
      <w:pPr>
        <w:pStyle w:val="0"/>
        <w:ind w:firstLine="540"/>
        <w:jc w:val="both"/>
      </w:pPr>
      <w:r>
        <w:rPr>
          <w:sz w:val="20"/>
        </w:rPr>
        <w:t xml:space="preserve">a) оператор незамедлительно информирует компетентный орган;</w:t>
      </w:r>
    </w:p>
    <w:bookmarkStart w:id="274" w:name="P274"/>
    <w:bookmarkEnd w:id="274"/>
    <w:p>
      <w:pPr>
        <w:pStyle w:val="0"/>
        <w:spacing w:before="200" w:line-rule="auto"/>
        <w:ind w:firstLine="540"/>
        <w:jc w:val="both"/>
      </w:pPr>
      <w:r>
        <w:rPr>
          <w:sz w:val="20"/>
        </w:rPr>
        <w:t xml:space="preserve">b) оператор незамедлительно принимает меры по ограничению экологических последствий и по предотвращению потенциальных инцидентов или аварий;</w:t>
      </w:r>
    </w:p>
    <w:bookmarkStart w:id="275" w:name="P275"/>
    <w:bookmarkEnd w:id="275"/>
    <w:p>
      <w:pPr>
        <w:pStyle w:val="0"/>
        <w:spacing w:before="200" w:line-rule="auto"/>
        <w:ind w:firstLine="540"/>
        <w:jc w:val="both"/>
      </w:pPr>
      <w:r>
        <w:rPr>
          <w:sz w:val="20"/>
        </w:rPr>
        <w:t xml:space="preserve">c) компетентный орган требует от оператора принятия надлежащих дополнительных мер, которые указанный орган сочтет необходимыми для ограничения экологических последствий и предотвращения потенциальных инцидентов или аварий.</w:t>
      </w:r>
    </w:p>
    <w:p>
      <w:pPr>
        <w:pStyle w:val="0"/>
        <w:ind w:firstLine="540"/>
        <w:jc w:val="both"/>
      </w:pPr>
      <w:r>
        <w:rPr>
          <w:sz w:val="20"/>
        </w:rPr>
      </w:r>
    </w:p>
    <w:bookmarkStart w:id="277" w:name="P277"/>
    <w:bookmarkEnd w:id="277"/>
    <w:p>
      <w:pPr>
        <w:pStyle w:val="0"/>
        <w:outlineLvl w:val="2"/>
        <w:jc w:val="center"/>
      </w:pPr>
      <w:r>
        <w:rPr>
          <w:sz w:val="20"/>
        </w:rPr>
        <w:t xml:space="preserve">Статья 8</w:t>
      </w:r>
    </w:p>
    <w:p>
      <w:pPr>
        <w:pStyle w:val="0"/>
        <w:jc w:val="center"/>
      </w:pPr>
      <w:r>
        <w:rPr>
          <w:sz w:val="20"/>
        </w:rPr>
      </w:r>
    </w:p>
    <w:p>
      <w:pPr>
        <w:pStyle w:val="0"/>
        <w:jc w:val="center"/>
      </w:pPr>
      <w:r>
        <w:rPr>
          <w:sz w:val="20"/>
        </w:rPr>
        <w:t xml:space="preserve">Несоответствие</w:t>
      </w:r>
    </w:p>
    <w:p>
      <w:pPr>
        <w:pStyle w:val="0"/>
        <w:jc w:val="center"/>
      </w:pPr>
      <w:r>
        <w:rPr>
          <w:sz w:val="20"/>
        </w:rPr>
      </w:r>
    </w:p>
    <w:bookmarkStart w:id="281" w:name="P281"/>
    <w:bookmarkEnd w:id="281"/>
    <w:p>
      <w:pPr>
        <w:pStyle w:val="0"/>
        <w:ind w:firstLine="540"/>
        <w:jc w:val="both"/>
      </w:pPr>
      <w:r>
        <w:rPr>
          <w:sz w:val="20"/>
        </w:rPr>
        <w:t xml:space="preserve">1. Государства-члены ЕС должны принимать необходимые меры по обеспечению соблюдения условий разрешения.</w:t>
      </w:r>
    </w:p>
    <w:bookmarkStart w:id="282" w:name="P282"/>
    <w:bookmarkEnd w:id="282"/>
    <w:p>
      <w:pPr>
        <w:pStyle w:val="0"/>
        <w:spacing w:before="200" w:line-rule="auto"/>
        <w:ind w:firstLine="540"/>
        <w:jc w:val="both"/>
      </w:pPr>
      <w:r>
        <w:rPr>
          <w:sz w:val="20"/>
        </w:rPr>
        <w:t xml:space="preserve">2. В случае несоответствия условиям разрешения государства-члены ЕС гарантируют, что:</w:t>
      </w:r>
    </w:p>
    <w:bookmarkStart w:id="283" w:name="P283"/>
    <w:bookmarkEnd w:id="283"/>
    <w:p>
      <w:pPr>
        <w:pStyle w:val="0"/>
        <w:spacing w:before="200" w:line-rule="auto"/>
        <w:ind w:firstLine="540"/>
        <w:jc w:val="both"/>
      </w:pPr>
      <w:r>
        <w:rPr>
          <w:sz w:val="20"/>
        </w:rPr>
        <w:t xml:space="preserve">a) оператор незамедлительно информирует компетентный орган;</w:t>
      </w:r>
    </w:p>
    <w:bookmarkStart w:id="284" w:name="P284"/>
    <w:bookmarkEnd w:id="284"/>
    <w:p>
      <w:pPr>
        <w:pStyle w:val="0"/>
        <w:spacing w:before="200" w:line-rule="auto"/>
        <w:ind w:firstLine="540"/>
        <w:jc w:val="both"/>
      </w:pPr>
      <w:r>
        <w:rPr>
          <w:sz w:val="20"/>
        </w:rPr>
        <w:t xml:space="preserve">b) оператор незамедлительно принимает меры, необходимые для прекращения несоответствия в течение максимально короткого срока;</w:t>
      </w:r>
    </w:p>
    <w:bookmarkStart w:id="285" w:name="P285"/>
    <w:bookmarkEnd w:id="285"/>
    <w:p>
      <w:pPr>
        <w:pStyle w:val="0"/>
        <w:spacing w:before="200" w:line-rule="auto"/>
        <w:ind w:firstLine="540"/>
        <w:jc w:val="both"/>
      </w:pPr>
      <w:r>
        <w:rPr>
          <w:sz w:val="20"/>
        </w:rPr>
        <w:t xml:space="preserve">c) компетентный орган требует от оператора принятия надлежащих дополнительных мер, которые указанный орган сочтет необходимыми для прекращения несоответствия.</w:t>
      </w:r>
    </w:p>
    <w:p>
      <w:pPr>
        <w:pStyle w:val="0"/>
        <w:spacing w:before="200" w:line-rule="auto"/>
        <w:ind w:firstLine="540"/>
        <w:jc w:val="both"/>
      </w:pPr>
      <w:r>
        <w:rPr>
          <w:sz w:val="20"/>
        </w:rPr>
        <w:t xml:space="preserve">В случае если несоответствие условиям разрешения представляет непосредственную опасность для здоровья человека или создает угрозу неблагоприятного воздействия на окружающую среду, до прекращения нарушения в соответствии с </w:t>
      </w:r>
      <w:hyperlink w:history="0" w:anchor="P284" w:tooltip="b) оператор незамедлительно принимает меры, необходимые для прекращения несоответствия в течение максимально короткого срока;">
        <w:r>
          <w:rPr>
            <w:sz w:val="20"/>
            <w:color w:val="0000ff"/>
          </w:rPr>
          <w:t xml:space="preserve">пунктами "b"</w:t>
        </w:r>
      </w:hyperlink>
      <w:r>
        <w:rPr>
          <w:sz w:val="20"/>
        </w:rPr>
        <w:t xml:space="preserve"> и </w:t>
      </w:r>
      <w:hyperlink w:history="0" w:anchor="P285" w:tooltip="c) компетентный орган требует от оператора принятия надлежащих дополнительных мер, которые указанный орган сочтет необходимыми для прекращения несоответствия.">
        <w:r>
          <w:rPr>
            <w:sz w:val="20"/>
            <w:color w:val="0000ff"/>
          </w:rPr>
          <w:t xml:space="preserve">"c" первого подпараграфа настоящего параграфа</w:t>
        </w:r>
      </w:hyperlink>
      <w:r>
        <w:rPr>
          <w:sz w:val="20"/>
        </w:rPr>
        <w:t xml:space="preserve"> эксплуатация установок, заводов по сжиганию, заводов по сжиганию отходов, заводов по совместному сжиганию отходов или их отдельных частей должна быть приостановлена.</w:t>
      </w:r>
    </w:p>
    <w:p>
      <w:pPr>
        <w:pStyle w:val="0"/>
        <w:ind w:firstLine="540"/>
        <w:jc w:val="both"/>
      </w:pPr>
      <w:r>
        <w:rPr>
          <w:sz w:val="20"/>
        </w:rPr>
      </w:r>
    </w:p>
    <w:p>
      <w:pPr>
        <w:pStyle w:val="0"/>
        <w:outlineLvl w:val="2"/>
        <w:jc w:val="center"/>
      </w:pPr>
      <w:r>
        <w:rPr>
          <w:sz w:val="20"/>
        </w:rPr>
        <w:t xml:space="preserve">Статья 9</w:t>
      </w:r>
    </w:p>
    <w:p>
      <w:pPr>
        <w:pStyle w:val="0"/>
        <w:jc w:val="center"/>
      </w:pPr>
      <w:r>
        <w:rPr>
          <w:sz w:val="20"/>
        </w:rPr>
      </w:r>
    </w:p>
    <w:p>
      <w:pPr>
        <w:pStyle w:val="0"/>
        <w:jc w:val="center"/>
      </w:pPr>
      <w:r>
        <w:rPr>
          <w:sz w:val="20"/>
        </w:rPr>
        <w:t xml:space="preserve">Выбросы парниковых газов</w:t>
      </w:r>
    </w:p>
    <w:p>
      <w:pPr>
        <w:pStyle w:val="0"/>
        <w:jc w:val="center"/>
      </w:pPr>
      <w:r>
        <w:rPr>
          <w:sz w:val="20"/>
        </w:rPr>
      </w:r>
    </w:p>
    <w:bookmarkStart w:id="292" w:name="P292"/>
    <w:bookmarkEnd w:id="292"/>
    <w:p>
      <w:pPr>
        <w:pStyle w:val="0"/>
        <w:ind w:firstLine="540"/>
        <w:jc w:val="both"/>
      </w:pPr>
      <w:r>
        <w:rPr>
          <w:sz w:val="20"/>
        </w:rPr>
        <w:t xml:space="preserve">1. В случае если выбросы парниковых газов от установок определены в </w:t>
      </w:r>
      <w:hyperlink w:history="0" r:id="rId36" w:tooltip="Директива N 2003/87/ЕС Европейского парламента и Совета Европейского Союза &quot;Об учреждении системы торговли квотами на выброс парниковых газов в Союзе и об изменении Директивы 96/61/ЕС Совета ЕС&quot; [рус., англ.] (Вместе с &quot;Категориями деятельности...&quot;, &quot;Парниковыми газами...&quot;, &quot;Увеличением процентного значения квот...&quot;, &quot;Распределением средств из фонда модернизации...&quot;, &quot;Принципами осуществления мониторинга и представления отчетности...&quot;, &quot;Критериями верификации...&quot;) (Принята в г. Люксембурге 13.10.2003) (с из {КонсультантПлюс}">
        <w:r>
          <w:rPr>
            <w:sz w:val="20"/>
            <w:color w:val="0000ff"/>
          </w:rPr>
          <w:t xml:space="preserve">приложении I</w:t>
        </w:r>
      </w:hyperlink>
      <w:r>
        <w:rPr>
          <w:sz w:val="20"/>
        </w:rPr>
        <w:t xml:space="preserve"> к Директиве 2003/87/ЕС для видов деятельности, осуществляемых на таких установках, то в разрешении не нужно указывать пороговые значения для непосредственных выбросов таких газов, за исключением тех случаев, когда необходимо гарантировать отсутствие значительного загрязнения на местном уровне.</w:t>
      </w:r>
    </w:p>
    <w:bookmarkStart w:id="293" w:name="P293"/>
    <w:bookmarkEnd w:id="293"/>
    <w:p>
      <w:pPr>
        <w:pStyle w:val="0"/>
        <w:spacing w:before="200" w:line-rule="auto"/>
        <w:ind w:firstLine="540"/>
        <w:jc w:val="both"/>
      </w:pPr>
      <w:r>
        <w:rPr>
          <w:sz w:val="20"/>
        </w:rPr>
        <w:t xml:space="preserve">2. Для видов деятельности, перечисленных в </w:t>
      </w:r>
      <w:hyperlink w:history="0" r:id="rId37" w:tooltip="Директива N 2003/87/ЕС Европейского парламента и Совета Европейского Союза &quot;Об учреждении системы торговли квотами на выброс парниковых газов в Союзе и об изменении Директивы 96/61/ЕС Совета ЕС&quot; [рус., англ.] (Вместе с &quot;Категориями деятельности...&quot;, &quot;Парниковыми газами...&quot;, &quot;Увеличением процентного значения квот...&quot;, &quot;Распределением средств из фонда модернизации...&quot;, &quot;Принципами осуществления мониторинга и представления отчетности...&quot;, &quot;Критериями верификации...&quot;) (Принята в г. Люксембурге 13.10.2003) (с из {КонсультантПлюс}">
        <w:r>
          <w:rPr>
            <w:sz w:val="20"/>
            <w:color w:val="0000ff"/>
          </w:rPr>
          <w:t xml:space="preserve">приложении I</w:t>
        </w:r>
      </w:hyperlink>
      <w:r>
        <w:rPr>
          <w:sz w:val="20"/>
        </w:rPr>
        <w:t xml:space="preserve"> к Директиве 2003/87/ЕС, государства-члены ЕС вправе не устанавливать требование об энергетической эффективности в отношении заводов по сжиганию или иных комплексов, выпускающих углекислый газ.</w:t>
      </w:r>
    </w:p>
    <w:bookmarkStart w:id="294" w:name="P294"/>
    <w:bookmarkEnd w:id="294"/>
    <w:p>
      <w:pPr>
        <w:pStyle w:val="0"/>
        <w:spacing w:before="200" w:line-rule="auto"/>
        <w:ind w:firstLine="540"/>
        <w:jc w:val="both"/>
      </w:pPr>
      <w:r>
        <w:rPr>
          <w:sz w:val="20"/>
        </w:rPr>
        <w:t xml:space="preserve">3. При необходимости компетентные органы вносят в разрешение изменения.</w:t>
      </w:r>
    </w:p>
    <w:bookmarkStart w:id="295" w:name="P295"/>
    <w:bookmarkEnd w:id="295"/>
    <w:p>
      <w:pPr>
        <w:pStyle w:val="0"/>
        <w:spacing w:before="200" w:line-rule="auto"/>
        <w:ind w:firstLine="540"/>
        <w:jc w:val="both"/>
      </w:pPr>
      <w:r>
        <w:rPr>
          <w:sz w:val="20"/>
        </w:rPr>
        <w:t xml:space="preserve">4. </w:t>
      </w:r>
      <w:hyperlink w:history="0" w:anchor="P292" w:tooltip="1. В случае если выбросы парниковых газов от установок определены в приложении I к Директиве 2003/87/ЕС для видов деятельности, осуществляемых на таких установках, то в разрешении не нужно указывать пороговые значения для непосредственных выбросов таких газов, за исключением тех случаев, когда необходимо гарантировать отсутствие значительного загрязнения на местном уровне.">
        <w:r>
          <w:rPr>
            <w:sz w:val="20"/>
            <w:color w:val="0000ff"/>
          </w:rPr>
          <w:t xml:space="preserve">Параграфы 1</w:t>
        </w:r>
      </w:hyperlink>
      <w:r>
        <w:rPr>
          <w:sz w:val="20"/>
        </w:rPr>
        <w:t xml:space="preserve"> - 3 настоящей статьи не применяются к установкам, которые временно исключены из сферы действия схемы торговли квотами на выброс парниковых газов в Европейском Союзе, предусмотренной </w:t>
      </w:r>
      <w:hyperlink w:history="0" r:id="rId38" w:tooltip="Директива N 2003/87/ЕС Европейского парламента и Совета Европейского Союза &quot;Об учреждении системы торговли квотами на выброс парниковых газов в Союзе и об изменении Директивы 96/61/ЕС Совета ЕС&quot; [рус., англ.] (Вместе с &quot;Категориями деятельности...&quot;, &quot;Парниковыми газами...&quot;, &quot;Увеличением процентного значения квот...&quot;, &quot;Распределением средств из фонда модернизации...&quot;, &quot;Принципами осуществления мониторинга и представления отчетности...&quot;, &quot;Критериями верификации...&quot;) (Принята в г. Люксембурге 13.10.2003) (с из {КонсультантПлюс}">
        <w:r>
          <w:rPr>
            <w:sz w:val="20"/>
            <w:color w:val="0000ff"/>
          </w:rPr>
          <w:t xml:space="preserve">статьей 27</w:t>
        </w:r>
      </w:hyperlink>
      <w:r>
        <w:rPr>
          <w:sz w:val="20"/>
        </w:rPr>
        <w:t xml:space="preserve"> Директивы 2003/87/ЕС.</w:t>
      </w:r>
    </w:p>
    <w:p>
      <w:pPr>
        <w:pStyle w:val="0"/>
        <w:ind w:firstLine="540"/>
        <w:jc w:val="both"/>
      </w:pPr>
      <w:r>
        <w:rPr>
          <w:sz w:val="20"/>
        </w:rPr>
      </w:r>
    </w:p>
    <w:bookmarkStart w:id="297" w:name="P297"/>
    <w:bookmarkEnd w:id="297"/>
    <w:p>
      <w:pPr>
        <w:pStyle w:val="0"/>
        <w:outlineLvl w:val="1"/>
        <w:jc w:val="center"/>
      </w:pPr>
      <w:r>
        <w:rPr>
          <w:sz w:val="20"/>
        </w:rPr>
        <w:t xml:space="preserve">Глава II. ПОЛОЖЕНИЯ ДЛЯ ВИДОВ ДЕЯТЕЛЬНОСТИ, ПЕРЕЧИСЛЕННЫХ</w:t>
      </w:r>
    </w:p>
    <w:p>
      <w:pPr>
        <w:pStyle w:val="0"/>
        <w:jc w:val="center"/>
      </w:pPr>
      <w:r>
        <w:rPr>
          <w:sz w:val="20"/>
        </w:rPr>
        <w:t xml:space="preserve">В ПРИЛОЖЕНИИ I НАСТОЯЩЕЙ ДИРЕКТИВЫ</w:t>
      </w:r>
    </w:p>
    <w:p>
      <w:pPr>
        <w:pStyle w:val="0"/>
        <w:jc w:val="center"/>
      </w:pPr>
      <w:r>
        <w:rPr>
          <w:sz w:val="20"/>
        </w:rPr>
      </w:r>
    </w:p>
    <w:bookmarkStart w:id="300" w:name="P300"/>
    <w:bookmarkEnd w:id="300"/>
    <w:p>
      <w:pPr>
        <w:pStyle w:val="0"/>
        <w:outlineLvl w:val="2"/>
        <w:jc w:val="center"/>
      </w:pPr>
      <w:r>
        <w:rPr>
          <w:sz w:val="20"/>
        </w:rPr>
        <w:t xml:space="preserve">Статья 10</w:t>
      </w:r>
    </w:p>
    <w:p>
      <w:pPr>
        <w:pStyle w:val="0"/>
        <w:jc w:val="center"/>
      </w:pPr>
      <w:r>
        <w:rPr>
          <w:sz w:val="20"/>
        </w:rPr>
      </w:r>
    </w:p>
    <w:p>
      <w:pPr>
        <w:pStyle w:val="0"/>
        <w:jc w:val="center"/>
      </w:pPr>
      <w:r>
        <w:rPr>
          <w:sz w:val="20"/>
        </w:rPr>
        <w:t xml:space="preserve">Сфера применения</w:t>
      </w:r>
    </w:p>
    <w:p>
      <w:pPr>
        <w:pStyle w:val="0"/>
        <w:jc w:val="center"/>
      </w:pPr>
      <w:r>
        <w:rPr>
          <w:sz w:val="20"/>
        </w:rPr>
      </w:r>
    </w:p>
    <w:p>
      <w:pPr>
        <w:pStyle w:val="0"/>
        <w:ind w:firstLine="540"/>
        <w:jc w:val="both"/>
      </w:pPr>
      <w:r>
        <w:rPr>
          <w:sz w:val="20"/>
        </w:rPr>
        <w:t xml:space="preserve">Настоящая глава применяется к видам деятельности, перечисленным в </w:t>
      </w:r>
      <w:hyperlink w:history="0" w:anchor="P1250" w:tooltip="КАТЕГОРИИ ВИДОВ ДЕЯТЕЛЬНОСТИ,">
        <w:r>
          <w:rPr>
            <w:sz w:val="20"/>
            <w:color w:val="0000ff"/>
          </w:rPr>
          <w:t xml:space="preserve">Приложении I</w:t>
        </w:r>
      </w:hyperlink>
      <w:r>
        <w:rPr>
          <w:sz w:val="20"/>
        </w:rPr>
        <w:t xml:space="preserve"> к настоящей Директиве, и, если применимо, достигающим пороговых уровней мощности, установленных этим Приложением.</w:t>
      </w:r>
    </w:p>
    <w:p>
      <w:pPr>
        <w:pStyle w:val="0"/>
        <w:ind w:firstLine="540"/>
        <w:jc w:val="both"/>
      </w:pPr>
      <w:r>
        <w:rPr>
          <w:sz w:val="20"/>
        </w:rPr>
      </w:r>
    </w:p>
    <w:bookmarkStart w:id="306" w:name="P306"/>
    <w:bookmarkEnd w:id="306"/>
    <w:p>
      <w:pPr>
        <w:pStyle w:val="0"/>
        <w:outlineLvl w:val="2"/>
        <w:jc w:val="center"/>
      </w:pPr>
      <w:r>
        <w:rPr>
          <w:sz w:val="20"/>
        </w:rPr>
        <w:t xml:space="preserve">Статья 11</w:t>
      </w:r>
    </w:p>
    <w:p>
      <w:pPr>
        <w:pStyle w:val="0"/>
        <w:jc w:val="center"/>
      </w:pPr>
      <w:r>
        <w:rPr>
          <w:sz w:val="20"/>
        </w:rPr>
      </w:r>
    </w:p>
    <w:p>
      <w:pPr>
        <w:pStyle w:val="0"/>
        <w:jc w:val="center"/>
      </w:pPr>
      <w:r>
        <w:rPr>
          <w:sz w:val="20"/>
        </w:rPr>
        <w:t xml:space="preserve">Общие принципы, регулирующие основные обязанности оператора</w:t>
      </w:r>
    </w:p>
    <w:p>
      <w:pPr>
        <w:pStyle w:val="0"/>
        <w:jc w:val="center"/>
      </w:pPr>
      <w:r>
        <w:rPr>
          <w:sz w:val="20"/>
        </w:rPr>
      </w:r>
    </w:p>
    <w:bookmarkStart w:id="310" w:name="P310"/>
    <w:bookmarkEnd w:id="310"/>
    <w:p>
      <w:pPr>
        <w:pStyle w:val="0"/>
        <w:ind w:firstLine="540"/>
        <w:jc w:val="both"/>
      </w:pPr>
      <w:r>
        <w:rPr>
          <w:sz w:val="20"/>
        </w:rPr>
        <w:t xml:space="preserve">Государства-члены ЕС принимают необходимые меры по обеспечению осуществления эксплуатации установок в соответствии со следующими принципами:</w:t>
      </w:r>
    </w:p>
    <w:bookmarkStart w:id="311" w:name="P311"/>
    <w:bookmarkEnd w:id="311"/>
    <w:p>
      <w:pPr>
        <w:pStyle w:val="0"/>
        <w:spacing w:before="200" w:line-rule="auto"/>
        <w:ind w:firstLine="540"/>
        <w:jc w:val="both"/>
      </w:pPr>
      <w:r>
        <w:rPr>
          <w:sz w:val="20"/>
        </w:rPr>
        <w:t xml:space="preserve">a) приняты надлежащие превентивные меры по борьбе с загрязнением;</w:t>
      </w:r>
    </w:p>
    <w:bookmarkStart w:id="312" w:name="P312"/>
    <w:bookmarkEnd w:id="312"/>
    <w:p>
      <w:pPr>
        <w:pStyle w:val="0"/>
        <w:spacing w:before="200" w:line-rule="auto"/>
        <w:ind w:firstLine="540"/>
        <w:jc w:val="both"/>
      </w:pPr>
      <w:r>
        <w:rPr>
          <w:sz w:val="20"/>
        </w:rPr>
        <w:t xml:space="preserve">b) применяются наилучшие доступные технологии;</w:t>
      </w:r>
    </w:p>
    <w:bookmarkStart w:id="313" w:name="P313"/>
    <w:bookmarkEnd w:id="313"/>
    <w:p>
      <w:pPr>
        <w:pStyle w:val="0"/>
        <w:spacing w:before="200" w:line-rule="auto"/>
        <w:ind w:firstLine="540"/>
        <w:jc w:val="both"/>
      </w:pPr>
      <w:r>
        <w:rPr>
          <w:sz w:val="20"/>
        </w:rPr>
        <w:t xml:space="preserve">c) отсутствует значительное загрязнение;</w:t>
      </w:r>
    </w:p>
    <w:bookmarkStart w:id="314" w:name="P314"/>
    <w:bookmarkEnd w:id="314"/>
    <w:p>
      <w:pPr>
        <w:pStyle w:val="0"/>
        <w:spacing w:before="200" w:line-rule="auto"/>
        <w:ind w:firstLine="540"/>
        <w:jc w:val="both"/>
      </w:pPr>
      <w:r>
        <w:rPr>
          <w:sz w:val="20"/>
        </w:rPr>
        <w:t xml:space="preserve">d) принимаются меры по предотвращению образования отходов в соответствии с </w:t>
      </w:r>
      <w:hyperlink w:history="0" r:id="rId39" w:tooltip="Директива N 2008/98/ЕС Европейского парламента и Совета Европейского Союза &quot;Об отходах и отмене ряда Директив&quot; [рус., англ.] (Вместе с &lt;Операциями по уничтожению, утилизации&gt;, &quot;Свойствами отходов, которые превращают их в опасные&quot;, &lt;Примерами мер по предотвращению образования отходов, экономических инструментов, предоставляющих льготы при применении иерархии&gt;, &lt;Планом реализации&gt;, &quot;Корреляционной таблицей&quot;) (Принята в г. Страсбурге 19.11.2008) (с изм. и доп. от 30.05.2018) {КонсультантПлюс}">
        <w:r>
          <w:rPr>
            <w:sz w:val="20"/>
            <w:color w:val="0000ff"/>
          </w:rPr>
          <w:t xml:space="preserve">Директивой</w:t>
        </w:r>
      </w:hyperlink>
      <w:r>
        <w:rPr>
          <w:sz w:val="20"/>
        </w:rPr>
        <w:t xml:space="preserve"> 2008/98/ЕС;</w:t>
      </w:r>
    </w:p>
    <w:bookmarkStart w:id="315" w:name="P315"/>
    <w:bookmarkEnd w:id="315"/>
    <w:p>
      <w:pPr>
        <w:pStyle w:val="0"/>
        <w:spacing w:before="200" w:line-rule="auto"/>
        <w:ind w:firstLine="540"/>
        <w:jc w:val="both"/>
      </w:pPr>
      <w:r>
        <w:rPr>
          <w:sz w:val="20"/>
        </w:rPr>
        <w:t xml:space="preserve">e) образующиеся отходы в первоочередном порядке в соответствии с </w:t>
      </w:r>
      <w:hyperlink w:history="0" r:id="rId40" w:tooltip="Директива N 2008/98/ЕС Европейского парламента и Совета Европейского Союза &quot;Об отходах и отмене ряда Директив&quot; [рус., англ.] (Вместе с &lt;Операциями по уничтожению, утилизации&gt;, &quot;Свойствами отходов, которые превращают их в опасные&quot;, &lt;Примерами мер по предотвращению образования отходов, экономических инструментов, предоставляющих льготы при применении иерархии&gt;, &lt;Планом реализации&gt;, &quot;Корреляционной таблицей&quot;) (Принята в г. Страсбурге 19.11.2008) (с изм. и доп. от 30.05.2018) {КонсультантПлюс}">
        <w:r>
          <w:rPr>
            <w:sz w:val="20"/>
            <w:color w:val="0000ff"/>
          </w:rPr>
          <w:t xml:space="preserve">Директивой</w:t>
        </w:r>
      </w:hyperlink>
      <w:r>
        <w:rPr>
          <w:sz w:val="20"/>
        </w:rPr>
        <w:t xml:space="preserve"> 2008/98/ЕС готовят для повторного использования, переработки, утилизации или при отсутствии технической и экономической возможности осуществляют их захоронение, предотвращая или сокращая любое воздействие на окружающую среду;</w:t>
      </w:r>
    </w:p>
    <w:bookmarkStart w:id="316" w:name="P316"/>
    <w:bookmarkEnd w:id="316"/>
    <w:p>
      <w:pPr>
        <w:pStyle w:val="0"/>
        <w:spacing w:before="200" w:line-rule="auto"/>
        <w:ind w:firstLine="540"/>
        <w:jc w:val="both"/>
      </w:pPr>
      <w:r>
        <w:rPr>
          <w:sz w:val="20"/>
        </w:rPr>
        <w:t xml:space="preserve">f) энергия используется эффективно;</w:t>
      </w:r>
    </w:p>
    <w:bookmarkStart w:id="317" w:name="P317"/>
    <w:bookmarkEnd w:id="317"/>
    <w:p>
      <w:pPr>
        <w:pStyle w:val="0"/>
        <w:spacing w:before="200" w:line-rule="auto"/>
        <w:ind w:firstLine="540"/>
        <w:jc w:val="both"/>
      </w:pPr>
      <w:r>
        <w:rPr>
          <w:sz w:val="20"/>
        </w:rPr>
        <w:t xml:space="preserve">g) принимаются необходимые меры по предупреждению аварий и ограничению их последствий;</w:t>
      </w:r>
    </w:p>
    <w:bookmarkStart w:id="318" w:name="P318"/>
    <w:bookmarkEnd w:id="318"/>
    <w:p>
      <w:pPr>
        <w:pStyle w:val="0"/>
        <w:spacing w:before="200" w:line-rule="auto"/>
        <w:ind w:firstLine="540"/>
        <w:jc w:val="both"/>
      </w:pPr>
      <w:r>
        <w:rPr>
          <w:sz w:val="20"/>
        </w:rPr>
        <w:t xml:space="preserve">h) после окончательного прекращения видов деятельности принимаются необходимые меры по предупреждению риска загрязнения и восстановлению участка эксплуатации до удовлетворительного состояния в соответствии со </w:t>
      </w:r>
      <w:hyperlink w:history="0" w:anchor="P467" w:tooltip="Статья 22">
        <w:r>
          <w:rPr>
            <w:sz w:val="20"/>
            <w:color w:val="0000ff"/>
          </w:rPr>
          <w:t xml:space="preserve">статьей 22</w:t>
        </w:r>
      </w:hyperlink>
      <w:r>
        <w:rPr>
          <w:sz w:val="20"/>
        </w:rPr>
        <w:t xml:space="preserve"> настоящей Директивы.</w:t>
      </w:r>
    </w:p>
    <w:p>
      <w:pPr>
        <w:pStyle w:val="0"/>
        <w:ind w:firstLine="540"/>
        <w:jc w:val="both"/>
      </w:pPr>
      <w:r>
        <w:rPr>
          <w:sz w:val="20"/>
        </w:rPr>
      </w:r>
    </w:p>
    <w:bookmarkStart w:id="320" w:name="P320"/>
    <w:bookmarkEnd w:id="320"/>
    <w:p>
      <w:pPr>
        <w:pStyle w:val="0"/>
        <w:outlineLvl w:val="2"/>
        <w:jc w:val="center"/>
      </w:pPr>
      <w:r>
        <w:rPr>
          <w:sz w:val="20"/>
        </w:rPr>
        <w:t xml:space="preserve">Статья 12</w:t>
      </w:r>
    </w:p>
    <w:p>
      <w:pPr>
        <w:pStyle w:val="0"/>
        <w:jc w:val="center"/>
      </w:pPr>
      <w:r>
        <w:rPr>
          <w:sz w:val="20"/>
        </w:rPr>
      </w:r>
    </w:p>
    <w:p>
      <w:pPr>
        <w:pStyle w:val="0"/>
        <w:jc w:val="center"/>
      </w:pPr>
      <w:r>
        <w:rPr>
          <w:sz w:val="20"/>
        </w:rPr>
        <w:t xml:space="preserve">Заявления на выдачу разрешений</w:t>
      </w:r>
    </w:p>
    <w:p>
      <w:pPr>
        <w:pStyle w:val="0"/>
        <w:jc w:val="center"/>
      </w:pPr>
      <w:r>
        <w:rPr>
          <w:sz w:val="20"/>
        </w:rPr>
      </w:r>
    </w:p>
    <w:bookmarkStart w:id="324" w:name="P324"/>
    <w:bookmarkEnd w:id="324"/>
    <w:p>
      <w:pPr>
        <w:pStyle w:val="0"/>
        <w:ind w:firstLine="540"/>
        <w:jc w:val="both"/>
      </w:pPr>
      <w:r>
        <w:rPr>
          <w:sz w:val="20"/>
        </w:rPr>
        <w:t xml:space="preserve">1. Государства-члены ЕС принимают необходимые меры, гарантирующие, что заявление на выдачу разрешения содержит указание на:</w:t>
      </w:r>
    </w:p>
    <w:bookmarkStart w:id="325" w:name="P325"/>
    <w:bookmarkEnd w:id="325"/>
    <w:p>
      <w:pPr>
        <w:pStyle w:val="0"/>
        <w:spacing w:before="200" w:line-rule="auto"/>
        <w:ind w:firstLine="540"/>
        <w:jc w:val="both"/>
      </w:pPr>
      <w:r>
        <w:rPr>
          <w:sz w:val="20"/>
        </w:rPr>
        <w:t xml:space="preserve">a) установки и виды их деятельности;</w:t>
      </w:r>
    </w:p>
    <w:p>
      <w:pPr>
        <w:pStyle w:val="0"/>
        <w:spacing w:before="200" w:line-rule="auto"/>
        <w:ind w:firstLine="540"/>
        <w:jc w:val="both"/>
      </w:pPr>
      <w:r>
        <w:rPr>
          <w:sz w:val="20"/>
        </w:rPr>
        <w:t xml:space="preserve">b) сырье и вспомогательные материалы, иные вещества и энергию, используемую или генерируемую установкой;</w:t>
      </w:r>
    </w:p>
    <w:p>
      <w:pPr>
        <w:pStyle w:val="0"/>
        <w:spacing w:before="200" w:line-rule="auto"/>
        <w:ind w:firstLine="540"/>
        <w:jc w:val="both"/>
      </w:pPr>
      <w:r>
        <w:rPr>
          <w:sz w:val="20"/>
        </w:rPr>
        <w:t xml:space="preserve">c) источники выбросов от установки;</w:t>
      </w:r>
    </w:p>
    <w:bookmarkStart w:id="328" w:name="P328"/>
    <w:bookmarkEnd w:id="328"/>
    <w:p>
      <w:pPr>
        <w:pStyle w:val="0"/>
        <w:spacing w:before="200" w:line-rule="auto"/>
        <w:ind w:firstLine="540"/>
        <w:jc w:val="both"/>
      </w:pPr>
      <w:r>
        <w:rPr>
          <w:sz w:val="20"/>
        </w:rPr>
        <w:t xml:space="preserve">d) особенности участка установки;</w:t>
      </w:r>
    </w:p>
    <w:bookmarkStart w:id="329" w:name="P329"/>
    <w:bookmarkEnd w:id="329"/>
    <w:p>
      <w:pPr>
        <w:pStyle w:val="0"/>
        <w:spacing w:before="200" w:line-rule="auto"/>
        <w:ind w:firstLine="540"/>
        <w:jc w:val="both"/>
      </w:pPr>
      <w:r>
        <w:rPr>
          <w:sz w:val="20"/>
        </w:rPr>
        <w:t xml:space="preserve">e) если применимо, базовый отчет в соответствии со </w:t>
      </w:r>
      <w:hyperlink w:history="0" w:anchor="P475" w:tooltip="2. В случае если осуществляемая деятельность связана с использованием, производством или выбросами соответствующих опасных веществ и может привести к загрязнению почв и грунтовых вод на участке установки, оператор готовит и передает компетентному органу базовый отчет до начала эксплуатации установки или до первого после 7 января 2013 г. изменения условий разрешения.">
        <w:r>
          <w:rPr>
            <w:sz w:val="20"/>
            <w:color w:val="0000ff"/>
          </w:rPr>
          <w:t xml:space="preserve">статьей 22 (2)</w:t>
        </w:r>
      </w:hyperlink>
      <w:r>
        <w:rPr>
          <w:sz w:val="20"/>
        </w:rPr>
        <w:t xml:space="preserve"> настоящей Директивы;</w:t>
      </w:r>
    </w:p>
    <w:bookmarkStart w:id="330" w:name="P330"/>
    <w:bookmarkEnd w:id="330"/>
    <w:p>
      <w:pPr>
        <w:pStyle w:val="0"/>
        <w:spacing w:before="200" w:line-rule="auto"/>
        <w:ind w:firstLine="540"/>
        <w:jc w:val="both"/>
      </w:pPr>
      <w:r>
        <w:rPr>
          <w:sz w:val="20"/>
        </w:rPr>
        <w:t xml:space="preserve">f) природу и количество предполагаемых выбросов от установок в окружающую среду, а также значительное воздействие выбросов на окружающую среду;</w:t>
      </w:r>
    </w:p>
    <w:bookmarkStart w:id="331" w:name="P331"/>
    <w:bookmarkEnd w:id="331"/>
    <w:p>
      <w:pPr>
        <w:pStyle w:val="0"/>
        <w:spacing w:before="200" w:line-rule="auto"/>
        <w:ind w:firstLine="540"/>
        <w:jc w:val="both"/>
      </w:pPr>
      <w:r>
        <w:rPr>
          <w:sz w:val="20"/>
        </w:rPr>
        <w:t xml:space="preserve">g) предлагаемые технологии и иные методы предупреждения или, если это невозможно, сокращения выбросов от установок;</w:t>
      </w:r>
    </w:p>
    <w:bookmarkStart w:id="332" w:name="P332"/>
    <w:bookmarkEnd w:id="332"/>
    <w:p>
      <w:pPr>
        <w:pStyle w:val="0"/>
        <w:spacing w:before="200" w:line-rule="auto"/>
        <w:ind w:firstLine="540"/>
        <w:jc w:val="both"/>
      </w:pPr>
      <w:r>
        <w:rPr>
          <w:sz w:val="20"/>
        </w:rPr>
        <w:t xml:space="preserve">h) мероприятия по предотвращению образования отходов, а также мероприятия по подготовке к повторному использованию, переработке и утилизации отходов, генерируемых установкой;</w:t>
      </w:r>
    </w:p>
    <w:bookmarkStart w:id="333" w:name="P333"/>
    <w:bookmarkEnd w:id="333"/>
    <w:p>
      <w:pPr>
        <w:pStyle w:val="0"/>
        <w:spacing w:before="200" w:line-rule="auto"/>
        <w:ind w:firstLine="540"/>
        <w:jc w:val="both"/>
      </w:pPr>
      <w:r>
        <w:rPr>
          <w:sz w:val="20"/>
        </w:rPr>
        <w:t xml:space="preserve">i) дальнейшие мероприятия, направленные на соблюдение общих принципов, регулирующих основные обязанности оператора, которые предусмотрены </w:t>
      </w:r>
      <w:hyperlink w:history="0" w:anchor="P306" w:tooltip="Статья 11">
        <w:r>
          <w:rPr>
            <w:sz w:val="20"/>
            <w:color w:val="0000ff"/>
          </w:rPr>
          <w:t xml:space="preserve">статьей 11</w:t>
        </w:r>
      </w:hyperlink>
      <w:r>
        <w:rPr>
          <w:sz w:val="20"/>
        </w:rPr>
        <w:t xml:space="preserve"> настоящей Директивы;</w:t>
      </w:r>
    </w:p>
    <w:bookmarkStart w:id="334" w:name="P334"/>
    <w:bookmarkEnd w:id="334"/>
    <w:p>
      <w:pPr>
        <w:pStyle w:val="0"/>
        <w:spacing w:before="200" w:line-rule="auto"/>
        <w:ind w:firstLine="540"/>
        <w:jc w:val="both"/>
      </w:pPr>
      <w:r>
        <w:rPr>
          <w:sz w:val="20"/>
        </w:rPr>
        <w:t xml:space="preserve">j) мероприятия, направленные на мониторинг выбросов в окружающую среду;</w:t>
      </w:r>
    </w:p>
    <w:bookmarkStart w:id="335" w:name="P335"/>
    <w:bookmarkEnd w:id="335"/>
    <w:p>
      <w:pPr>
        <w:pStyle w:val="0"/>
        <w:spacing w:before="200" w:line-rule="auto"/>
        <w:ind w:firstLine="540"/>
        <w:jc w:val="both"/>
      </w:pPr>
      <w:r>
        <w:rPr>
          <w:sz w:val="20"/>
        </w:rPr>
        <w:t xml:space="preserve">k) основные альтернативы предлагаемым технологиям, методам и мерам, изученные заявителем в общих чертах.</w:t>
      </w:r>
    </w:p>
    <w:bookmarkStart w:id="336" w:name="P336"/>
    <w:bookmarkEnd w:id="336"/>
    <w:p>
      <w:pPr>
        <w:pStyle w:val="0"/>
        <w:spacing w:before="200" w:line-rule="auto"/>
        <w:ind w:firstLine="540"/>
        <w:jc w:val="both"/>
      </w:pPr>
      <w:r>
        <w:rPr>
          <w:sz w:val="20"/>
        </w:rPr>
        <w:t xml:space="preserve">Заявление на выдачу разрешения также должно содержать общие выводы по информации, предусмотренной </w:t>
      </w:r>
      <w:hyperlink w:history="0" w:anchor="P324" w:tooltip="1. Государства-члены ЕС принимают необходимые меры, гарантирующие, что заявление на выдачу разрешения содержит указание на:">
        <w:r>
          <w:rPr>
            <w:sz w:val="20"/>
            <w:color w:val="0000ff"/>
          </w:rPr>
          <w:t xml:space="preserve">первым подпараграфом</w:t>
        </w:r>
      </w:hyperlink>
      <w:r>
        <w:rPr>
          <w:sz w:val="20"/>
        </w:rPr>
        <w:t xml:space="preserve">.</w:t>
      </w:r>
    </w:p>
    <w:bookmarkStart w:id="337" w:name="P337"/>
    <w:bookmarkEnd w:id="337"/>
    <w:p>
      <w:pPr>
        <w:pStyle w:val="0"/>
        <w:spacing w:before="200" w:line-rule="auto"/>
        <w:ind w:firstLine="540"/>
        <w:jc w:val="both"/>
      </w:pPr>
      <w:r>
        <w:rPr>
          <w:sz w:val="20"/>
        </w:rPr>
        <w:t xml:space="preserve">2. В случае если информация, поданная в соответствии с требованиями Директивы 85/337/ЕЭС, или отчет о мерах безопасности, подготовленный в соответствии с Директивой 96/82/ЕС, или иная информация, представленная в соответствии с иным законодательством, соответствует требованиям </w:t>
      </w:r>
      <w:hyperlink w:history="0" w:anchor="P324" w:tooltip="1. Государства-члены ЕС принимают необходимые меры, гарантирующие, что заявление на выдачу разрешения содержит указание на:">
        <w:r>
          <w:rPr>
            <w:sz w:val="20"/>
            <w:color w:val="0000ff"/>
          </w:rPr>
          <w:t xml:space="preserve">параграфа 1 настоящей статьи</w:t>
        </w:r>
      </w:hyperlink>
      <w:r>
        <w:rPr>
          <w:sz w:val="20"/>
        </w:rPr>
        <w:t xml:space="preserve">, такая информация может быть включена в заявление или представлена в приложении к нему.</w:t>
      </w:r>
    </w:p>
    <w:p>
      <w:pPr>
        <w:pStyle w:val="0"/>
        <w:ind w:firstLine="540"/>
        <w:jc w:val="both"/>
      </w:pPr>
      <w:r>
        <w:rPr>
          <w:sz w:val="20"/>
        </w:rPr>
      </w:r>
    </w:p>
    <w:bookmarkStart w:id="339" w:name="P339"/>
    <w:bookmarkEnd w:id="339"/>
    <w:p>
      <w:pPr>
        <w:pStyle w:val="0"/>
        <w:outlineLvl w:val="2"/>
        <w:jc w:val="center"/>
      </w:pPr>
      <w:r>
        <w:rPr>
          <w:sz w:val="20"/>
        </w:rPr>
        <w:t xml:space="preserve">Статья 13</w:t>
      </w:r>
    </w:p>
    <w:p>
      <w:pPr>
        <w:pStyle w:val="0"/>
        <w:jc w:val="center"/>
      </w:pPr>
      <w:r>
        <w:rPr>
          <w:sz w:val="20"/>
        </w:rPr>
      </w:r>
    </w:p>
    <w:p>
      <w:pPr>
        <w:pStyle w:val="0"/>
        <w:jc w:val="center"/>
      </w:pPr>
      <w:r>
        <w:rPr>
          <w:sz w:val="20"/>
        </w:rPr>
        <w:t xml:space="preserve">Справочники BAT и обмен информацией</w:t>
      </w:r>
    </w:p>
    <w:p>
      <w:pPr>
        <w:pStyle w:val="0"/>
        <w:jc w:val="center"/>
      </w:pPr>
      <w:r>
        <w:rPr>
          <w:sz w:val="20"/>
        </w:rPr>
      </w:r>
    </w:p>
    <w:bookmarkStart w:id="343" w:name="P343"/>
    <w:bookmarkEnd w:id="343"/>
    <w:p>
      <w:pPr>
        <w:pStyle w:val="0"/>
        <w:ind w:firstLine="540"/>
        <w:jc w:val="both"/>
      </w:pPr>
      <w:r>
        <w:rPr>
          <w:sz w:val="20"/>
        </w:rPr>
        <w:t xml:space="preserve">1. В целях составления, пересмотра и при необходимости, обновления справочников BAT, Европейская комиссия организует обмен информацией между государствами-членами ЕС, соответствующими отраслями промышленности, неправительственными организациями, содействующими обеспечению защиты окружающей среды, и Европейской комиссией.</w:t>
      </w:r>
    </w:p>
    <w:bookmarkStart w:id="344" w:name="P344"/>
    <w:bookmarkEnd w:id="344"/>
    <w:p>
      <w:pPr>
        <w:pStyle w:val="0"/>
        <w:spacing w:before="200" w:line-rule="auto"/>
        <w:ind w:firstLine="540"/>
        <w:jc w:val="both"/>
      </w:pPr>
      <w:r>
        <w:rPr>
          <w:sz w:val="20"/>
        </w:rPr>
        <w:t xml:space="preserve">2. Обмен информацией должен, в частности, касаться следующих вопросов:</w:t>
      </w:r>
    </w:p>
    <w:bookmarkStart w:id="345" w:name="P345"/>
    <w:bookmarkEnd w:id="345"/>
    <w:p>
      <w:pPr>
        <w:pStyle w:val="0"/>
        <w:spacing w:before="200" w:line-rule="auto"/>
        <w:ind w:firstLine="540"/>
        <w:jc w:val="both"/>
      </w:pPr>
      <w:r>
        <w:rPr>
          <w:sz w:val="20"/>
        </w:rPr>
        <w:t xml:space="preserve">a) эксплуатационные характеристики установок и технологий в том, что касается выбросов, выраженные как краткосрочные и долгосрочные средние значения при необходимости, и соответствующие заданные условия потребления и природы сырья, потребления воды, использования энергии и образования отходов;</w:t>
      </w:r>
    </w:p>
    <w:p>
      <w:pPr>
        <w:pStyle w:val="0"/>
        <w:spacing w:before="200" w:line-rule="auto"/>
        <w:ind w:firstLine="540"/>
        <w:jc w:val="both"/>
      </w:pPr>
      <w:r>
        <w:rPr>
          <w:sz w:val="20"/>
        </w:rPr>
        <w:t xml:space="preserve">b) используемые технологии, соответствующий мониторинг, влияние загрязнения одной среды на другую, экономическая и техническая жизнеспособность и изменения в ней;</w:t>
      </w:r>
    </w:p>
    <w:p>
      <w:pPr>
        <w:pStyle w:val="0"/>
        <w:spacing w:before="200" w:line-rule="auto"/>
        <w:ind w:firstLine="540"/>
        <w:jc w:val="both"/>
      </w:pPr>
      <w:r>
        <w:rPr>
          <w:sz w:val="20"/>
        </w:rPr>
        <w:t xml:space="preserve">c) наилучшие доступные технологии и появляющиеся технологии, выявленные после рассмотрения вопросов, перечисленных в </w:t>
      </w:r>
      <w:hyperlink w:history="0" w:anchor="P345" w:tooltip="a) эксплуатационные характеристики установок и технологий в том, что касается выбросов, выраженные как краткосрочные и долгосрочные средние значения при необходимости, и соответствующие заданные условия потребления и природы сырья, потребления воды, использования энергии и образования отходов;">
        <w:r>
          <w:rPr>
            <w:sz w:val="20"/>
            <w:color w:val="0000ff"/>
          </w:rPr>
          <w:t xml:space="preserve">пунктах "a"</w:t>
        </w:r>
      </w:hyperlink>
      <w:r>
        <w:rPr>
          <w:sz w:val="20"/>
        </w:rPr>
        <w:t xml:space="preserve"> и "b" настоящего параграфа.</w:t>
      </w:r>
    </w:p>
    <w:p>
      <w:pPr>
        <w:pStyle w:val="0"/>
        <w:spacing w:before="200" w:line-rule="auto"/>
        <w:ind w:firstLine="540"/>
        <w:jc w:val="both"/>
      </w:pPr>
      <w:r>
        <w:rPr>
          <w:sz w:val="20"/>
        </w:rPr>
        <w:t xml:space="preserve">3. Европейская комиссия организует и регулярно проводит форум с участием представителей государств-членов ЕС, соответствующих отраслей промышленности и неправительственных организаций, содействующих обеспечению защиты окружающей среды.</w:t>
      </w:r>
    </w:p>
    <w:p>
      <w:pPr>
        <w:pStyle w:val="0"/>
        <w:spacing w:before="200" w:line-rule="auto"/>
        <w:ind w:firstLine="540"/>
        <w:jc w:val="both"/>
      </w:pPr>
      <w:r>
        <w:rPr>
          <w:sz w:val="20"/>
        </w:rPr>
        <w:t xml:space="preserve">Европейская комиссия должна получить заключение форума относительно практических мероприятий по обмену информацией и, в частности, следующих вопросов:</w:t>
      </w:r>
    </w:p>
    <w:p>
      <w:pPr>
        <w:pStyle w:val="0"/>
        <w:spacing w:before="200" w:line-rule="auto"/>
        <w:ind w:firstLine="540"/>
        <w:jc w:val="both"/>
      </w:pPr>
      <w:r>
        <w:rPr>
          <w:sz w:val="20"/>
        </w:rPr>
        <w:t xml:space="preserve">a) внутренний регламент форума;</w:t>
      </w:r>
    </w:p>
    <w:p>
      <w:pPr>
        <w:pStyle w:val="0"/>
        <w:spacing w:before="200" w:line-rule="auto"/>
        <w:ind w:firstLine="540"/>
        <w:jc w:val="both"/>
      </w:pPr>
      <w:r>
        <w:rPr>
          <w:sz w:val="20"/>
        </w:rPr>
        <w:t xml:space="preserve">b) рабочая программа по обмену информацией;</w:t>
      </w:r>
    </w:p>
    <w:p>
      <w:pPr>
        <w:pStyle w:val="0"/>
        <w:spacing w:before="200" w:line-rule="auto"/>
        <w:ind w:firstLine="540"/>
        <w:jc w:val="both"/>
      </w:pPr>
      <w:r>
        <w:rPr>
          <w:sz w:val="20"/>
        </w:rPr>
        <w:t xml:space="preserve">c) рекомендации по сбору данных;</w:t>
      </w:r>
    </w:p>
    <w:p>
      <w:pPr>
        <w:pStyle w:val="0"/>
        <w:spacing w:before="200" w:line-rule="auto"/>
        <w:ind w:firstLine="540"/>
        <w:jc w:val="both"/>
      </w:pPr>
      <w:r>
        <w:rPr>
          <w:sz w:val="20"/>
        </w:rPr>
        <w:t xml:space="preserve">d) рекомендации по составлению справочников BAT и обеспечению гарантии их качества, в том числе соответствия их содержания и формата.</w:t>
      </w:r>
    </w:p>
    <w:p>
      <w:pPr>
        <w:pStyle w:val="0"/>
        <w:spacing w:before="200" w:line-rule="auto"/>
        <w:ind w:firstLine="540"/>
        <w:jc w:val="both"/>
      </w:pPr>
      <w:r>
        <w:rPr>
          <w:sz w:val="20"/>
        </w:rPr>
        <w:t xml:space="preserve">Рекомендации, указанные в пунктах "c" и "d" второго подпараграфа, принимаются с учетом заключения форума в соответствии с регулятивной процедурой, предусмотренной </w:t>
      </w:r>
      <w:hyperlink w:history="0" w:anchor="P1150" w:tooltip="2. При любых ссылках на настоящий параграф применяются положения статьи 5 и 7 Решения 1999/468/ЕС с учетом положений статьи 8 названного Решения.">
        <w:r>
          <w:rPr>
            <w:sz w:val="20"/>
            <w:color w:val="0000ff"/>
          </w:rPr>
          <w:t xml:space="preserve">статьей 75 (2)</w:t>
        </w:r>
      </w:hyperlink>
      <w:r>
        <w:rPr>
          <w:sz w:val="20"/>
        </w:rPr>
        <w:t xml:space="preserve"> настоящей Директивы.</w:t>
      </w:r>
    </w:p>
    <w:bookmarkStart w:id="355" w:name="P355"/>
    <w:bookmarkEnd w:id="355"/>
    <w:p>
      <w:pPr>
        <w:pStyle w:val="0"/>
        <w:spacing w:before="200" w:line-rule="auto"/>
        <w:ind w:firstLine="540"/>
        <w:jc w:val="both"/>
      </w:pPr>
      <w:r>
        <w:rPr>
          <w:sz w:val="20"/>
        </w:rPr>
        <w:t xml:space="preserve">4. Европейская комиссия должна получить и довести до сведения общественности заключение форума о предлагаемом содержании справочников BAT, а также руководствоваться этим заключением при осуществлении процедуры, указанной в параграфе 5 настоящей статьи.</w:t>
      </w:r>
    </w:p>
    <w:bookmarkStart w:id="356" w:name="P356"/>
    <w:bookmarkEnd w:id="356"/>
    <w:p>
      <w:pPr>
        <w:pStyle w:val="0"/>
        <w:spacing w:before="200" w:line-rule="auto"/>
        <w:ind w:firstLine="540"/>
        <w:jc w:val="both"/>
      </w:pPr>
      <w:r>
        <w:rPr>
          <w:sz w:val="20"/>
        </w:rPr>
        <w:t xml:space="preserve">5. Решения о заключениях BAT принимаются в соответствии с регулятивной процедурой, предусмотренной </w:t>
      </w:r>
      <w:hyperlink w:history="0" w:anchor="P1150" w:tooltip="2. При любых ссылках на настоящий параграф применяются положения статьи 5 и 7 Решения 1999/468/ЕС с учетом положений статьи 8 названного Решения.">
        <w:r>
          <w:rPr>
            <w:sz w:val="20"/>
            <w:color w:val="0000ff"/>
          </w:rPr>
          <w:t xml:space="preserve">статьей 75 (2)</w:t>
        </w:r>
      </w:hyperlink>
      <w:r>
        <w:rPr>
          <w:sz w:val="20"/>
        </w:rPr>
        <w:t xml:space="preserve"> настоящей Директивы.</w:t>
      </w:r>
    </w:p>
    <w:p>
      <w:pPr>
        <w:pStyle w:val="0"/>
        <w:spacing w:before="200" w:line-rule="auto"/>
        <w:ind w:firstLine="540"/>
        <w:jc w:val="both"/>
      </w:pPr>
      <w:r>
        <w:rPr>
          <w:sz w:val="20"/>
        </w:rPr>
        <w:t xml:space="preserve">6. После принятия решения, указанного в параграфе 5 настоящей статьи, Европейская комиссия незамедлительно обнародует справочники BAT и обеспечивает доступность заключений BAT на всех официальных языках Европейского Союза.</w:t>
      </w:r>
    </w:p>
    <w:bookmarkStart w:id="358" w:name="P358"/>
    <w:bookmarkEnd w:id="358"/>
    <w:p>
      <w:pPr>
        <w:pStyle w:val="0"/>
        <w:spacing w:before="200" w:line-rule="auto"/>
        <w:ind w:firstLine="540"/>
        <w:jc w:val="both"/>
      </w:pPr>
      <w:r>
        <w:rPr>
          <w:sz w:val="20"/>
        </w:rPr>
        <w:t xml:space="preserve">7. Вплоть до принятия решения в соответствии с </w:t>
      </w:r>
      <w:hyperlink w:history="0" w:anchor="P356" w:tooltip="5. Решения о заключениях BAT принимаются в соответствии с регулятивной процедурой, предусмотренной статьей 75 (2) настоящей Директивы.">
        <w:r>
          <w:rPr>
            <w:sz w:val="20"/>
            <w:color w:val="0000ff"/>
          </w:rPr>
          <w:t xml:space="preserve">параграфом 5 настоящей статьи</w:t>
        </w:r>
      </w:hyperlink>
      <w:r>
        <w:rPr>
          <w:sz w:val="20"/>
        </w:rPr>
        <w:t xml:space="preserve">, заключения о наилучших доступных технологиях из справочников BAT, принятых Европейской комиссией ранее даты, указанной в </w:t>
      </w:r>
      <w:hyperlink w:history="0" w:anchor="P1228" w:tooltip="Статья 83">
        <w:r>
          <w:rPr>
            <w:sz w:val="20"/>
            <w:color w:val="0000ff"/>
          </w:rPr>
          <w:t xml:space="preserve">статье 83</w:t>
        </w:r>
      </w:hyperlink>
      <w:r>
        <w:rPr>
          <w:sz w:val="20"/>
        </w:rPr>
        <w:t xml:space="preserve"> настоящей Директивы, применяются в качестве заключений BAT в целях настоящей главы, за исключением </w:t>
      </w:r>
      <w:hyperlink w:history="0" w:anchor="P396" w:tooltip="3. Компетентный орган устанавливает пороговые значения выбросов с тем, чтобы при нормальных условиях эксплуатации выбросы не превышали уровней выбросов, утвержденных в соответствии с наилучшими доступными технологиями, как указано в решениях о заключениях BAT, предусмотренных статьей 13 (5) настоящей Директивы, посредством:">
        <w:r>
          <w:rPr>
            <w:sz w:val="20"/>
            <w:color w:val="0000ff"/>
          </w:rPr>
          <w:t xml:space="preserve">статьи 15 (3)</w:t>
        </w:r>
      </w:hyperlink>
      <w:r>
        <w:rPr>
          <w:sz w:val="20"/>
        </w:rPr>
        <w:t xml:space="preserve"> и </w:t>
      </w:r>
      <w:hyperlink w:history="0" w:anchor="P400" w:tooltip="4. В порядке частичного отступления от параграфа 3 настоящей статьи и без ущерба действия статьи 18 настоящей Директивы компетентный орган вправе в особых случаях устанавливать менее жесткие пороговые значения выбросов. Такое отступление может применяться только в случае, если оценка показывает, что достижение уровней выбросов, утвержденных в соответствии с наилучшими доступными технологиями, как указано в заключениях BAT, приведет к высоким издержкам, несоразмерным по сравнению с выгодами для окружающей...">
        <w:r>
          <w:rPr>
            <w:sz w:val="20"/>
            <w:color w:val="0000ff"/>
          </w:rPr>
          <w:t xml:space="preserve">(4)</w:t>
        </w:r>
      </w:hyperlink>
      <w:r>
        <w:rPr>
          <w:sz w:val="20"/>
        </w:rPr>
        <w:t xml:space="preserve"> настоящей Директивы.</w:t>
      </w:r>
    </w:p>
    <w:p>
      <w:pPr>
        <w:pStyle w:val="0"/>
        <w:ind w:firstLine="540"/>
        <w:jc w:val="both"/>
      </w:pPr>
      <w:r>
        <w:rPr>
          <w:sz w:val="20"/>
        </w:rPr>
      </w:r>
    </w:p>
    <w:bookmarkStart w:id="360" w:name="P360"/>
    <w:bookmarkEnd w:id="360"/>
    <w:p>
      <w:pPr>
        <w:pStyle w:val="0"/>
        <w:outlineLvl w:val="2"/>
        <w:jc w:val="center"/>
      </w:pPr>
      <w:r>
        <w:rPr>
          <w:sz w:val="20"/>
        </w:rPr>
        <w:t xml:space="preserve">Статья 14</w:t>
      </w:r>
    </w:p>
    <w:p>
      <w:pPr>
        <w:pStyle w:val="0"/>
        <w:jc w:val="center"/>
      </w:pPr>
      <w:r>
        <w:rPr>
          <w:sz w:val="20"/>
        </w:rPr>
      </w:r>
    </w:p>
    <w:p>
      <w:pPr>
        <w:pStyle w:val="0"/>
        <w:jc w:val="center"/>
      </w:pPr>
      <w:r>
        <w:rPr>
          <w:sz w:val="20"/>
        </w:rPr>
        <w:t xml:space="preserve">Условия разрешения</w:t>
      </w:r>
    </w:p>
    <w:p>
      <w:pPr>
        <w:pStyle w:val="0"/>
        <w:jc w:val="center"/>
      </w:pPr>
      <w:r>
        <w:rPr>
          <w:sz w:val="20"/>
        </w:rPr>
      </w:r>
    </w:p>
    <w:bookmarkStart w:id="364" w:name="P364"/>
    <w:bookmarkEnd w:id="364"/>
    <w:p>
      <w:pPr>
        <w:pStyle w:val="0"/>
        <w:ind w:firstLine="540"/>
        <w:jc w:val="both"/>
      </w:pPr>
      <w:r>
        <w:rPr>
          <w:sz w:val="20"/>
        </w:rPr>
        <w:t xml:space="preserve">1. Государства-члены ЕС гарантируют, что разрешение содержит все данные, необходимые для соблюдения требований </w:t>
      </w:r>
      <w:hyperlink w:history="0" w:anchor="P306" w:tooltip="Статья 11">
        <w:r>
          <w:rPr>
            <w:sz w:val="20"/>
            <w:color w:val="0000ff"/>
          </w:rPr>
          <w:t xml:space="preserve">статей 11</w:t>
        </w:r>
      </w:hyperlink>
      <w:r>
        <w:rPr>
          <w:sz w:val="20"/>
        </w:rPr>
        <w:t xml:space="preserve"> и </w:t>
      </w:r>
      <w:hyperlink w:history="0" w:anchor="P428" w:tooltip="Статья 18">
        <w:r>
          <w:rPr>
            <w:sz w:val="20"/>
            <w:color w:val="0000ff"/>
          </w:rPr>
          <w:t xml:space="preserve">18</w:t>
        </w:r>
      </w:hyperlink>
      <w:r>
        <w:rPr>
          <w:sz w:val="20"/>
        </w:rPr>
        <w:t xml:space="preserve"> настоящей Директивы.</w:t>
      </w:r>
    </w:p>
    <w:bookmarkStart w:id="365" w:name="P365"/>
    <w:bookmarkEnd w:id="365"/>
    <w:p>
      <w:pPr>
        <w:pStyle w:val="0"/>
        <w:spacing w:before="200" w:line-rule="auto"/>
        <w:ind w:firstLine="540"/>
        <w:jc w:val="both"/>
      </w:pPr>
      <w:r>
        <w:rPr>
          <w:sz w:val="20"/>
        </w:rPr>
        <w:t xml:space="preserve">Такие данные включают, как минимум, следующие:</w:t>
      </w:r>
    </w:p>
    <w:bookmarkStart w:id="366" w:name="P366"/>
    <w:bookmarkEnd w:id="366"/>
    <w:p>
      <w:pPr>
        <w:pStyle w:val="0"/>
        <w:spacing w:before="200" w:line-rule="auto"/>
        <w:ind w:firstLine="540"/>
        <w:jc w:val="both"/>
      </w:pPr>
      <w:r>
        <w:rPr>
          <w:sz w:val="20"/>
        </w:rPr>
        <w:t xml:space="preserve">a) пороговые значения выбросов для загрязняющих веществ, перечисленных в </w:t>
      </w:r>
      <w:hyperlink w:history="0" w:anchor="P1421" w:tooltip="СПИСОК">
        <w:r>
          <w:rPr>
            <w:sz w:val="20"/>
            <w:color w:val="0000ff"/>
          </w:rPr>
          <w:t xml:space="preserve">Приложении II</w:t>
        </w:r>
      </w:hyperlink>
      <w:r>
        <w:rPr>
          <w:sz w:val="20"/>
        </w:rPr>
        <w:t xml:space="preserve"> к настоящей Директиве, а также для иных загрязняющих веществ, которые могут выделяться из соответствующих установок в значительных количествах, с учетом их природы и потенциальной возможности переносить загрязнение от одного объекта окружающей среды к другому;</w:t>
      </w:r>
    </w:p>
    <w:bookmarkStart w:id="367" w:name="P367"/>
    <w:bookmarkEnd w:id="367"/>
    <w:p>
      <w:pPr>
        <w:pStyle w:val="0"/>
        <w:spacing w:before="200" w:line-rule="auto"/>
        <w:ind w:firstLine="540"/>
        <w:jc w:val="both"/>
      </w:pPr>
      <w:r>
        <w:rPr>
          <w:sz w:val="20"/>
        </w:rPr>
        <w:t xml:space="preserve">b) надлежащие требования, направленные на охрану почв и грунтовых вод, а также мероприятия по мониторингу и управлению образовавшимися отходами;</w:t>
      </w:r>
    </w:p>
    <w:bookmarkStart w:id="368" w:name="P368"/>
    <w:bookmarkEnd w:id="368"/>
    <w:p>
      <w:pPr>
        <w:pStyle w:val="0"/>
        <w:spacing w:before="200" w:line-rule="auto"/>
        <w:ind w:firstLine="540"/>
        <w:jc w:val="both"/>
      </w:pPr>
      <w:r>
        <w:rPr>
          <w:sz w:val="20"/>
        </w:rPr>
        <w:t xml:space="preserve">c) надлежащие требования к мониторингу выбросов, устанавливающие:</w:t>
      </w:r>
    </w:p>
    <w:bookmarkStart w:id="369" w:name="P369"/>
    <w:bookmarkEnd w:id="369"/>
    <w:p>
      <w:pPr>
        <w:pStyle w:val="0"/>
        <w:spacing w:before="200" w:line-rule="auto"/>
        <w:ind w:firstLine="540"/>
        <w:jc w:val="both"/>
      </w:pPr>
      <w:r>
        <w:rPr>
          <w:sz w:val="20"/>
        </w:rPr>
        <w:t xml:space="preserve">i) методику измерения, частоту проведения и порядок оценки, а также</w:t>
      </w:r>
    </w:p>
    <w:bookmarkStart w:id="370" w:name="P370"/>
    <w:bookmarkEnd w:id="370"/>
    <w:p>
      <w:pPr>
        <w:pStyle w:val="0"/>
        <w:spacing w:before="200" w:line-rule="auto"/>
        <w:ind w:firstLine="540"/>
        <w:jc w:val="both"/>
      </w:pPr>
      <w:r>
        <w:rPr>
          <w:sz w:val="20"/>
        </w:rPr>
        <w:t xml:space="preserve">ii) если применяется </w:t>
      </w:r>
      <w:hyperlink w:history="0" w:anchor="P398" w:tooltip="b) установления пороговых значений выбросов, отличных от уровней, указанных в пункте &quot;a&quot; настоящего параграфа, в том, что касается значений, сроков и условий функционирования.">
        <w:r>
          <w:rPr>
            <w:sz w:val="20"/>
            <w:color w:val="0000ff"/>
          </w:rPr>
          <w:t xml:space="preserve">статья 15 (3) "b"</w:t>
        </w:r>
      </w:hyperlink>
      <w:r>
        <w:rPr>
          <w:sz w:val="20"/>
        </w:rPr>
        <w:t xml:space="preserve"> настоящей Директивы, устанавливающие, что результаты мониторинга выбросов доступны в течение тех же сроков и при тех же нормальных условиях, что и уровни выбросов, утвержденные в соответствии с наилучшими доступными технологиями;</w:t>
      </w:r>
    </w:p>
    <w:bookmarkStart w:id="371" w:name="P371"/>
    <w:bookmarkEnd w:id="371"/>
    <w:p>
      <w:pPr>
        <w:pStyle w:val="0"/>
        <w:spacing w:before="200" w:line-rule="auto"/>
        <w:ind w:firstLine="540"/>
        <w:jc w:val="both"/>
      </w:pPr>
      <w:r>
        <w:rPr>
          <w:sz w:val="20"/>
        </w:rPr>
        <w:t xml:space="preserve">d) обязательство предоставлять компетентному органу регулярно и по крайней мере ежегодно:</w:t>
      </w:r>
    </w:p>
    <w:bookmarkStart w:id="372" w:name="P372"/>
    <w:bookmarkEnd w:id="372"/>
    <w:p>
      <w:pPr>
        <w:pStyle w:val="0"/>
        <w:spacing w:before="200" w:line-rule="auto"/>
        <w:ind w:firstLine="540"/>
        <w:jc w:val="both"/>
      </w:pPr>
      <w:r>
        <w:rPr>
          <w:sz w:val="20"/>
        </w:rPr>
        <w:t xml:space="preserve">i) информацию, полученную по результатам мониторинга выбросов, указанного в </w:t>
      </w:r>
      <w:hyperlink w:history="0" w:anchor="P368" w:tooltip="c) надлежащие требования к мониторингу выбросов, устанавливающие:">
        <w:r>
          <w:rPr>
            <w:sz w:val="20"/>
            <w:color w:val="0000ff"/>
          </w:rPr>
          <w:t xml:space="preserve">пункте "c" настоящего подпараграфа</w:t>
        </w:r>
      </w:hyperlink>
      <w:r>
        <w:rPr>
          <w:sz w:val="20"/>
        </w:rPr>
        <w:t xml:space="preserve">, и иные данные, необходимые компетентному органу для проверки соблюдения предусмотренных разрешением условий;</w:t>
      </w:r>
    </w:p>
    <w:bookmarkStart w:id="373" w:name="P373"/>
    <w:bookmarkEnd w:id="373"/>
    <w:p>
      <w:pPr>
        <w:pStyle w:val="0"/>
        <w:spacing w:before="200" w:line-rule="auto"/>
        <w:ind w:firstLine="540"/>
        <w:jc w:val="both"/>
      </w:pPr>
      <w:r>
        <w:rPr>
          <w:sz w:val="20"/>
        </w:rPr>
        <w:t xml:space="preserve">ii) если применяется </w:t>
      </w:r>
      <w:hyperlink w:history="0" w:anchor="P398" w:tooltip="b) установления пороговых значений выбросов, отличных от уровней, указанных в пункте &quot;a&quot; настоящего параграфа, в том, что касается значений, сроков и условий функционирования.">
        <w:r>
          <w:rPr>
            <w:sz w:val="20"/>
            <w:color w:val="0000ff"/>
          </w:rPr>
          <w:t xml:space="preserve">статья 15 (3) "b"</w:t>
        </w:r>
      </w:hyperlink>
      <w:r>
        <w:rPr>
          <w:sz w:val="20"/>
        </w:rPr>
        <w:t xml:space="preserve"> настоящей Директивы, выводы по результатам мониторинга выбросов, позволяющие провести сравнение с уровнями выбросов, утвержденными в соответствии с наилучшими доступными технологиями;</w:t>
      </w:r>
    </w:p>
    <w:bookmarkStart w:id="374" w:name="P374"/>
    <w:bookmarkEnd w:id="374"/>
    <w:p>
      <w:pPr>
        <w:pStyle w:val="0"/>
        <w:spacing w:before="200" w:line-rule="auto"/>
        <w:ind w:firstLine="540"/>
        <w:jc w:val="both"/>
      </w:pPr>
      <w:r>
        <w:rPr>
          <w:sz w:val="20"/>
        </w:rPr>
        <w:t xml:space="preserve">e) надлежащие требования к регулярному обслуживанию, а также к регулярному наблюдению за применением мер по предупреждению выбросов в почву и грунтовые воды в соответствии с </w:t>
      </w:r>
      <w:hyperlink w:history="0" w:anchor="P367" w:tooltip="b) надлежащие требования, направленные на охрану почв и грунтовых вод, а также мероприятия по мониторингу и управлению образовавшимися отходами;">
        <w:r>
          <w:rPr>
            <w:sz w:val="20"/>
            <w:color w:val="0000ff"/>
          </w:rPr>
          <w:t xml:space="preserve">пунктом "b" настоящего подпараграфа</w:t>
        </w:r>
      </w:hyperlink>
      <w:r>
        <w:rPr>
          <w:sz w:val="20"/>
        </w:rPr>
        <w:t xml:space="preserve">, а также надлежащие требования к проведению периодического мониторинга почв и грунтовых вод на предмет наличия на участке опасных веществ и на предмет возможного загрязнения почв и грунтовых вод на участке установки;</w:t>
      </w:r>
    </w:p>
    <w:bookmarkStart w:id="375" w:name="P375"/>
    <w:bookmarkEnd w:id="375"/>
    <w:p>
      <w:pPr>
        <w:pStyle w:val="0"/>
        <w:spacing w:before="200" w:line-rule="auto"/>
        <w:ind w:firstLine="540"/>
        <w:jc w:val="both"/>
      </w:pPr>
      <w:r>
        <w:rPr>
          <w:sz w:val="20"/>
        </w:rPr>
        <w:t xml:space="preserve">f) мероприятия, связанные с условиями, отличными от нормальных, в частности, с периодами включения и отключения, утечками, нарушениями функционирования, кратковременными перебоями и окончательным прекращением функционирования;</w:t>
      </w:r>
    </w:p>
    <w:bookmarkStart w:id="376" w:name="P376"/>
    <w:bookmarkEnd w:id="376"/>
    <w:p>
      <w:pPr>
        <w:pStyle w:val="0"/>
        <w:spacing w:before="200" w:line-rule="auto"/>
        <w:ind w:firstLine="540"/>
        <w:jc w:val="both"/>
      </w:pPr>
      <w:r>
        <w:rPr>
          <w:sz w:val="20"/>
        </w:rPr>
        <w:t xml:space="preserve">g) положения о минимизации трансграничного загрязнения или загрязнения на большие расстояния;</w:t>
      </w:r>
    </w:p>
    <w:bookmarkStart w:id="377" w:name="P377"/>
    <w:bookmarkEnd w:id="377"/>
    <w:p>
      <w:pPr>
        <w:pStyle w:val="0"/>
        <w:spacing w:before="200" w:line-rule="auto"/>
        <w:ind w:firstLine="540"/>
        <w:jc w:val="both"/>
      </w:pPr>
      <w:r>
        <w:rPr>
          <w:sz w:val="20"/>
        </w:rPr>
        <w:t xml:space="preserve">h) условия оценки соблюдения пороговых значений выбросов или ссылка на применяемые требования, определенные в иных документах.</w:t>
      </w:r>
    </w:p>
    <w:bookmarkStart w:id="378" w:name="P378"/>
    <w:bookmarkEnd w:id="378"/>
    <w:p>
      <w:pPr>
        <w:pStyle w:val="0"/>
        <w:spacing w:before="200" w:line-rule="auto"/>
        <w:ind w:firstLine="540"/>
        <w:jc w:val="both"/>
      </w:pPr>
      <w:r>
        <w:rPr>
          <w:sz w:val="20"/>
        </w:rPr>
        <w:t xml:space="preserve">2. В целях </w:t>
      </w:r>
      <w:hyperlink w:history="0" w:anchor="P366" w:tooltip="a) пороговые значения выбросов для загрязняющих веществ, перечисленных в Приложении II к настоящей Директиве, а также для иных загрязняющих веществ, которые могут выделяться из соответствующих установок в значительных количествах, с учетом их природы и потенциальной возможности переносить загрязнение от одного объекта окружающей среды к другому;">
        <w:r>
          <w:rPr>
            <w:sz w:val="20"/>
            <w:color w:val="0000ff"/>
          </w:rPr>
          <w:t xml:space="preserve">параграфа 1 "a" настоящей статьи</w:t>
        </w:r>
      </w:hyperlink>
      <w:r>
        <w:rPr>
          <w:sz w:val="20"/>
        </w:rPr>
        <w:t xml:space="preserve"> пороговые значения выбросов могут быть дополнены или заменены эквивалентными параметрами или техническими мероприятиями, обеспечивающими эквивалентный уровень защиты окружающей среды.</w:t>
      </w:r>
    </w:p>
    <w:bookmarkStart w:id="379" w:name="P379"/>
    <w:bookmarkEnd w:id="379"/>
    <w:p>
      <w:pPr>
        <w:pStyle w:val="0"/>
        <w:spacing w:before="200" w:line-rule="auto"/>
        <w:ind w:firstLine="540"/>
        <w:jc w:val="both"/>
      </w:pPr>
      <w:r>
        <w:rPr>
          <w:sz w:val="20"/>
        </w:rPr>
        <w:t xml:space="preserve">3. Необходимо делать ссылку на заключения BAT при разработке условий разрешения.</w:t>
      </w:r>
    </w:p>
    <w:bookmarkStart w:id="380" w:name="P380"/>
    <w:bookmarkEnd w:id="380"/>
    <w:p>
      <w:pPr>
        <w:pStyle w:val="0"/>
        <w:spacing w:before="200" w:line-rule="auto"/>
        <w:ind w:firstLine="540"/>
        <w:jc w:val="both"/>
      </w:pPr>
      <w:r>
        <w:rPr>
          <w:sz w:val="20"/>
        </w:rPr>
        <w:t xml:space="preserve">4. Без ущерба действия </w:t>
      </w:r>
      <w:hyperlink w:history="0" w:anchor="P428" w:tooltip="Статья 18">
        <w:r>
          <w:rPr>
            <w:sz w:val="20"/>
            <w:color w:val="0000ff"/>
          </w:rPr>
          <w:t xml:space="preserve">статьи 18</w:t>
        </w:r>
      </w:hyperlink>
      <w:r>
        <w:rPr>
          <w:sz w:val="20"/>
        </w:rPr>
        <w:t xml:space="preserve"> настоящей Директивы компетентный орган вправе устанавливать более жесткие условия разрешений по сравнению с условиями, достижимыми при использовании наилучших доступных технологий, как предусмотрено заключениями BAT. Государства-члены ЕС вправе предусмотреть нормы, в соответствии с которыми компетентный орган может определять такие условия.</w:t>
      </w:r>
    </w:p>
    <w:bookmarkStart w:id="381" w:name="P381"/>
    <w:bookmarkEnd w:id="381"/>
    <w:p>
      <w:pPr>
        <w:pStyle w:val="0"/>
        <w:spacing w:before="200" w:line-rule="auto"/>
        <w:ind w:firstLine="540"/>
        <w:jc w:val="both"/>
      </w:pPr>
      <w:r>
        <w:rPr>
          <w:sz w:val="20"/>
        </w:rPr>
        <w:t xml:space="preserve">5. В случае если компетентный орган определяет условия разрешений на основе наилучших доступных технологий, не описанных в соответствующих заключениях BAT, он должен гарантировать, что:</w:t>
      </w:r>
    </w:p>
    <w:bookmarkStart w:id="382" w:name="P382"/>
    <w:bookmarkEnd w:id="382"/>
    <w:p>
      <w:pPr>
        <w:pStyle w:val="0"/>
        <w:spacing w:before="200" w:line-rule="auto"/>
        <w:ind w:firstLine="540"/>
        <w:jc w:val="both"/>
      </w:pPr>
      <w:r>
        <w:rPr>
          <w:sz w:val="20"/>
        </w:rPr>
        <w:t xml:space="preserve">a) такая технология определена с учетом критериев, перечисленных в </w:t>
      </w:r>
      <w:hyperlink w:history="0" w:anchor="P1462" w:tooltip="КРИТЕРИИ">
        <w:r>
          <w:rPr>
            <w:sz w:val="20"/>
            <w:color w:val="0000ff"/>
          </w:rPr>
          <w:t xml:space="preserve">Приложении III</w:t>
        </w:r>
      </w:hyperlink>
      <w:r>
        <w:rPr>
          <w:sz w:val="20"/>
        </w:rPr>
        <w:t xml:space="preserve"> к настоящей Директиве, а также</w:t>
      </w:r>
    </w:p>
    <w:bookmarkStart w:id="383" w:name="P383"/>
    <w:bookmarkEnd w:id="383"/>
    <w:p>
      <w:pPr>
        <w:pStyle w:val="0"/>
        <w:spacing w:before="200" w:line-rule="auto"/>
        <w:ind w:firstLine="540"/>
        <w:jc w:val="both"/>
      </w:pPr>
      <w:r>
        <w:rPr>
          <w:sz w:val="20"/>
        </w:rPr>
        <w:t xml:space="preserve">b) требования </w:t>
      </w:r>
      <w:hyperlink w:history="0" w:anchor="P388" w:tooltip="Статья 15">
        <w:r>
          <w:rPr>
            <w:sz w:val="20"/>
            <w:color w:val="0000ff"/>
          </w:rPr>
          <w:t xml:space="preserve">статьи 15</w:t>
        </w:r>
      </w:hyperlink>
      <w:r>
        <w:rPr>
          <w:sz w:val="20"/>
        </w:rPr>
        <w:t xml:space="preserve"> настоящей Директивы соблюдены.</w:t>
      </w:r>
    </w:p>
    <w:bookmarkStart w:id="384" w:name="P384"/>
    <w:bookmarkEnd w:id="384"/>
    <w:p>
      <w:pPr>
        <w:pStyle w:val="0"/>
        <w:spacing w:before="200" w:line-rule="auto"/>
        <w:ind w:firstLine="540"/>
        <w:jc w:val="both"/>
      </w:pPr>
      <w:r>
        <w:rPr>
          <w:sz w:val="20"/>
        </w:rPr>
        <w:t xml:space="preserve">В случае если заключения BAT, предусмотренные </w:t>
      </w:r>
      <w:hyperlink w:history="0" w:anchor="P381" w:tooltip="5. В случае если компетентный орган определяет условия разрешений на основе наилучших доступных технологий, не описанных в соответствующих заключениях BAT, он должен гарантировать, что:">
        <w:r>
          <w:rPr>
            <w:sz w:val="20"/>
            <w:color w:val="0000ff"/>
          </w:rPr>
          <w:t xml:space="preserve">первым подпараграфом настоящего параграфа</w:t>
        </w:r>
      </w:hyperlink>
      <w:r>
        <w:rPr>
          <w:sz w:val="20"/>
        </w:rPr>
        <w:t xml:space="preserve">, не содержат уровней выбросов, утвержденных в соответствии с наилучшими доступными технологиями, компетентный орган гарантирует, что технологии, предусмотренные первым подпараграфом настоящего параграфа, обеспечивают уровень защиты окружающей среды, эквивалентный использованию наилучших доступных технологий, описанных в заключениях BAT.</w:t>
      </w:r>
    </w:p>
    <w:bookmarkStart w:id="385" w:name="P385"/>
    <w:bookmarkEnd w:id="385"/>
    <w:p>
      <w:pPr>
        <w:pStyle w:val="0"/>
        <w:spacing w:before="200" w:line-rule="auto"/>
        <w:ind w:firstLine="540"/>
        <w:jc w:val="both"/>
      </w:pPr>
      <w:r>
        <w:rPr>
          <w:sz w:val="20"/>
        </w:rPr>
        <w:t xml:space="preserve">6. В случае если деятельность или вид производственного процесса, осуществляемого в пределах установки, не описаны заключениями BAT или указанные заключения не охватывают все виды экологических последствий деятельности или производственного процесса, компетентный орган должен после предварительных консультаций с оператором определять условия разрешений на основе наилучших доступных технологий, которые были определены для соответствующих видов деятельности или процессов с учетом критериев, перечисленных в </w:t>
      </w:r>
      <w:hyperlink w:history="0" w:anchor="P1462" w:tooltip="КРИТЕРИИ">
        <w:r>
          <w:rPr>
            <w:sz w:val="20"/>
            <w:color w:val="0000ff"/>
          </w:rPr>
          <w:t xml:space="preserve">Приложении III</w:t>
        </w:r>
      </w:hyperlink>
      <w:r>
        <w:rPr>
          <w:sz w:val="20"/>
        </w:rPr>
        <w:t xml:space="preserve"> к настоящей Директиве.</w:t>
      </w:r>
    </w:p>
    <w:bookmarkStart w:id="386" w:name="P386"/>
    <w:bookmarkEnd w:id="386"/>
    <w:p>
      <w:pPr>
        <w:pStyle w:val="0"/>
        <w:spacing w:before="200" w:line-rule="auto"/>
        <w:ind w:firstLine="540"/>
        <w:jc w:val="both"/>
      </w:pPr>
      <w:r>
        <w:rPr>
          <w:sz w:val="20"/>
        </w:rPr>
        <w:t xml:space="preserve">7. По отношению к установкам, предусмотренным в </w:t>
      </w:r>
      <w:hyperlink w:history="0" w:anchor="P1402" w:tooltip="6.6. Интенсивное разведение домашней птицы или свиней в установках, рассчитанных на более чем:">
        <w:r>
          <w:rPr>
            <w:sz w:val="20"/>
            <w:color w:val="0000ff"/>
          </w:rPr>
          <w:t xml:space="preserve">пункте 6.6</w:t>
        </w:r>
      </w:hyperlink>
      <w:r>
        <w:rPr>
          <w:sz w:val="20"/>
        </w:rPr>
        <w:t xml:space="preserve"> Приложения I к настоящей Директиве, </w:t>
      </w:r>
      <w:hyperlink w:history="0" w:anchor="P364" w:tooltip="1. Государства-члены ЕС гарантируют, что разрешение содержит все данные, необходимые для соблюдения требований статей 11 и 18 настоящей Директивы.">
        <w:r>
          <w:rPr>
            <w:sz w:val="20"/>
            <w:color w:val="0000ff"/>
          </w:rPr>
          <w:t xml:space="preserve">параграфы 1</w:t>
        </w:r>
      </w:hyperlink>
      <w:r>
        <w:rPr>
          <w:sz w:val="20"/>
        </w:rPr>
        <w:t xml:space="preserve"> - </w:t>
      </w:r>
      <w:hyperlink w:history="0" w:anchor="P385" w:tooltip="6. В случае если деятельность или вид производственного процесса, осуществляемого в пределах установки, не описаны заключениями BAT или указанные заключения не охватывают все виды экологических последствий деятельности или производственного процесса, компетентный орган должен после предварительных консультаций с оператором определять условия разрешений на основе наилучших доступных технологий, которые были определены для соответствующих видов деятельности или процессов с учетом критериев, перечисленных в...">
        <w:r>
          <w:rPr>
            <w:sz w:val="20"/>
            <w:color w:val="0000ff"/>
          </w:rPr>
          <w:t xml:space="preserve">6 настоящей статьи</w:t>
        </w:r>
      </w:hyperlink>
      <w:r>
        <w:rPr>
          <w:sz w:val="20"/>
        </w:rPr>
        <w:t xml:space="preserve"> применяются без ущерба действию законодательства о защите благосостояния животных.</w:t>
      </w:r>
    </w:p>
    <w:p>
      <w:pPr>
        <w:pStyle w:val="0"/>
        <w:ind w:firstLine="540"/>
        <w:jc w:val="both"/>
      </w:pPr>
      <w:r>
        <w:rPr>
          <w:sz w:val="20"/>
        </w:rPr>
      </w:r>
    </w:p>
    <w:bookmarkStart w:id="388" w:name="P388"/>
    <w:bookmarkEnd w:id="388"/>
    <w:p>
      <w:pPr>
        <w:pStyle w:val="0"/>
        <w:outlineLvl w:val="2"/>
        <w:jc w:val="center"/>
      </w:pPr>
      <w:r>
        <w:rPr>
          <w:sz w:val="20"/>
        </w:rPr>
        <w:t xml:space="preserve">Статья 15</w:t>
      </w:r>
    </w:p>
    <w:p>
      <w:pPr>
        <w:pStyle w:val="0"/>
        <w:jc w:val="center"/>
      </w:pPr>
      <w:r>
        <w:rPr>
          <w:sz w:val="20"/>
        </w:rPr>
      </w:r>
    </w:p>
    <w:p>
      <w:pPr>
        <w:pStyle w:val="0"/>
        <w:jc w:val="center"/>
      </w:pPr>
      <w:r>
        <w:rPr>
          <w:sz w:val="20"/>
        </w:rPr>
        <w:t xml:space="preserve">Пороговые значения выбросов, эквивалентные параметры</w:t>
      </w:r>
    </w:p>
    <w:p>
      <w:pPr>
        <w:pStyle w:val="0"/>
        <w:jc w:val="center"/>
      </w:pPr>
      <w:r>
        <w:rPr>
          <w:sz w:val="20"/>
        </w:rPr>
        <w:t xml:space="preserve">и технические мероприятия</w:t>
      </w:r>
    </w:p>
    <w:p>
      <w:pPr>
        <w:pStyle w:val="0"/>
        <w:jc w:val="center"/>
      </w:pPr>
      <w:r>
        <w:rPr>
          <w:sz w:val="20"/>
        </w:rPr>
      </w:r>
    </w:p>
    <w:bookmarkStart w:id="393" w:name="P393"/>
    <w:bookmarkEnd w:id="393"/>
    <w:p>
      <w:pPr>
        <w:pStyle w:val="0"/>
        <w:ind w:firstLine="540"/>
        <w:jc w:val="both"/>
      </w:pPr>
      <w:r>
        <w:rPr>
          <w:sz w:val="20"/>
        </w:rPr>
        <w:t xml:space="preserve">1. Пороговые значения выбросов для загрязняющих веществ применяются в месте выделения выбросов из установки, при этом любое их разжижение до этого места не учитывается при определении таких значений.</w:t>
      </w:r>
    </w:p>
    <w:p>
      <w:pPr>
        <w:pStyle w:val="0"/>
        <w:spacing w:before="200" w:line-rule="auto"/>
        <w:ind w:firstLine="540"/>
        <w:jc w:val="both"/>
      </w:pPr>
      <w:r>
        <w:rPr>
          <w:sz w:val="20"/>
        </w:rPr>
        <w:t xml:space="preserve">В отношении косвенных выбросов загрязнителей в воду при определении пороговых значений выбросов для соответствующих установок деятельность водоочистного завода может быть принята во внимание при условии обеспечения эквивалентного уровня защиты окружающей среды, а также при условии, что это не приведет к более высокому уровню загрязнения окружающей среды.</w:t>
      </w:r>
    </w:p>
    <w:bookmarkStart w:id="395" w:name="P395"/>
    <w:bookmarkEnd w:id="395"/>
    <w:p>
      <w:pPr>
        <w:pStyle w:val="0"/>
        <w:spacing w:before="200" w:line-rule="auto"/>
        <w:ind w:firstLine="540"/>
        <w:jc w:val="both"/>
      </w:pPr>
      <w:r>
        <w:rPr>
          <w:sz w:val="20"/>
        </w:rPr>
        <w:t xml:space="preserve">2. Без ущерба действия </w:t>
      </w:r>
      <w:hyperlink w:history="0" w:anchor="P428" w:tooltip="Статья 18">
        <w:r>
          <w:rPr>
            <w:sz w:val="20"/>
            <w:color w:val="0000ff"/>
          </w:rPr>
          <w:t xml:space="preserve">статьи 18</w:t>
        </w:r>
      </w:hyperlink>
      <w:r>
        <w:rPr>
          <w:sz w:val="20"/>
        </w:rPr>
        <w:t xml:space="preserve"> настоящей Директивы пороговые значения выбросов, эквивалентные параметры и технические мероприятия, предусмотренные в </w:t>
      </w:r>
      <w:hyperlink w:history="0" w:anchor="P364" w:tooltip="1. Государства-члены ЕС гарантируют, что разрешение содержит все данные, необходимые для соблюдения требований статей 11 и 18 настоящей Директивы.">
        <w:r>
          <w:rPr>
            <w:sz w:val="20"/>
            <w:color w:val="0000ff"/>
          </w:rPr>
          <w:t xml:space="preserve">статье 14 (1)</w:t>
        </w:r>
      </w:hyperlink>
      <w:r>
        <w:rPr>
          <w:sz w:val="20"/>
        </w:rPr>
        <w:t xml:space="preserve"> и </w:t>
      </w:r>
      <w:hyperlink w:history="0" w:anchor="P378" w:tooltip="2. В целях параграфа 1 &quot;a&quot; настоящей статьи пороговые значения выбросов могут быть дополнены или заменены эквивалентными параметрами или техническими мероприятиями, обеспечивающими эквивалентный уровень защиты окружающей среды.">
        <w:r>
          <w:rPr>
            <w:sz w:val="20"/>
            <w:color w:val="0000ff"/>
          </w:rPr>
          <w:t xml:space="preserve">(2)</w:t>
        </w:r>
      </w:hyperlink>
      <w:r>
        <w:rPr>
          <w:sz w:val="20"/>
        </w:rPr>
        <w:t xml:space="preserve"> настоящей Директивы, должны быть основаны на наилучших доступных технологиях; при этом не предписывается использование определенных технологий.</w:t>
      </w:r>
    </w:p>
    <w:bookmarkStart w:id="396" w:name="P396"/>
    <w:bookmarkEnd w:id="396"/>
    <w:p>
      <w:pPr>
        <w:pStyle w:val="0"/>
        <w:spacing w:before="200" w:line-rule="auto"/>
        <w:ind w:firstLine="540"/>
        <w:jc w:val="both"/>
      </w:pPr>
      <w:r>
        <w:rPr>
          <w:sz w:val="20"/>
        </w:rPr>
        <w:t xml:space="preserve">3. Компетентный орган устанавливает пороговые значения выбросов с тем, чтобы при нормальных условиях эксплуатации выбросы не превышали уровней выбросов, утвержденных в соответствии с наилучшими доступными технологиями, как указано в решениях о заключениях BAT, предусмотренных </w:t>
      </w:r>
      <w:hyperlink w:history="0" w:anchor="P356" w:tooltip="5. Решения о заключениях BAT принимаются в соответствии с регулятивной процедурой, предусмотренной статьей 75 (2) настоящей Директивы.">
        <w:r>
          <w:rPr>
            <w:sz w:val="20"/>
            <w:color w:val="0000ff"/>
          </w:rPr>
          <w:t xml:space="preserve">статьей 13 (5)</w:t>
        </w:r>
      </w:hyperlink>
      <w:r>
        <w:rPr>
          <w:sz w:val="20"/>
        </w:rPr>
        <w:t xml:space="preserve"> настоящей Директивы, посредством:</w:t>
      </w:r>
    </w:p>
    <w:bookmarkStart w:id="397" w:name="P397"/>
    <w:bookmarkEnd w:id="397"/>
    <w:p>
      <w:pPr>
        <w:pStyle w:val="0"/>
        <w:spacing w:before="200" w:line-rule="auto"/>
        <w:ind w:firstLine="540"/>
        <w:jc w:val="both"/>
      </w:pPr>
      <w:r>
        <w:rPr>
          <w:sz w:val="20"/>
        </w:rPr>
        <w:t xml:space="preserve">a) установления пороговых значений выбросов, которые не превышают уровней выбросов, утвержденных в соответствии с наилучшими доступными технологиями. Пороговые значения выбросов выражены за те же или более краткие периоды и при тех же условиях функционирования, что и уровни выбросов, утвержденные в соответствии с наилучшими доступными технологиями; или</w:t>
      </w:r>
    </w:p>
    <w:bookmarkStart w:id="398" w:name="P398"/>
    <w:bookmarkEnd w:id="398"/>
    <w:p>
      <w:pPr>
        <w:pStyle w:val="0"/>
        <w:spacing w:before="200" w:line-rule="auto"/>
        <w:ind w:firstLine="540"/>
        <w:jc w:val="both"/>
      </w:pPr>
      <w:r>
        <w:rPr>
          <w:sz w:val="20"/>
        </w:rPr>
        <w:t xml:space="preserve">b) установления пороговых значений выбросов, отличных от уровней, указанных в </w:t>
      </w:r>
      <w:hyperlink w:history="0" w:anchor="P397" w:tooltip="a) установления пороговых значений выбросов, которые не превышают уровней выбросов, утвержденных в соответствии с наилучшими доступными технологиями. Пороговые значения выбросов выражены за те же или более краткие периоды и при тех же условиях функционирования, что и уровни выбросов, утвержденные в соответствии с наилучшими доступными технологиями; или">
        <w:r>
          <w:rPr>
            <w:sz w:val="20"/>
            <w:color w:val="0000ff"/>
          </w:rPr>
          <w:t xml:space="preserve">пункте "a" настоящего параграфа</w:t>
        </w:r>
      </w:hyperlink>
      <w:r>
        <w:rPr>
          <w:sz w:val="20"/>
        </w:rPr>
        <w:t xml:space="preserve">, в том, что касается значений, сроков и условий функционирования.</w:t>
      </w:r>
    </w:p>
    <w:p>
      <w:pPr>
        <w:pStyle w:val="0"/>
        <w:spacing w:before="200" w:line-rule="auto"/>
        <w:ind w:firstLine="540"/>
        <w:jc w:val="both"/>
      </w:pPr>
      <w:r>
        <w:rPr>
          <w:sz w:val="20"/>
        </w:rPr>
        <w:t xml:space="preserve">В случае применения пункта "b" компетентный орган должен как минимум ежегодно оценивать результаты мониторинга выбросов в целях обеспечения того, что выбросы при нормальных условиях эксплуатации не превышают уровней выбросов, утвержденных в соответствии с наилучшими доступными технологиями.</w:t>
      </w:r>
    </w:p>
    <w:bookmarkStart w:id="400" w:name="P400"/>
    <w:bookmarkEnd w:id="400"/>
    <w:p>
      <w:pPr>
        <w:pStyle w:val="0"/>
        <w:spacing w:before="200" w:line-rule="auto"/>
        <w:ind w:firstLine="540"/>
        <w:jc w:val="both"/>
      </w:pPr>
      <w:r>
        <w:rPr>
          <w:sz w:val="20"/>
        </w:rPr>
        <w:t xml:space="preserve">4. В порядке частичного отступления от </w:t>
      </w:r>
      <w:hyperlink w:history="0" w:anchor="P396" w:tooltip="3. Компетентный орган устанавливает пороговые значения выбросов с тем, чтобы при нормальных условиях эксплуатации выбросы не превышали уровней выбросов, утвержденных в соответствии с наилучшими доступными технологиями, как указано в решениях о заключениях BAT, предусмотренных статьей 13 (5) настоящей Директивы, посредством:">
        <w:r>
          <w:rPr>
            <w:sz w:val="20"/>
            <w:color w:val="0000ff"/>
          </w:rPr>
          <w:t xml:space="preserve">параграфа 3 настоящей статьи</w:t>
        </w:r>
      </w:hyperlink>
      <w:r>
        <w:rPr>
          <w:sz w:val="20"/>
        </w:rPr>
        <w:t xml:space="preserve"> и без ущерба действия </w:t>
      </w:r>
      <w:hyperlink w:history="0" w:anchor="P428" w:tooltip="Статья 18">
        <w:r>
          <w:rPr>
            <w:sz w:val="20"/>
            <w:color w:val="0000ff"/>
          </w:rPr>
          <w:t xml:space="preserve">статьи 18</w:t>
        </w:r>
      </w:hyperlink>
      <w:r>
        <w:rPr>
          <w:sz w:val="20"/>
        </w:rPr>
        <w:t xml:space="preserve"> настоящей Директивы компетентный орган вправе в особых случаях устанавливать менее жесткие пороговые значения выбросов. Такое отступление может применяться только в случае, если оценка показывает, что достижение уровней выбросов, утвержденных в соответствии с наилучшими доступными технологиями, как указано в заключениях BAT, приведет к высоким издержкам, несоразмерным по сравнению с выгодами для окружающей среды, вследствие:</w:t>
      </w:r>
    </w:p>
    <w:p>
      <w:pPr>
        <w:pStyle w:val="0"/>
        <w:spacing w:before="200" w:line-rule="auto"/>
        <w:ind w:firstLine="540"/>
        <w:jc w:val="both"/>
      </w:pPr>
      <w:r>
        <w:rPr>
          <w:sz w:val="20"/>
        </w:rPr>
        <w:t xml:space="preserve">a) географического положения или местных экологических условий соответствующей установки; или</w:t>
      </w:r>
    </w:p>
    <w:p>
      <w:pPr>
        <w:pStyle w:val="0"/>
        <w:spacing w:before="200" w:line-rule="auto"/>
        <w:ind w:firstLine="540"/>
        <w:jc w:val="both"/>
      </w:pPr>
      <w:r>
        <w:rPr>
          <w:sz w:val="20"/>
        </w:rPr>
        <w:t xml:space="preserve">b) технических характеристик соответствующей установки.</w:t>
      </w:r>
    </w:p>
    <w:bookmarkStart w:id="403" w:name="P403"/>
    <w:bookmarkEnd w:id="403"/>
    <w:p>
      <w:pPr>
        <w:pStyle w:val="0"/>
        <w:spacing w:before="200" w:line-rule="auto"/>
        <w:ind w:firstLine="540"/>
        <w:jc w:val="both"/>
      </w:pPr>
      <w:r>
        <w:rPr>
          <w:sz w:val="20"/>
        </w:rPr>
        <w:t xml:space="preserve">В приложениях к выданным разрешениям компетентный орган указывает причины применения </w:t>
      </w:r>
      <w:hyperlink w:history="0" w:anchor="P400" w:tooltip="4. В порядке частичного отступления от параграфа 3 настоящей статьи и без ущерба действия статьи 18 настоящей Директивы компетентный орган вправе в особых случаях устанавливать менее жесткие пороговые значения выбросов. Такое отступление может применяться только в случае, если оценка показывает, что достижение уровней выбросов, утвержденных в соответствии с наилучшими доступными технологиями, как указано в заключениях BAT, приведет к высоким издержкам, несоразмерным по сравнению с выгодами для окружающей...">
        <w:r>
          <w:rPr>
            <w:sz w:val="20"/>
            <w:color w:val="0000ff"/>
          </w:rPr>
          <w:t xml:space="preserve">первого подпараграфа</w:t>
        </w:r>
      </w:hyperlink>
      <w:r>
        <w:rPr>
          <w:sz w:val="20"/>
        </w:rPr>
        <w:t xml:space="preserve">, в том числе результаты оценки и обоснование вводимых условий.</w:t>
      </w:r>
    </w:p>
    <w:p>
      <w:pPr>
        <w:pStyle w:val="0"/>
        <w:spacing w:before="200" w:line-rule="auto"/>
        <w:ind w:firstLine="540"/>
        <w:jc w:val="both"/>
      </w:pPr>
      <w:r>
        <w:rPr>
          <w:sz w:val="20"/>
        </w:rPr>
        <w:t xml:space="preserve">Пороговые значения выбросов, установленные в соответствии с первым подпараграфом, не должны превышать пороговых значений выбросов, установленных в Приложениях к настоящей Директиве, если это применимо.</w:t>
      </w:r>
    </w:p>
    <w:p>
      <w:pPr>
        <w:pStyle w:val="0"/>
        <w:spacing w:before="200" w:line-rule="auto"/>
        <w:ind w:firstLine="540"/>
        <w:jc w:val="both"/>
      </w:pPr>
      <w:r>
        <w:rPr>
          <w:sz w:val="20"/>
        </w:rPr>
        <w:t xml:space="preserve">Компетентный орган в любом случае гарантирует отсутствие значительного загрязнения и достижение высокого уровня защиты окружающей среды в целом.</w:t>
      </w:r>
    </w:p>
    <w:bookmarkStart w:id="406" w:name="P406"/>
    <w:bookmarkEnd w:id="406"/>
    <w:p>
      <w:pPr>
        <w:pStyle w:val="0"/>
        <w:spacing w:before="200" w:line-rule="auto"/>
        <w:ind w:firstLine="540"/>
        <w:jc w:val="both"/>
      </w:pPr>
      <w:r>
        <w:rPr>
          <w:sz w:val="20"/>
        </w:rPr>
        <w:t xml:space="preserve">На основе информации, предоставленной государствами-членами ЕС в соответствии со </w:t>
      </w:r>
      <w:hyperlink w:history="0" w:anchor="P1101" w:tooltip="1. Государства-члены ЕС обеспечивают предоставление Европейской комиссии информации об имплементации настоящей Директивы, репрезентативных данных о выбросах и иных формах загрязнения, о пороговых значениях выбросов, о применении наилучших доступных технологий в соответствии со статьями 14 и 15 настоящей Директивы, в частности, о предоставлении исключений в соответствии со статьей 15 (4) настоящей Директивы, а также об успехах, достигнутых в развитии и применении новых технологий в соответствии со статьей...">
        <w:r>
          <w:rPr>
            <w:sz w:val="20"/>
            <w:color w:val="0000ff"/>
          </w:rPr>
          <w:t xml:space="preserve">статьей 72 (1)</w:t>
        </w:r>
      </w:hyperlink>
      <w:r>
        <w:rPr>
          <w:sz w:val="20"/>
        </w:rPr>
        <w:t xml:space="preserve"> настоящей Директивы, в частности, относительно применения настоящего параграфа, Европейская комиссия вправе при необходимости оценивать и впоследствии разъяснять путем рекомендаций критерии, которые должны быть учтены при применении настоящего параграфа.</w:t>
      </w:r>
    </w:p>
    <w:p>
      <w:pPr>
        <w:pStyle w:val="0"/>
        <w:spacing w:before="200" w:line-rule="auto"/>
        <w:ind w:firstLine="540"/>
        <w:jc w:val="both"/>
      </w:pPr>
      <w:r>
        <w:rPr>
          <w:sz w:val="20"/>
        </w:rPr>
        <w:t xml:space="preserve">Компетентный орган должен проводить повторные оценки применения </w:t>
      </w:r>
      <w:hyperlink w:history="0" w:anchor="P400" w:tooltip="4. В порядке частичного отступления от параграфа 3 настоящей статьи и без ущерба действия статьи 18 настоящей Директивы компетентный орган вправе в особых случаях устанавливать менее жесткие пороговые значения выбросов. Такое отступление может применяться только в случае, если оценка показывает, что достижение уровней выбросов, утвержденных в соответствии с наилучшими доступными технологиями, как указано в заключениях BAT, приведет к высоким издержкам, несоразмерным по сравнению с выгодами для окружающей...">
        <w:r>
          <w:rPr>
            <w:sz w:val="20"/>
            <w:color w:val="0000ff"/>
          </w:rPr>
          <w:t xml:space="preserve">первого подпараграфа настоящего параграфа</w:t>
        </w:r>
      </w:hyperlink>
      <w:r>
        <w:rPr>
          <w:sz w:val="20"/>
        </w:rPr>
        <w:t xml:space="preserve"> при каждом пересмотре условий разрешения в соответствии со </w:t>
      </w:r>
      <w:hyperlink w:history="0" w:anchor="P449" w:tooltip="Статья 21">
        <w:r>
          <w:rPr>
            <w:sz w:val="20"/>
            <w:color w:val="0000ff"/>
          </w:rPr>
          <w:t xml:space="preserve">статьей 21</w:t>
        </w:r>
      </w:hyperlink>
      <w:r>
        <w:rPr>
          <w:sz w:val="20"/>
        </w:rPr>
        <w:t xml:space="preserve"> настоящей Директивы.</w:t>
      </w:r>
    </w:p>
    <w:bookmarkStart w:id="408" w:name="P408"/>
    <w:bookmarkEnd w:id="408"/>
    <w:p>
      <w:pPr>
        <w:pStyle w:val="0"/>
        <w:spacing w:before="200" w:line-rule="auto"/>
        <w:ind w:firstLine="540"/>
        <w:jc w:val="both"/>
      </w:pPr>
      <w:r>
        <w:rPr>
          <w:sz w:val="20"/>
        </w:rPr>
        <w:t xml:space="preserve">5. Компетентный орган вправе допустить временное частичное отступление от требований </w:t>
      </w:r>
      <w:hyperlink w:history="0" w:anchor="P395" w:tooltip="2. Без ущерба действия статьи 18 настоящей Директивы пороговые значения выбросов, эквивалентные параметры и технические мероприятия, предусмотренные в статье 14 (1) и (2) настоящей Директивы, должны быть основаны на наилучших доступных технологиях; при этом не предписывается использование определенных технологий.">
        <w:r>
          <w:rPr>
            <w:sz w:val="20"/>
            <w:color w:val="0000ff"/>
          </w:rPr>
          <w:t xml:space="preserve">параграфов 2</w:t>
        </w:r>
      </w:hyperlink>
      <w:r>
        <w:rPr>
          <w:sz w:val="20"/>
        </w:rPr>
        <w:t xml:space="preserve"> и </w:t>
      </w:r>
      <w:hyperlink w:history="0" w:anchor="P396" w:tooltip="3. Компетентный орган устанавливает пороговые значения выбросов с тем, чтобы при нормальных условиях эксплуатации выбросы не превышали уровней выбросов, утвержденных в соответствии с наилучшими доступными технологиями, как указано в решениях о заключениях BAT, предусмотренных статьей 13 (5) настоящей Директивы, посредством:">
        <w:r>
          <w:rPr>
            <w:sz w:val="20"/>
            <w:color w:val="0000ff"/>
          </w:rPr>
          <w:t xml:space="preserve">3 настоящей статьи</w:t>
        </w:r>
      </w:hyperlink>
      <w:r>
        <w:rPr>
          <w:sz w:val="20"/>
        </w:rPr>
        <w:t xml:space="preserve">, а также от требований </w:t>
      </w:r>
      <w:hyperlink w:history="0" w:anchor="P311" w:tooltip="a) приняты надлежащие превентивные меры по борьбе с загрязнением;">
        <w:r>
          <w:rPr>
            <w:sz w:val="20"/>
            <w:color w:val="0000ff"/>
          </w:rPr>
          <w:t xml:space="preserve">статьи 11 "a"</w:t>
        </w:r>
      </w:hyperlink>
      <w:r>
        <w:rPr>
          <w:sz w:val="20"/>
        </w:rPr>
        <w:t xml:space="preserve"> и </w:t>
      </w:r>
      <w:hyperlink w:history="0" w:anchor="P312" w:tooltip="b) применяются наилучшие доступные технологии;">
        <w:r>
          <w:rPr>
            <w:sz w:val="20"/>
            <w:color w:val="0000ff"/>
          </w:rPr>
          <w:t xml:space="preserve">"b"</w:t>
        </w:r>
      </w:hyperlink>
      <w:r>
        <w:rPr>
          <w:sz w:val="20"/>
        </w:rPr>
        <w:t xml:space="preserve"> настоящей Директивы в отношении тестирования и использования появляющихся технологий на весь период, не превышающий девяти месяцев, при условии, что по окончании указанного периода применение технологии прекращено или обеспечено достижение как минимум уровней выбросов, утвержденных в соответствии с наилучшими доступными технологиями.</w:t>
      </w:r>
    </w:p>
    <w:p>
      <w:pPr>
        <w:pStyle w:val="0"/>
        <w:ind w:firstLine="540"/>
        <w:jc w:val="both"/>
      </w:pPr>
      <w:r>
        <w:rPr>
          <w:sz w:val="20"/>
        </w:rPr>
      </w:r>
    </w:p>
    <w:bookmarkStart w:id="410" w:name="P410"/>
    <w:bookmarkEnd w:id="410"/>
    <w:p>
      <w:pPr>
        <w:pStyle w:val="0"/>
        <w:outlineLvl w:val="2"/>
        <w:jc w:val="center"/>
      </w:pPr>
      <w:r>
        <w:rPr>
          <w:sz w:val="20"/>
        </w:rPr>
        <w:t xml:space="preserve">Статья 16</w:t>
      </w:r>
    </w:p>
    <w:p>
      <w:pPr>
        <w:pStyle w:val="0"/>
        <w:jc w:val="center"/>
      </w:pPr>
      <w:r>
        <w:rPr>
          <w:sz w:val="20"/>
        </w:rPr>
      </w:r>
    </w:p>
    <w:p>
      <w:pPr>
        <w:pStyle w:val="0"/>
        <w:jc w:val="center"/>
      </w:pPr>
      <w:r>
        <w:rPr>
          <w:sz w:val="20"/>
        </w:rPr>
        <w:t xml:space="preserve">Требования к мониторингу</w:t>
      </w:r>
    </w:p>
    <w:p>
      <w:pPr>
        <w:pStyle w:val="0"/>
        <w:jc w:val="center"/>
      </w:pPr>
      <w:r>
        <w:rPr>
          <w:sz w:val="20"/>
        </w:rPr>
      </w:r>
    </w:p>
    <w:p>
      <w:pPr>
        <w:pStyle w:val="0"/>
        <w:ind w:firstLine="540"/>
        <w:jc w:val="both"/>
      </w:pPr>
      <w:r>
        <w:rPr>
          <w:sz w:val="20"/>
        </w:rPr>
        <w:t xml:space="preserve">1. Требования к мониторингу, предусмотренные </w:t>
      </w:r>
      <w:hyperlink w:history="0" w:anchor="P368" w:tooltip="c) надлежащие требования к мониторингу выбросов, устанавливающие:">
        <w:r>
          <w:rPr>
            <w:sz w:val="20"/>
            <w:color w:val="0000ff"/>
          </w:rPr>
          <w:t xml:space="preserve">статьей 14 (1) "c"</w:t>
        </w:r>
      </w:hyperlink>
      <w:r>
        <w:rPr>
          <w:sz w:val="20"/>
        </w:rPr>
        <w:t xml:space="preserve"> настоящей Директивы, должны быть основаны, если применимо, на заключениях о мониторинге, как описано в заключениях BAT.</w:t>
      </w:r>
    </w:p>
    <w:p>
      <w:pPr>
        <w:pStyle w:val="0"/>
        <w:spacing w:before="200" w:line-rule="auto"/>
        <w:ind w:firstLine="540"/>
        <w:jc w:val="both"/>
      </w:pPr>
      <w:r>
        <w:rPr>
          <w:sz w:val="20"/>
        </w:rPr>
        <w:t xml:space="preserve">2. Частота проведения периодического мониторинга, предусмотренного </w:t>
      </w:r>
      <w:hyperlink w:history="0" w:anchor="P374" w:tooltip="e) надлежащие требования к регулярному обслуживанию, а также к регулярному наблюдению за применением мер по предупреждению выбросов в почву и грунтовые воды в соответствии с пунктом &quot;b&quot; настоящего подпараграфа, а также надлежащие требования к проведению периодического мониторинга почв и грунтовых вод на предмет наличия на участке опасных веществ и на предмет возможного загрязнения почв и грунтовых вод на участке установки;">
        <w:r>
          <w:rPr>
            <w:sz w:val="20"/>
            <w:color w:val="0000ff"/>
          </w:rPr>
          <w:t xml:space="preserve">статьей 14 (1) "e"</w:t>
        </w:r>
      </w:hyperlink>
      <w:r>
        <w:rPr>
          <w:sz w:val="20"/>
        </w:rPr>
        <w:t xml:space="preserve"> настоящей Директивы, устанавливается компетентным органом в разрешении для каждой отдельной установки или с помощью общих обязательных норм.</w:t>
      </w:r>
    </w:p>
    <w:p>
      <w:pPr>
        <w:pStyle w:val="0"/>
        <w:spacing w:before="200" w:line-rule="auto"/>
        <w:ind w:firstLine="540"/>
        <w:jc w:val="both"/>
      </w:pPr>
      <w:r>
        <w:rPr>
          <w:sz w:val="20"/>
        </w:rPr>
        <w:t xml:space="preserve">Без ущерба действия первого подпараграфа периодический мониторинг проводится, как минимум один раз в пять лет в отношении грунтовых вод и один раз в десять лет в отношении почв, за исключением случаев, когда такой мониторинг основан на систематической оценке риска загрязнения.</w:t>
      </w:r>
    </w:p>
    <w:p>
      <w:pPr>
        <w:pStyle w:val="0"/>
        <w:ind w:firstLine="540"/>
        <w:jc w:val="both"/>
      </w:pPr>
      <w:r>
        <w:rPr>
          <w:sz w:val="20"/>
        </w:rPr>
      </w:r>
    </w:p>
    <w:bookmarkStart w:id="418" w:name="P418"/>
    <w:bookmarkEnd w:id="418"/>
    <w:p>
      <w:pPr>
        <w:pStyle w:val="0"/>
        <w:outlineLvl w:val="2"/>
        <w:jc w:val="center"/>
      </w:pPr>
      <w:r>
        <w:rPr>
          <w:sz w:val="20"/>
        </w:rPr>
        <w:t xml:space="preserve">Статья 17</w:t>
      </w:r>
    </w:p>
    <w:p>
      <w:pPr>
        <w:pStyle w:val="0"/>
        <w:jc w:val="center"/>
      </w:pPr>
      <w:r>
        <w:rPr>
          <w:sz w:val="20"/>
        </w:rPr>
      </w:r>
    </w:p>
    <w:p>
      <w:pPr>
        <w:pStyle w:val="0"/>
        <w:jc w:val="center"/>
      </w:pPr>
      <w:r>
        <w:rPr>
          <w:sz w:val="20"/>
        </w:rPr>
        <w:t xml:space="preserve">Общие обязательные нормы для видов деятельности,</w:t>
      </w:r>
    </w:p>
    <w:p>
      <w:pPr>
        <w:pStyle w:val="0"/>
        <w:jc w:val="center"/>
      </w:pPr>
      <w:r>
        <w:rPr>
          <w:sz w:val="20"/>
        </w:rPr>
        <w:t xml:space="preserve">перечисленных в </w:t>
      </w:r>
      <w:hyperlink w:history="0" w:anchor="P1250" w:tooltip="КАТЕГОРИИ ВИДОВ ДЕЯТЕЛЬНОСТИ,">
        <w:r>
          <w:rPr>
            <w:sz w:val="20"/>
            <w:color w:val="0000ff"/>
          </w:rPr>
          <w:t xml:space="preserve">Приложении I</w:t>
        </w:r>
      </w:hyperlink>
      <w:r>
        <w:rPr>
          <w:sz w:val="20"/>
        </w:rPr>
        <w:t xml:space="preserve"> к настоящей Директиве</w:t>
      </w:r>
    </w:p>
    <w:p>
      <w:pPr>
        <w:pStyle w:val="0"/>
        <w:jc w:val="center"/>
      </w:pPr>
      <w:r>
        <w:rPr>
          <w:sz w:val="20"/>
        </w:rPr>
      </w:r>
    </w:p>
    <w:bookmarkStart w:id="423" w:name="P423"/>
    <w:bookmarkEnd w:id="423"/>
    <w:p>
      <w:pPr>
        <w:pStyle w:val="0"/>
        <w:ind w:firstLine="540"/>
        <w:jc w:val="both"/>
      </w:pPr>
      <w:r>
        <w:rPr>
          <w:sz w:val="20"/>
        </w:rPr>
        <w:t xml:space="preserve">1. Принимая общие обязательные нормы, государства-члены ЕС гарантируют применение комплексного подхода и высокий уровень защиты окружающей среды, эквивалентный уровню, достижимому посредством условий, предусмотренных отдельными разрешениями.</w:t>
      </w:r>
    </w:p>
    <w:bookmarkStart w:id="424" w:name="P424"/>
    <w:bookmarkEnd w:id="424"/>
    <w:p>
      <w:pPr>
        <w:pStyle w:val="0"/>
        <w:spacing w:before="200" w:line-rule="auto"/>
        <w:ind w:firstLine="540"/>
        <w:jc w:val="both"/>
      </w:pPr>
      <w:r>
        <w:rPr>
          <w:sz w:val="20"/>
        </w:rPr>
        <w:t xml:space="preserve">2. Общие обязательные нормы должны быть основаны на наилучших доступных технологиях, при этом не следует предписывать использование определенных технологий в целях соблюдения </w:t>
      </w:r>
      <w:hyperlink w:history="0" w:anchor="P360" w:tooltip="Статья 14">
        <w:r>
          <w:rPr>
            <w:sz w:val="20"/>
            <w:color w:val="0000ff"/>
          </w:rPr>
          <w:t xml:space="preserve">статей 14</w:t>
        </w:r>
      </w:hyperlink>
      <w:r>
        <w:rPr>
          <w:sz w:val="20"/>
        </w:rPr>
        <w:t xml:space="preserve"> и </w:t>
      </w:r>
      <w:hyperlink w:history="0" w:anchor="P388" w:tooltip="Статья 15">
        <w:r>
          <w:rPr>
            <w:sz w:val="20"/>
            <w:color w:val="0000ff"/>
          </w:rPr>
          <w:t xml:space="preserve">15</w:t>
        </w:r>
      </w:hyperlink>
      <w:r>
        <w:rPr>
          <w:sz w:val="20"/>
        </w:rPr>
        <w:t xml:space="preserve"> настоящей Директивы.</w:t>
      </w:r>
    </w:p>
    <w:bookmarkStart w:id="425" w:name="P425"/>
    <w:bookmarkEnd w:id="425"/>
    <w:p>
      <w:pPr>
        <w:pStyle w:val="0"/>
        <w:spacing w:before="200" w:line-rule="auto"/>
        <w:ind w:firstLine="540"/>
        <w:jc w:val="both"/>
      </w:pPr>
      <w:r>
        <w:rPr>
          <w:sz w:val="20"/>
        </w:rPr>
        <w:t xml:space="preserve">3. Государства-члены ЕС обеспечивают пересмотр общих обязательных норм с учетом изменений наилучших доступных технологий в целях соблюдения </w:t>
      </w:r>
      <w:hyperlink w:history="0" w:anchor="P449" w:tooltip="Статья 21">
        <w:r>
          <w:rPr>
            <w:sz w:val="20"/>
            <w:color w:val="0000ff"/>
          </w:rPr>
          <w:t xml:space="preserve">статьи 21</w:t>
        </w:r>
      </w:hyperlink>
      <w:r>
        <w:rPr>
          <w:sz w:val="20"/>
        </w:rPr>
        <w:t xml:space="preserve"> настоящей Директивы</w:t>
      </w:r>
    </w:p>
    <w:bookmarkStart w:id="426" w:name="P426"/>
    <w:bookmarkEnd w:id="426"/>
    <w:p>
      <w:pPr>
        <w:pStyle w:val="0"/>
        <w:spacing w:before="200" w:line-rule="auto"/>
        <w:ind w:firstLine="540"/>
        <w:jc w:val="both"/>
      </w:pPr>
      <w:r>
        <w:rPr>
          <w:sz w:val="20"/>
        </w:rPr>
        <w:t xml:space="preserve">4. Общие обязательные нормы, принятые в соответствии с </w:t>
      </w:r>
      <w:hyperlink w:history="0" w:anchor="P423" w:tooltip="1. Принимая общие обязательные нормы, государства-члены ЕС гарантируют применение комплексного подхода и высокий уровень защиты окружающей среды, эквивалентный уровню, достижимому посредством условий, предусмотренных отдельными разрешениями.">
        <w:r>
          <w:rPr>
            <w:sz w:val="20"/>
            <w:color w:val="0000ff"/>
          </w:rPr>
          <w:t xml:space="preserve">параграфами 1</w:t>
        </w:r>
      </w:hyperlink>
      <w:r>
        <w:rPr>
          <w:sz w:val="20"/>
        </w:rPr>
        <w:t xml:space="preserve"> - 3 настоящей статьи, должны содержать ссылку на настоящую Директиву или сопровождаться такой ссылкой в случае их официальной публикации.</w:t>
      </w:r>
    </w:p>
    <w:p>
      <w:pPr>
        <w:pStyle w:val="0"/>
        <w:ind w:firstLine="540"/>
        <w:jc w:val="both"/>
      </w:pPr>
      <w:r>
        <w:rPr>
          <w:sz w:val="20"/>
        </w:rPr>
      </w:r>
    </w:p>
    <w:bookmarkStart w:id="428" w:name="P428"/>
    <w:bookmarkEnd w:id="428"/>
    <w:p>
      <w:pPr>
        <w:pStyle w:val="0"/>
        <w:outlineLvl w:val="2"/>
        <w:jc w:val="center"/>
      </w:pPr>
      <w:r>
        <w:rPr>
          <w:sz w:val="20"/>
        </w:rPr>
        <w:t xml:space="preserve">Статья 18</w:t>
      </w:r>
    </w:p>
    <w:p>
      <w:pPr>
        <w:pStyle w:val="0"/>
        <w:jc w:val="center"/>
      </w:pPr>
      <w:r>
        <w:rPr>
          <w:sz w:val="20"/>
        </w:rPr>
      </w:r>
    </w:p>
    <w:p>
      <w:pPr>
        <w:pStyle w:val="0"/>
        <w:jc w:val="center"/>
      </w:pPr>
      <w:r>
        <w:rPr>
          <w:sz w:val="20"/>
        </w:rPr>
        <w:t xml:space="preserve">Стандарты качества окружающей среды</w:t>
      </w:r>
    </w:p>
    <w:p>
      <w:pPr>
        <w:pStyle w:val="0"/>
        <w:jc w:val="center"/>
      </w:pPr>
      <w:r>
        <w:rPr>
          <w:sz w:val="20"/>
        </w:rPr>
      </w:r>
    </w:p>
    <w:p>
      <w:pPr>
        <w:pStyle w:val="0"/>
        <w:ind w:firstLine="540"/>
        <w:jc w:val="both"/>
      </w:pPr>
      <w:r>
        <w:rPr>
          <w:sz w:val="20"/>
        </w:rPr>
        <w:t xml:space="preserve">В случае если стандартами качества окружающей среды предусмотрены более жесткие условия по сравнению с условиями, достижимыми посредством использования наилучших доступных технологий, разрешение должно содержать дополнительные меры без ущерба действию иных мер, которые могут быть приняты в целях обеспечения соответствия стандартам качества окружающей среды.</w:t>
      </w:r>
    </w:p>
    <w:p>
      <w:pPr>
        <w:pStyle w:val="0"/>
        <w:ind w:firstLine="540"/>
        <w:jc w:val="both"/>
      </w:pPr>
      <w:r>
        <w:rPr>
          <w:sz w:val="20"/>
        </w:rPr>
      </w:r>
    </w:p>
    <w:bookmarkStart w:id="434" w:name="P434"/>
    <w:bookmarkEnd w:id="434"/>
    <w:p>
      <w:pPr>
        <w:pStyle w:val="0"/>
        <w:outlineLvl w:val="2"/>
        <w:jc w:val="center"/>
      </w:pPr>
      <w:r>
        <w:rPr>
          <w:sz w:val="20"/>
        </w:rPr>
        <w:t xml:space="preserve">Статья 19</w:t>
      </w:r>
    </w:p>
    <w:p>
      <w:pPr>
        <w:pStyle w:val="0"/>
        <w:jc w:val="center"/>
      </w:pPr>
      <w:r>
        <w:rPr>
          <w:sz w:val="20"/>
        </w:rPr>
      </w:r>
    </w:p>
    <w:p>
      <w:pPr>
        <w:pStyle w:val="0"/>
        <w:jc w:val="center"/>
      </w:pPr>
      <w:r>
        <w:rPr>
          <w:sz w:val="20"/>
        </w:rPr>
        <w:t xml:space="preserve">Изменения наилучших доступных технологий</w:t>
      </w:r>
    </w:p>
    <w:p>
      <w:pPr>
        <w:pStyle w:val="0"/>
        <w:jc w:val="center"/>
      </w:pPr>
      <w:r>
        <w:rPr>
          <w:sz w:val="20"/>
        </w:rPr>
      </w:r>
    </w:p>
    <w:p>
      <w:pPr>
        <w:pStyle w:val="0"/>
        <w:ind w:firstLine="540"/>
        <w:jc w:val="both"/>
      </w:pPr>
      <w:r>
        <w:rPr>
          <w:sz w:val="20"/>
        </w:rPr>
        <w:t xml:space="preserve">Государства-члены ЕС гарантируют, что компетентный орган осведомлен или проинформирован об изменениях наилучших доступных технологий, а также о публикации новых или измененных заключений BAT, и доводят соответствующую информацию до сведения заинтересованной общественности.</w:t>
      </w:r>
    </w:p>
    <w:p>
      <w:pPr>
        <w:pStyle w:val="0"/>
        <w:ind w:firstLine="540"/>
        <w:jc w:val="both"/>
      </w:pPr>
      <w:r>
        <w:rPr>
          <w:sz w:val="20"/>
        </w:rPr>
      </w:r>
    </w:p>
    <w:p>
      <w:pPr>
        <w:pStyle w:val="0"/>
        <w:outlineLvl w:val="2"/>
        <w:jc w:val="center"/>
      </w:pPr>
      <w:r>
        <w:rPr>
          <w:sz w:val="20"/>
        </w:rPr>
        <w:t xml:space="preserve">Статья 20</w:t>
      </w:r>
    </w:p>
    <w:p>
      <w:pPr>
        <w:pStyle w:val="0"/>
        <w:jc w:val="center"/>
      </w:pPr>
      <w:r>
        <w:rPr>
          <w:sz w:val="20"/>
        </w:rPr>
      </w:r>
    </w:p>
    <w:p>
      <w:pPr>
        <w:pStyle w:val="0"/>
        <w:jc w:val="center"/>
      </w:pPr>
      <w:r>
        <w:rPr>
          <w:sz w:val="20"/>
        </w:rPr>
        <w:t xml:space="preserve">Изменения в установках, произведенные операторами</w:t>
      </w:r>
    </w:p>
    <w:p>
      <w:pPr>
        <w:pStyle w:val="0"/>
        <w:jc w:val="center"/>
      </w:pPr>
      <w:r>
        <w:rPr>
          <w:sz w:val="20"/>
        </w:rPr>
      </w:r>
    </w:p>
    <w:bookmarkStart w:id="444" w:name="P444"/>
    <w:bookmarkEnd w:id="444"/>
    <w:p>
      <w:pPr>
        <w:pStyle w:val="0"/>
        <w:ind w:firstLine="540"/>
        <w:jc w:val="both"/>
      </w:pPr>
      <w:r>
        <w:rPr>
          <w:sz w:val="20"/>
        </w:rPr>
        <w:t xml:space="preserve">1. Государства-члены ЕС принимают необходимые меры, гарантирующие, что оператор информирует компетентный орган о любых запланированных изменениях в характере или функционировании, а также о расширении установки, что может оказать влияние на окружающую среду. При необходимости компетентный орган вносит изменения в выданное разрешение.</w:t>
      </w:r>
    </w:p>
    <w:bookmarkStart w:id="445" w:name="P445"/>
    <w:bookmarkEnd w:id="445"/>
    <w:p>
      <w:pPr>
        <w:pStyle w:val="0"/>
        <w:spacing w:before="200" w:line-rule="auto"/>
        <w:ind w:firstLine="540"/>
        <w:jc w:val="both"/>
      </w:pPr>
      <w:r>
        <w:rPr>
          <w:sz w:val="20"/>
        </w:rPr>
        <w:t xml:space="preserve">2. Государства-члены ЕС принимают необходимые меры, гарантирующие, что оператор вносит запланированные существенные изменения только при наличии разрешения, выданного в соответствии с настоящей Директивой.</w:t>
      </w:r>
    </w:p>
    <w:bookmarkStart w:id="446" w:name="P446"/>
    <w:bookmarkEnd w:id="446"/>
    <w:p>
      <w:pPr>
        <w:pStyle w:val="0"/>
        <w:spacing w:before="200" w:line-rule="auto"/>
        <w:ind w:firstLine="540"/>
        <w:jc w:val="both"/>
      </w:pPr>
      <w:r>
        <w:rPr>
          <w:sz w:val="20"/>
        </w:rPr>
        <w:t xml:space="preserve">Заявление на выдачу разрешения и решение компетентного органа должны содержать указание на такие части установки и на такие сведения, перечисленные в </w:t>
      </w:r>
      <w:hyperlink w:history="0" w:anchor="P320" w:tooltip="Статья 12">
        <w:r>
          <w:rPr>
            <w:sz w:val="20"/>
            <w:color w:val="0000ff"/>
          </w:rPr>
          <w:t xml:space="preserve">статье 12</w:t>
        </w:r>
      </w:hyperlink>
      <w:r>
        <w:rPr>
          <w:sz w:val="20"/>
        </w:rPr>
        <w:t xml:space="preserve"> настоящей Директивы, на которые существенное изменение может оказать влияние.</w:t>
      </w:r>
    </w:p>
    <w:bookmarkStart w:id="447" w:name="P447"/>
    <w:bookmarkEnd w:id="447"/>
    <w:p>
      <w:pPr>
        <w:pStyle w:val="0"/>
        <w:spacing w:before="200" w:line-rule="auto"/>
        <w:ind w:firstLine="540"/>
        <w:jc w:val="both"/>
      </w:pPr>
      <w:r>
        <w:rPr>
          <w:sz w:val="20"/>
        </w:rPr>
        <w:t xml:space="preserve">3. Любые изменения в характере или функционировании, а также расширение установки считается существенным, если такое изменение или расширение достигает пороговых уровней мощности, установленных в </w:t>
      </w:r>
      <w:hyperlink w:history="0" w:anchor="P1250" w:tooltip="КАТЕГОРИИ ВИДОВ ДЕЯТЕЛЬНОСТИ,">
        <w:r>
          <w:rPr>
            <w:sz w:val="20"/>
            <w:color w:val="0000ff"/>
          </w:rPr>
          <w:t xml:space="preserve">Приложении I</w:t>
        </w:r>
      </w:hyperlink>
      <w:r>
        <w:rPr>
          <w:sz w:val="20"/>
        </w:rPr>
        <w:t xml:space="preserve"> к настоящей Директиве.</w:t>
      </w:r>
    </w:p>
    <w:p>
      <w:pPr>
        <w:pStyle w:val="0"/>
        <w:ind w:firstLine="540"/>
        <w:jc w:val="both"/>
      </w:pPr>
      <w:r>
        <w:rPr>
          <w:sz w:val="20"/>
        </w:rPr>
      </w:r>
    </w:p>
    <w:bookmarkStart w:id="449" w:name="P449"/>
    <w:bookmarkEnd w:id="449"/>
    <w:p>
      <w:pPr>
        <w:pStyle w:val="0"/>
        <w:outlineLvl w:val="2"/>
        <w:jc w:val="center"/>
      </w:pPr>
      <w:r>
        <w:rPr>
          <w:sz w:val="20"/>
        </w:rPr>
        <w:t xml:space="preserve">Статья 21</w:t>
      </w:r>
    </w:p>
    <w:p>
      <w:pPr>
        <w:pStyle w:val="0"/>
        <w:jc w:val="center"/>
      </w:pPr>
      <w:r>
        <w:rPr>
          <w:sz w:val="20"/>
        </w:rPr>
      </w:r>
    </w:p>
    <w:p>
      <w:pPr>
        <w:pStyle w:val="0"/>
        <w:jc w:val="center"/>
      </w:pPr>
      <w:r>
        <w:rPr>
          <w:sz w:val="20"/>
        </w:rPr>
        <w:t xml:space="preserve">Пересмотр и изменение компетентным</w:t>
      </w:r>
    </w:p>
    <w:p>
      <w:pPr>
        <w:pStyle w:val="0"/>
        <w:jc w:val="center"/>
      </w:pPr>
      <w:r>
        <w:rPr>
          <w:sz w:val="20"/>
        </w:rPr>
        <w:t xml:space="preserve">органом условий разрешений</w:t>
      </w:r>
    </w:p>
    <w:p>
      <w:pPr>
        <w:pStyle w:val="0"/>
        <w:jc w:val="center"/>
      </w:pPr>
      <w:r>
        <w:rPr>
          <w:sz w:val="20"/>
        </w:rPr>
      </w:r>
    </w:p>
    <w:bookmarkStart w:id="454" w:name="P454"/>
    <w:bookmarkEnd w:id="454"/>
    <w:p>
      <w:pPr>
        <w:pStyle w:val="0"/>
        <w:ind w:firstLine="540"/>
        <w:jc w:val="both"/>
      </w:pPr>
      <w:r>
        <w:rPr>
          <w:sz w:val="20"/>
        </w:rPr>
        <w:t xml:space="preserve">1. Государства-члены ЕС принимают необходимые меры, гарантирующие, что компетентный орган периодически пересматривает условия выдачи разрешений в соответствии с параграфами 2 - </w:t>
      </w:r>
      <w:hyperlink w:history="0" w:anchor="P462" w:tooltip="5. Условия разрешения должны быть пересмотрены и при необходимости изменены как минимум в следующих случаях:">
        <w:r>
          <w:rPr>
            <w:sz w:val="20"/>
            <w:color w:val="0000ff"/>
          </w:rPr>
          <w:t xml:space="preserve">5 настоящей статьи</w:t>
        </w:r>
      </w:hyperlink>
      <w:r>
        <w:rPr>
          <w:sz w:val="20"/>
        </w:rPr>
        <w:t xml:space="preserve"> и, если необходимо обеспечить соблюдение настоящей Директивы, изменяет указанные условия.</w:t>
      </w:r>
    </w:p>
    <w:bookmarkStart w:id="455" w:name="P455"/>
    <w:bookmarkEnd w:id="455"/>
    <w:p>
      <w:pPr>
        <w:pStyle w:val="0"/>
        <w:spacing w:before="200" w:line-rule="auto"/>
        <w:ind w:firstLine="540"/>
        <w:jc w:val="both"/>
      </w:pPr>
      <w:r>
        <w:rPr>
          <w:sz w:val="20"/>
        </w:rPr>
        <w:t xml:space="preserve">2. По запросу компетентного органа оператор передает всю информацию, необходимую для пересмотра условий разрешений, в том числе, в частности, результаты мониторинга выбросов и иные данные, позволяющие сравнить функционирование установки с наилучшими доступными технологиями, описанными в применяемых заключениях BAT, а также с уровнями выбросов, утвержденными в соответствии с наилучшими доступными технологиями.</w:t>
      </w:r>
    </w:p>
    <w:p>
      <w:pPr>
        <w:pStyle w:val="0"/>
        <w:spacing w:before="200" w:line-rule="auto"/>
        <w:ind w:firstLine="540"/>
        <w:jc w:val="both"/>
      </w:pPr>
      <w:r>
        <w:rPr>
          <w:sz w:val="20"/>
        </w:rPr>
        <w:t xml:space="preserve">При пересмотре условий разрешений компетентный орган использует любую информацию, полученную в результате мониторинга или проверок.</w:t>
      </w:r>
    </w:p>
    <w:bookmarkStart w:id="457" w:name="P457"/>
    <w:bookmarkEnd w:id="457"/>
    <w:p>
      <w:pPr>
        <w:pStyle w:val="0"/>
        <w:spacing w:before="200" w:line-rule="auto"/>
        <w:ind w:firstLine="540"/>
        <w:jc w:val="both"/>
      </w:pPr>
      <w:r>
        <w:rPr>
          <w:sz w:val="20"/>
        </w:rPr>
        <w:t xml:space="preserve">3. В течение четырех лет после публикации решений о заключениях BAT в соответствии со </w:t>
      </w:r>
      <w:hyperlink w:history="0" w:anchor="P356" w:tooltip="5. Решения о заключениях BAT принимаются в соответствии с регулятивной процедурой, предусмотренной статьей 75 (2) настоящей Директивы.">
        <w:r>
          <w:rPr>
            <w:sz w:val="20"/>
            <w:color w:val="0000ff"/>
          </w:rPr>
          <w:t xml:space="preserve">статьей 13 (5)</w:t>
        </w:r>
      </w:hyperlink>
      <w:r>
        <w:rPr>
          <w:sz w:val="20"/>
        </w:rPr>
        <w:t xml:space="preserve"> настоящей Директивы, относящихся к основной деятельности установки, компетентный орган гарантирует, что:</w:t>
      </w:r>
    </w:p>
    <w:p>
      <w:pPr>
        <w:pStyle w:val="0"/>
        <w:spacing w:before="200" w:line-rule="auto"/>
        <w:ind w:firstLine="540"/>
        <w:jc w:val="both"/>
      </w:pPr>
      <w:r>
        <w:rPr>
          <w:sz w:val="20"/>
        </w:rPr>
        <w:t xml:space="preserve">a) все условия разрешений для соответствующей установки пересмотрены и при необходимости изменены в целях соблюдения настоящей Директивы, в частности, </w:t>
      </w:r>
      <w:hyperlink w:history="0" w:anchor="P396" w:tooltip="3. Компетентный орган устанавливает пороговые значения выбросов с тем, чтобы при нормальных условиях эксплуатации выбросы не превышали уровней выбросов, утвержденных в соответствии с наилучшими доступными технологиями, как указано в решениях о заключениях BAT, предусмотренных статьей 13 (5) настоящей Директивы, посредством:">
        <w:r>
          <w:rPr>
            <w:sz w:val="20"/>
            <w:color w:val="0000ff"/>
          </w:rPr>
          <w:t xml:space="preserve">статьи 15 (3)</w:t>
        </w:r>
      </w:hyperlink>
      <w:r>
        <w:rPr>
          <w:sz w:val="20"/>
        </w:rPr>
        <w:t xml:space="preserve"> и </w:t>
      </w:r>
      <w:hyperlink w:history="0" w:anchor="P400" w:tooltip="4. В порядке частичного отступления от параграфа 3 настоящей статьи и без ущерба действия статьи 18 настоящей Директивы компетентный орган вправе в особых случаях устанавливать менее жесткие пороговые значения выбросов. Такое отступление может применяться только в случае, если оценка показывает, что достижение уровней выбросов, утвержденных в соответствии с наилучшими доступными технологиями, как указано в заключениях BAT, приведет к высоким издержкам, несоразмерным по сравнению с выгодами для окружающей...">
        <w:r>
          <w:rPr>
            <w:sz w:val="20"/>
            <w:color w:val="0000ff"/>
          </w:rPr>
          <w:t xml:space="preserve">(4)</w:t>
        </w:r>
      </w:hyperlink>
      <w:r>
        <w:rPr>
          <w:sz w:val="20"/>
        </w:rPr>
        <w:t xml:space="preserve"> настоящей Директивы, если применимо;</w:t>
      </w:r>
    </w:p>
    <w:p>
      <w:pPr>
        <w:pStyle w:val="0"/>
        <w:spacing w:before="200" w:line-rule="auto"/>
        <w:ind w:firstLine="540"/>
        <w:jc w:val="both"/>
      </w:pPr>
      <w:r>
        <w:rPr>
          <w:sz w:val="20"/>
        </w:rPr>
        <w:t xml:space="preserve">b) установка соответствует указанным условиям разрешения.</w:t>
      </w:r>
    </w:p>
    <w:p>
      <w:pPr>
        <w:pStyle w:val="0"/>
        <w:spacing w:before="200" w:line-rule="auto"/>
        <w:ind w:firstLine="540"/>
        <w:jc w:val="both"/>
      </w:pPr>
      <w:r>
        <w:rPr>
          <w:sz w:val="20"/>
        </w:rPr>
        <w:t xml:space="preserve">При пересмотре учитываются все новые или измененные заключения BAT, применимые к установкам и принятые в соответствии со </w:t>
      </w:r>
      <w:hyperlink w:history="0" w:anchor="P356" w:tooltip="5. Решения о заключениях BAT принимаются в соответствии с регулятивной процедурой, предусмотренной статьей 75 (2) настоящей Директивы.">
        <w:r>
          <w:rPr>
            <w:sz w:val="20"/>
            <w:color w:val="0000ff"/>
          </w:rPr>
          <w:t xml:space="preserve">статьей 13 (5)</w:t>
        </w:r>
      </w:hyperlink>
      <w:r>
        <w:rPr>
          <w:sz w:val="20"/>
        </w:rPr>
        <w:t xml:space="preserve"> настоящей Директивы после выдачи или последнего изменения разрешения.</w:t>
      </w:r>
    </w:p>
    <w:bookmarkStart w:id="461" w:name="P461"/>
    <w:bookmarkEnd w:id="461"/>
    <w:p>
      <w:pPr>
        <w:pStyle w:val="0"/>
        <w:spacing w:before="200" w:line-rule="auto"/>
        <w:ind w:firstLine="540"/>
        <w:jc w:val="both"/>
      </w:pPr>
      <w:r>
        <w:rPr>
          <w:sz w:val="20"/>
        </w:rPr>
        <w:t xml:space="preserve">4. Если заключения BAT не распространяются на установку, условия разрешения должны быть пересмотрены и при необходимости изменены, если изменения в наилучших доступных технологиях позволяют достичь существенного сокращения выбросов.</w:t>
      </w:r>
    </w:p>
    <w:bookmarkStart w:id="462" w:name="P462"/>
    <w:bookmarkEnd w:id="462"/>
    <w:p>
      <w:pPr>
        <w:pStyle w:val="0"/>
        <w:spacing w:before="200" w:line-rule="auto"/>
        <w:ind w:firstLine="540"/>
        <w:jc w:val="both"/>
      </w:pPr>
      <w:r>
        <w:rPr>
          <w:sz w:val="20"/>
        </w:rPr>
        <w:t xml:space="preserve">5. Условия разрешения должны быть пересмотрены и при необходимости изменены как минимум в следующих случаях:</w:t>
      </w:r>
    </w:p>
    <w:bookmarkStart w:id="463" w:name="P463"/>
    <w:bookmarkEnd w:id="463"/>
    <w:p>
      <w:pPr>
        <w:pStyle w:val="0"/>
        <w:spacing w:before="200" w:line-rule="auto"/>
        <w:ind w:firstLine="540"/>
        <w:jc w:val="both"/>
      </w:pPr>
      <w:r>
        <w:rPr>
          <w:sz w:val="20"/>
        </w:rPr>
        <w:t xml:space="preserve">a) загрязнение от установки настолько существенно, что указанные в разрешении пороговые значения выбросов должны быть пересмотрены или в разрешение необходимо включить новые значения;</w:t>
      </w:r>
    </w:p>
    <w:bookmarkStart w:id="464" w:name="P464"/>
    <w:bookmarkEnd w:id="464"/>
    <w:p>
      <w:pPr>
        <w:pStyle w:val="0"/>
        <w:spacing w:before="200" w:line-rule="auto"/>
        <w:ind w:firstLine="540"/>
        <w:jc w:val="both"/>
      </w:pPr>
      <w:r>
        <w:rPr>
          <w:sz w:val="20"/>
        </w:rPr>
        <w:t xml:space="preserve">b) безопасность функционирования требует использования других технологий;</w:t>
      </w:r>
    </w:p>
    <w:bookmarkStart w:id="465" w:name="P465"/>
    <w:bookmarkEnd w:id="465"/>
    <w:p>
      <w:pPr>
        <w:pStyle w:val="0"/>
        <w:spacing w:before="200" w:line-rule="auto"/>
        <w:ind w:firstLine="540"/>
        <w:jc w:val="both"/>
      </w:pPr>
      <w:r>
        <w:rPr>
          <w:sz w:val="20"/>
        </w:rPr>
        <w:t xml:space="preserve">c) в случае если необходимо обеспечить соблюдение новых или пересмотренных стандартов качества окружающей среды в соответствии со </w:t>
      </w:r>
      <w:hyperlink w:history="0" w:anchor="P428" w:tooltip="Статья 18">
        <w:r>
          <w:rPr>
            <w:sz w:val="20"/>
            <w:color w:val="0000ff"/>
          </w:rPr>
          <w:t xml:space="preserve">статьей 18</w:t>
        </w:r>
      </w:hyperlink>
      <w:r>
        <w:rPr>
          <w:sz w:val="20"/>
        </w:rPr>
        <w:t xml:space="preserve"> настоящей Директивы.</w:t>
      </w:r>
    </w:p>
    <w:p>
      <w:pPr>
        <w:pStyle w:val="0"/>
        <w:jc w:val="center"/>
      </w:pPr>
      <w:r>
        <w:rPr>
          <w:sz w:val="20"/>
        </w:rPr>
      </w:r>
    </w:p>
    <w:bookmarkStart w:id="467" w:name="P467"/>
    <w:bookmarkEnd w:id="467"/>
    <w:p>
      <w:pPr>
        <w:pStyle w:val="0"/>
        <w:outlineLvl w:val="2"/>
        <w:jc w:val="center"/>
      </w:pPr>
      <w:r>
        <w:rPr>
          <w:sz w:val="20"/>
        </w:rPr>
        <w:t xml:space="preserve">Статья 22</w:t>
      </w:r>
    </w:p>
    <w:p>
      <w:pPr>
        <w:pStyle w:val="0"/>
        <w:jc w:val="center"/>
      </w:pPr>
      <w:r>
        <w:rPr>
          <w:sz w:val="20"/>
        </w:rPr>
      </w:r>
    </w:p>
    <w:p>
      <w:pPr>
        <w:pStyle w:val="0"/>
        <w:jc w:val="center"/>
      </w:pPr>
      <w:r>
        <w:rPr>
          <w:sz w:val="20"/>
        </w:rPr>
        <w:t xml:space="preserve">Закрытие участка</w:t>
      </w:r>
    </w:p>
    <w:p>
      <w:pPr>
        <w:pStyle w:val="0"/>
        <w:jc w:val="center"/>
      </w:pPr>
      <w:r>
        <w:rPr>
          <w:sz w:val="20"/>
        </w:rPr>
      </w:r>
    </w:p>
    <w:p>
      <w:pPr>
        <w:pStyle w:val="0"/>
        <w:ind w:firstLine="540"/>
        <w:jc w:val="both"/>
      </w:pPr>
      <w:r>
        <w:rPr>
          <w:sz w:val="20"/>
        </w:rPr>
        <w:t xml:space="preserve">1. Без ущерба действия </w:t>
      </w:r>
      <w:hyperlink w:history="0" r:id="rId41" w:tooltip="Директива N 2000/60/ЕС Европейского парламента и Совета Европейского Союза &quot;Об установлении рамочных положений для деятельности Сообщества в области водной политики&quot; [рус., англ.] (Вместе с &quot;Информацией, требующейся для списка компетентных органов&quot;, &quot;Экономическим анализом&quot;, &quot;Охраняемыми территориями&quot;, &lt;Индикативным списком основных загрязняющих веществ и списками мер, подлежащими включению в программы мероприятий, приоритетных веществ&gt;, &quot;Планами управления речными бассейнами&quot;, &quot;Предельной величиной выбросо {КонсультантПлюс}">
        <w:r>
          <w:rPr>
            <w:sz w:val="20"/>
            <w:color w:val="0000ff"/>
          </w:rPr>
          <w:t xml:space="preserve">Директивы</w:t>
        </w:r>
      </w:hyperlink>
      <w:r>
        <w:rPr>
          <w:sz w:val="20"/>
        </w:rPr>
        <w:t xml:space="preserve"> 2000/60/ЕС, </w:t>
      </w:r>
      <w:hyperlink w:history="0" r:id="rId42" w:tooltip="Директива N 2004/35/СЕ Европейского парламента и Совета Европейского Союза &quot;Об экологической ответственности, направленной на предотвращение экологического ущерба и устранение его последствий&quot; [рус., англ.] (Вместе с &lt;Критериями, деятельностью, информацией и данными, международными конвенциями и документами, относящимися к статьям 2 (1) &quot;a&quot;, 3 (1), 4 (2), 4 (4), 18 (1)&gt;) (Принята в г. Страсбурге 21.04.2004) (с изм. и доп. от 12.06.2013) {КонсультантПлюс}">
        <w:r>
          <w:rPr>
            <w:sz w:val="20"/>
            <w:color w:val="0000ff"/>
          </w:rPr>
          <w:t xml:space="preserve">Директивы</w:t>
        </w:r>
      </w:hyperlink>
      <w:r>
        <w:rPr>
          <w:sz w:val="20"/>
        </w:rPr>
        <w:t xml:space="preserve"> 2004/35/ЕС, </w:t>
      </w:r>
      <w:hyperlink w:history="0" r:id="rId43" w:tooltip="Директива N 2006/118 Европейского парламента и Совета Европейского Союза &quot;О защите грунтовых вод от загрязнения и истощения&quot; [рус., англ.] (Вместе со &quot;Стандартами качества...&quot;, &quot;Пороговыми значениями для загрязняющих веществ и индикаторов...&quot;, &quot;Оценкой химического состояния...&quot;, &lt;Определением существенных и постоянных тенденций к увеличению и уменьшению концентрации&gt;) (Принята в г. Страсбурге 12.12.2006) (с изм. и доп. от 20.06.2014) {КонсультантПлюс}">
        <w:r>
          <w:rPr>
            <w:sz w:val="20"/>
            <w:color w:val="0000ff"/>
          </w:rPr>
          <w:t xml:space="preserve">Директивы</w:t>
        </w:r>
      </w:hyperlink>
      <w:r>
        <w:rPr>
          <w:sz w:val="20"/>
        </w:rPr>
        <w:t xml:space="preserve"> 2006/118/ЕС Европейского парламента и Совета ЕС от 12 декабря 2006 г. о защите грунтовых вод от загрязнения и ухудшения состояния </w:t>
      </w:r>
      <w:hyperlink w:history="0" w:anchor="P473" w:tooltip="&lt;*&gt; ОЖ N L 372, 27.12.2006, стр. 19.">
        <w:r>
          <w:rPr>
            <w:sz w:val="20"/>
            <w:color w:val="0000ff"/>
          </w:rPr>
          <w:t xml:space="preserve">&lt;*&gt;</w:t>
        </w:r>
      </w:hyperlink>
      <w:r>
        <w:rPr>
          <w:sz w:val="20"/>
        </w:rPr>
        <w:t xml:space="preserve">, а также без ущерба действия соответствующего законодательства Европейского Союза об охране почв, компетентный орган устанавливает условия разрешения с целью обеспечения соблюдения </w:t>
      </w:r>
      <w:hyperlink w:history="0" w:anchor="P482" w:tooltip="3. После окончательного прекращения деятельности оператор оценивает состояние загрязнения почв и грунтовых вод опасными веществами, используемыми, произведенными или высвободившимися от установки. В случае если зафиксировано существенное загрязнение почв и грунтовых вод опасными веществами по сравнению с состоянием, описанным в базовом отчете в соответствии с параграфом 2 настоящей статьи, оператор принимает необходимые меры по борьбе с загрязнением, чтобы восстановить участок до указанного состояния. В ...">
        <w:r>
          <w:rPr>
            <w:sz w:val="20"/>
            <w:color w:val="0000ff"/>
          </w:rPr>
          <w:t xml:space="preserve">параграфов 3</w:t>
        </w:r>
      </w:hyperlink>
      <w:r>
        <w:rPr>
          <w:sz w:val="20"/>
        </w:rPr>
        <w:t xml:space="preserve"> и </w:t>
      </w:r>
      <w:hyperlink w:history="0" w:anchor="P484" w:tooltip="4. В случае если подготовка базового отчета в соответствии с параграфом 2 настоящей статьи не требуется, оператор после окончательного прекращения деятельности принимает необходимые меры, направленные на удаление, контроль, ограничение или уменьшение соответствующих опасных веществ, чтобы участок с учетом его настоящего или будущего использования не представлял серьезной угрозы здоровью человека или окружающей среде вследствие загрязнения почв и грунтовых вод в результате осуществления оператором разреше...">
        <w:r>
          <w:rPr>
            <w:sz w:val="20"/>
            <w:color w:val="0000ff"/>
          </w:rPr>
          <w:t xml:space="preserve">4 настоящей статьи</w:t>
        </w:r>
      </w:hyperlink>
      <w:r>
        <w:rPr>
          <w:sz w:val="20"/>
        </w:rPr>
        <w:t xml:space="preserve"> после окончательного прекращения деятельности.</w:t>
      </w:r>
    </w:p>
    <w:p>
      <w:pPr>
        <w:pStyle w:val="0"/>
        <w:spacing w:before="200" w:line-rule="auto"/>
        <w:ind w:firstLine="540"/>
        <w:jc w:val="both"/>
      </w:pPr>
      <w:r>
        <w:rPr>
          <w:sz w:val="20"/>
        </w:rPr>
        <w:t xml:space="preserve">--------------------------------</w:t>
      </w:r>
    </w:p>
    <w:bookmarkStart w:id="473" w:name="P473"/>
    <w:bookmarkEnd w:id="473"/>
    <w:p>
      <w:pPr>
        <w:pStyle w:val="0"/>
        <w:spacing w:before="200" w:line-rule="auto"/>
        <w:ind w:firstLine="540"/>
        <w:jc w:val="both"/>
      </w:pPr>
      <w:r>
        <w:rPr>
          <w:sz w:val="20"/>
        </w:rPr>
        <w:t xml:space="preserve">&lt;*&gt; ОЖ N L 372, 27.12.2006, стр. 19.</w:t>
      </w:r>
    </w:p>
    <w:p>
      <w:pPr>
        <w:pStyle w:val="0"/>
        <w:ind w:firstLine="540"/>
        <w:jc w:val="both"/>
      </w:pPr>
      <w:r>
        <w:rPr>
          <w:sz w:val="20"/>
        </w:rPr>
      </w:r>
    </w:p>
    <w:bookmarkStart w:id="475" w:name="P475"/>
    <w:bookmarkEnd w:id="475"/>
    <w:p>
      <w:pPr>
        <w:pStyle w:val="0"/>
        <w:ind w:firstLine="540"/>
        <w:jc w:val="both"/>
      </w:pPr>
      <w:r>
        <w:rPr>
          <w:sz w:val="20"/>
        </w:rPr>
        <w:t xml:space="preserve">2. В случае если осуществляемая деятельность связана с использованием, производством или выбросами соответствующих опасных веществ и может привести к загрязнению почв и грунтовых вод на участке установки, оператор готовит и передает компетентному органу базовый отчет до начала эксплуатации установки или до первого после 7 января 2013 г. изменения условий разрешения.</w:t>
      </w:r>
    </w:p>
    <w:p>
      <w:pPr>
        <w:pStyle w:val="0"/>
        <w:spacing w:before="200" w:line-rule="auto"/>
        <w:ind w:firstLine="540"/>
        <w:jc w:val="both"/>
      </w:pPr>
      <w:r>
        <w:rPr>
          <w:sz w:val="20"/>
        </w:rPr>
        <w:t xml:space="preserve">Базовый отчет должен содержать информацию, необходимую для определения состояния загрязнения почв и грунтовых вод, чтобы сравнить в количественном отношении состояние участка, зафиксированное после окончательного прекращения видов деятельности, предусмотренного </w:t>
      </w:r>
      <w:hyperlink w:history="0" w:anchor="P482" w:tooltip="3. После окончательного прекращения деятельности оператор оценивает состояние загрязнения почв и грунтовых вод опасными веществами, используемыми, произведенными или высвободившимися от установки. В случае если зафиксировано существенное загрязнение почв и грунтовых вод опасными веществами по сравнению с состоянием, описанным в базовом отчете в соответствии с параграфом 2 настоящей статьи, оператор принимает необходимые меры по борьбе с загрязнением, чтобы восстановить участок до указанного состояния. В ...">
        <w:r>
          <w:rPr>
            <w:sz w:val="20"/>
            <w:color w:val="0000ff"/>
          </w:rPr>
          <w:t xml:space="preserve">параграфом 3 настоящей статьи</w:t>
        </w:r>
      </w:hyperlink>
      <w:r>
        <w:rPr>
          <w:sz w:val="20"/>
        </w:rPr>
        <w:t xml:space="preserve">.</w:t>
      </w:r>
    </w:p>
    <w:p>
      <w:pPr>
        <w:pStyle w:val="0"/>
        <w:spacing w:before="200" w:line-rule="auto"/>
        <w:ind w:firstLine="540"/>
        <w:jc w:val="both"/>
      </w:pPr>
      <w:r>
        <w:rPr>
          <w:sz w:val="20"/>
        </w:rPr>
        <w:t xml:space="preserve">Базовый отчет должен содержать как минимум следующую информацию:</w:t>
      </w:r>
    </w:p>
    <w:p>
      <w:pPr>
        <w:pStyle w:val="0"/>
        <w:spacing w:before="200" w:line-rule="auto"/>
        <w:ind w:firstLine="540"/>
        <w:jc w:val="both"/>
      </w:pPr>
      <w:r>
        <w:rPr>
          <w:sz w:val="20"/>
        </w:rPr>
        <w:t xml:space="preserve">a) информацию о текущем использовании и, если это применимо, о прошлых использованиях участка;</w:t>
      </w:r>
    </w:p>
    <w:p>
      <w:pPr>
        <w:pStyle w:val="0"/>
        <w:spacing w:before="200" w:line-rule="auto"/>
        <w:ind w:firstLine="540"/>
        <w:jc w:val="both"/>
      </w:pPr>
      <w:r>
        <w:rPr>
          <w:sz w:val="20"/>
        </w:rPr>
        <w:t xml:space="preserve">b) если это применимо, существующие данные об измерениях почв и грунтовых вод, которые отражают состояние участка на момент составления отчета, или новые данные об измерениях почв и грунтовых вод с учетом возможного загрязнения почв и грунтовых вод опасными веществами, используемыми, произведенными или высвободившимися от соответствующей установки.</w:t>
      </w:r>
    </w:p>
    <w:p>
      <w:pPr>
        <w:pStyle w:val="0"/>
        <w:spacing w:before="200" w:line-rule="auto"/>
        <w:ind w:firstLine="540"/>
        <w:jc w:val="both"/>
      </w:pPr>
      <w:r>
        <w:rPr>
          <w:sz w:val="20"/>
        </w:rPr>
        <w:t xml:space="preserve">В случае если информация, подготовленная в соответствии с иным национальным законодательством или законодательством Европейского Союза, отвечает требованиям настоящего параграфа, такая информация может быть включена в базовый отчет или представлена в приложении к нему.</w:t>
      </w:r>
    </w:p>
    <w:p>
      <w:pPr>
        <w:pStyle w:val="0"/>
        <w:spacing w:before="200" w:line-rule="auto"/>
        <w:ind w:firstLine="540"/>
        <w:jc w:val="both"/>
      </w:pPr>
      <w:r>
        <w:rPr>
          <w:sz w:val="20"/>
        </w:rPr>
        <w:t xml:space="preserve">Европейская комиссия разрабатывает рекомендации, касающиеся содержания базового отчета.</w:t>
      </w:r>
    </w:p>
    <w:bookmarkStart w:id="482" w:name="P482"/>
    <w:bookmarkEnd w:id="482"/>
    <w:p>
      <w:pPr>
        <w:pStyle w:val="0"/>
        <w:spacing w:before="200" w:line-rule="auto"/>
        <w:ind w:firstLine="540"/>
        <w:jc w:val="both"/>
      </w:pPr>
      <w:r>
        <w:rPr>
          <w:sz w:val="20"/>
        </w:rPr>
        <w:t xml:space="preserve">3. После окончательного прекращения деятельности оператор оценивает состояние загрязнения почв и грунтовых вод опасными веществами, используемыми, произведенными или высвободившимися от установки. В случае если зафиксировано существенное загрязнение почв и грунтовых вод опасными веществами по сравнению с состоянием, описанным в базовом отчете в соответствии с </w:t>
      </w:r>
      <w:hyperlink w:history="0" w:anchor="P475" w:tooltip="2. В случае если осуществляемая деятельность связана с использованием, производством или выбросами соответствующих опасных веществ и может привести к загрязнению почв и грунтовых вод на участке установки, оператор готовит и передает компетентному органу базовый отчет до начала эксплуатации установки или до первого после 7 января 2013 г. изменения условий разрешения.">
        <w:r>
          <w:rPr>
            <w:sz w:val="20"/>
            <w:color w:val="0000ff"/>
          </w:rPr>
          <w:t xml:space="preserve">параграфом 2 настоящей статьи</w:t>
        </w:r>
      </w:hyperlink>
      <w:r>
        <w:rPr>
          <w:sz w:val="20"/>
        </w:rPr>
        <w:t xml:space="preserve">, оператор принимает необходимые меры по борьбе с загрязнением, чтобы восстановить участок до указанного состояния. В этих целях может быть принята во внимание техническая обоснованность таких мер.</w:t>
      </w:r>
    </w:p>
    <w:p>
      <w:pPr>
        <w:pStyle w:val="0"/>
        <w:spacing w:before="200" w:line-rule="auto"/>
        <w:ind w:firstLine="540"/>
        <w:jc w:val="both"/>
      </w:pPr>
      <w:r>
        <w:rPr>
          <w:sz w:val="20"/>
        </w:rPr>
        <w:t xml:space="preserve">Без ущерба действию </w:t>
      </w:r>
      <w:hyperlink w:history="0" w:anchor="P482" w:tooltip="3. После окончательного прекращения деятельности оператор оценивает состояние загрязнения почв и грунтовых вод опасными веществами, используемыми, произведенными или высвободившимися от установки. В случае если зафиксировано существенное загрязнение почв и грунтовых вод опасными веществами по сравнению с состоянием, описанным в базовом отчете в соответствии с параграфом 2 настоящей статьи, оператор принимает необходимые меры по борьбе с загрязнением, чтобы восстановить участок до указанного состояния. В ...">
        <w:r>
          <w:rPr>
            <w:sz w:val="20"/>
            <w:color w:val="0000ff"/>
          </w:rPr>
          <w:t xml:space="preserve">первого подпараграфа</w:t>
        </w:r>
      </w:hyperlink>
      <w:r>
        <w:rPr>
          <w:sz w:val="20"/>
        </w:rPr>
        <w:t xml:space="preserve"> после окончательного прекращения деятельности в случае, если загрязнение почв и грунтовых вод на участке представляет серьезную угрозу здоровью человека или окружающей среде в результате осуществления оператором разрешенных видов деятельности до первого после 7 января 2013 г. изменения условий разрешения, а также с учетом особенностей участка установки, предусмотренных </w:t>
      </w:r>
      <w:hyperlink w:history="0" w:anchor="P328" w:tooltip="d) особенности участка установки;">
        <w:r>
          <w:rPr>
            <w:sz w:val="20"/>
            <w:color w:val="0000ff"/>
          </w:rPr>
          <w:t xml:space="preserve">статьей 12 (1) "d"</w:t>
        </w:r>
      </w:hyperlink>
      <w:r>
        <w:rPr>
          <w:sz w:val="20"/>
        </w:rPr>
        <w:t xml:space="preserve"> настоящей Директивы, оператор принимает необходимые меры, направленные на удаление, контроль, ограничение или уменьшение соответствующих опасных веществ, чтобы участок с учетом его настоящего или будущего использования не представлял такой угрозы.</w:t>
      </w:r>
    </w:p>
    <w:bookmarkStart w:id="484" w:name="P484"/>
    <w:bookmarkEnd w:id="484"/>
    <w:p>
      <w:pPr>
        <w:pStyle w:val="0"/>
        <w:spacing w:before="200" w:line-rule="auto"/>
        <w:ind w:firstLine="540"/>
        <w:jc w:val="both"/>
      </w:pPr>
      <w:r>
        <w:rPr>
          <w:sz w:val="20"/>
        </w:rPr>
        <w:t xml:space="preserve">4. В случае если подготовка базового отчета в соответствии с </w:t>
      </w:r>
      <w:hyperlink w:history="0" w:anchor="P475" w:tooltip="2. В случае если осуществляемая деятельность связана с использованием, производством или выбросами соответствующих опасных веществ и может привести к загрязнению почв и грунтовых вод на участке установки, оператор готовит и передает компетентному органу базовый отчет до начала эксплуатации установки или до первого после 7 января 2013 г. изменения условий разрешения.">
        <w:r>
          <w:rPr>
            <w:sz w:val="20"/>
            <w:color w:val="0000ff"/>
          </w:rPr>
          <w:t xml:space="preserve">параграфом 2 настоящей статьи</w:t>
        </w:r>
      </w:hyperlink>
      <w:r>
        <w:rPr>
          <w:sz w:val="20"/>
        </w:rPr>
        <w:t xml:space="preserve"> не требуется, оператор после окончательного прекращения деятельности принимает необходимые меры, направленные на удаление, контроль, ограничение или уменьшение соответствующих опасных веществ, чтобы участок с учетом его настоящего или будущего использования не представлял серьезной угрозы здоровью человека или окружающей среде вследствие загрязнения почв и грунтовых вод в результате осуществления оператором разрешенных видов деятельности, а также с учетом особенностей участка установки, предусмотренных </w:t>
      </w:r>
      <w:hyperlink w:history="0" w:anchor="P328" w:tooltip="d) особенности участка установки;">
        <w:r>
          <w:rPr>
            <w:sz w:val="20"/>
            <w:color w:val="0000ff"/>
          </w:rPr>
          <w:t xml:space="preserve">статьей 12 (1) "d"</w:t>
        </w:r>
      </w:hyperlink>
      <w:r>
        <w:rPr>
          <w:sz w:val="20"/>
        </w:rPr>
        <w:t xml:space="preserve"> настоящей Директивы.</w:t>
      </w:r>
    </w:p>
    <w:p>
      <w:pPr>
        <w:pStyle w:val="0"/>
        <w:ind w:firstLine="540"/>
        <w:jc w:val="both"/>
      </w:pPr>
      <w:r>
        <w:rPr>
          <w:sz w:val="20"/>
        </w:rPr>
      </w:r>
    </w:p>
    <w:bookmarkStart w:id="486" w:name="P486"/>
    <w:bookmarkEnd w:id="486"/>
    <w:p>
      <w:pPr>
        <w:pStyle w:val="0"/>
        <w:outlineLvl w:val="2"/>
        <w:jc w:val="center"/>
      </w:pPr>
      <w:r>
        <w:rPr>
          <w:sz w:val="20"/>
        </w:rPr>
        <w:t xml:space="preserve">Статья 23</w:t>
      </w:r>
    </w:p>
    <w:p>
      <w:pPr>
        <w:pStyle w:val="0"/>
        <w:jc w:val="center"/>
      </w:pPr>
      <w:r>
        <w:rPr>
          <w:sz w:val="20"/>
        </w:rPr>
      </w:r>
    </w:p>
    <w:p>
      <w:pPr>
        <w:pStyle w:val="0"/>
        <w:jc w:val="center"/>
      </w:pPr>
      <w:r>
        <w:rPr>
          <w:sz w:val="20"/>
        </w:rPr>
        <w:t xml:space="preserve">Экологические проверки</w:t>
      </w:r>
    </w:p>
    <w:p>
      <w:pPr>
        <w:pStyle w:val="0"/>
        <w:jc w:val="center"/>
      </w:pPr>
      <w:r>
        <w:rPr>
          <w:sz w:val="20"/>
        </w:rPr>
      </w:r>
    </w:p>
    <w:bookmarkStart w:id="490" w:name="P490"/>
    <w:bookmarkEnd w:id="490"/>
    <w:p>
      <w:pPr>
        <w:pStyle w:val="0"/>
        <w:ind w:firstLine="540"/>
        <w:jc w:val="both"/>
      </w:pPr>
      <w:r>
        <w:rPr>
          <w:sz w:val="20"/>
        </w:rPr>
        <w:t xml:space="preserve">1. Государства-члены ЕС учреждают систему экологических проверок установок, направленных на исследование всех соответствующих экологических последствий функционирования таких установок.</w:t>
      </w:r>
    </w:p>
    <w:bookmarkStart w:id="491" w:name="P491"/>
    <w:bookmarkEnd w:id="491"/>
    <w:p>
      <w:pPr>
        <w:pStyle w:val="0"/>
        <w:spacing w:before="200" w:line-rule="auto"/>
        <w:ind w:firstLine="540"/>
        <w:jc w:val="both"/>
      </w:pPr>
      <w:r>
        <w:rPr>
          <w:sz w:val="20"/>
        </w:rPr>
        <w:t xml:space="preserve">Государства-члены ЕС гарантируют, что оператор оказывает компетентным органам необходимую помощь, что позволит последним посещать участки, брать образцы и собирать любую информацию, необходимую им для выполнения своих обязанностей в целях настоящей Директивы.</w:t>
      </w:r>
    </w:p>
    <w:bookmarkStart w:id="492" w:name="P492"/>
    <w:bookmarkEnd w:id="492"/>
    <w:p>
      <w:pPr>
        <w:pStyle w:val="0"/>
        <w:spacing w:before="200" w:line-rule="auto"/>
        <w:ind w:firstLine="540"/>
        <w:jc w:val="both"/>
      </w:pPr>
      <w:r>
        <w:rPr>
          <w:sz w:val="20"/>
        </w:rPr>
        <w:t xml:space="preserve">2. Государства-члены ЕС гарантируют, что все установки включены в план проведения экологических проверок, утвержденный на национальном, региональном или местном уровнях, а также обеспечивают регулярный пересмотр и, если применимо, изменение указанного плана.</w:t>
      </w:r>
    </w:p>
    <w:p>
      <w:pPr>
        <w:pStyle w:val="0"/>
        <w:spacing w:before="200" w:line-rule="auto"/>
        <w:ind w:firstLine="540"/>
        <w:jc w:val="both"/>
      </w:pPr>
      <w:r>
        <w:rPr>
          <w:sz w:val="20"/>
        </w:rPr>
        <w:t xml:space="preserve">3. Каждый план проведения экологических проверок содержит:</w:t>
      </w:r>
    </w:p>
    <w:p>
      <w:pPr>
        <w:pStyle w:val="0"/>
        <w:spacing w:before="200" w:line-rule="auto"/>
        <w:ind w:firstLine="540"/>
        <w:jc w:val="both"/>
      </w:pPr>
      <w:r>
        <w:rPr>
          <w:sz w:val="20"/>
        </w:rPr>
        <w:t xml:space="preserve">a) общую оценку значительных проблем окружающей среды;</w:t>
      </w:r>
    </w:p>
    <w:p>
      <w:pPr>
        <w:pStyle w:val="0"/>
        <w:spacing w:before="200" w:line-rule="auto"/>
        <w:ind w:firstLine="540"/>
        <w:jc w:val="both"/>
      </w:pPr>
      <w:r>
        <w:rPr>
          <w:sz w:val="20"/>
        </w:rPr>
        <w:t xml:space="preserve">b) географическую территорию, на которую распространяется план проверки;</w:t>
      </w:r>
    </w:p>
    <w:p>
      <w:pPr>
        <w:pStyle w:val="0"/>
        <w:spacing w:before="200" w:line-rule="auto"/>
        <w:ind w:firstLine="540"/>
        <w:jc w:val="both"/>
      </w:pPr>
      <w:r>
        <w:rPr>
          <w:sz w:val="20"/>
        </w:rPr>
        <w:t xml:space="preserve">c) реестр установок, включенных в план проверки;</w:t>
      </w:r>
    </w:p>
    <w:p>
      <w:pPr>
        <w:pStyle w:val="0"/>
        <w:spacing w:before="200" w:line-rule="auto"/>
        <w:ind w:firstLine="540"/>
        <w:jc w:val="both"/>
      </w:pPr>
      <w:r>
        <w:rPr>
          <w:sz w:val="20"/>
        </w:rPr>
        <w:t xml:space="preserve">d) порядок составления программ для плановых экологических проверок в соответствии с параграфом 4 настоящей статьи;</w:t>
      </w:r>
    </w:p>
    <w:p>
      <w:pPr>
        <w:pStyle w:val="0"/>
        <w:spacing w:before="200" w:line-rule="auto"/>
        <w:ind w:firstLine="540"/>
        <w:jc w:val="both"/>
      </w:pPr>
      <w:r>
        <w:rPr>
          <w:sz w:val="20"/>
        </w:rPr>
        <w:t xml:space="preserve">e) порядок проведения внеплановых экологических проверок в соответствии с </w:t>
      </w:r>
      <w:hyperlink w:history="0" w:anchor="P511" w:tooltip="5. Внеплановые экологические проверки проводятся в целях расследования серьезных экологических жалоб, аварий, инцидентов и случаев нарушения в максимально короткий срок и, если это применимо, до выдачи, пересмотра или изменения разрешения.">
        <w:r>
          <w:rPr>
            <w:sz w:val="20"/>
            <w:color w:val="0000ff"/>
          </w:rPr>
          <w:t xml:space="preserve">параграфом 5 настоящей статьи</w:t>
        </w:r>
      </w:hyperlink>
      <w:r>
        <w:rPr>
          <w:sz w:val="20"/>
        </w:rPr>
        <w:t xml:space="preserve">;</w:t>
      </w:r>
    </w:p>
    <w:p>
      <w:pPr>
        <w:pStyle w:val="0"/>
        <w:spacing w:before="200" w:line-rule="auto"/>
        <w:ind w:firstLine="540"/>
        <w:jc w:val="both"/>
      </w:pPr>
      <w:r>
        <w:rPr>
          <w:sz w:val="20"/>
        </w:rPr>
        <w:t xml:space="preserve">f) при необходимости положения о сотрудничестве между различными проверяющими органами.</w:t>
      </w:r>
    </w:p>
    <w:p>
      <w:pPr>
        <w:pStyle w:val="0"/>
        <w:spacing w:before="200" w:line-rule="auto"/>
        <w:ind w:firstLine="540"/>
        <w:jc w:val="both"/>
      </w:pPr>
      <w:r>
        <w:rPr>
          <w:sz w:val="20"/>
        </w:rPr>
        <w:t xml:space="preserve">4. На основе планов проведения экологических проверок компетентный орган регулярно составляет программу проведения плановых экологических проверок, в том числе с указанием частоты посещений участков для различных типов установок.</w:t>
      </w:r>
    </w:p>
    <w:p>
      <w:pPr>
        <w:pStyle w:val="0"/>
        <w:spacing w:before="200" w:line-rule="auto"/>
        <w:ind w:firstLine="540"/>
        <w:jc w:val="both"/>
      </w:pPr>
      <w:r>
        <w:rPr>
          <w:sz w:val="20"/>
        </w:rPr>
        <w:t xml:space="preserve">Период между посещениями участка устанавливается на основе систематической оценки экологических рисков и не может превышать 1 год для установок, представляющих наиболее серьезные угрозы, и 3 года для установок, представляющих наименее серьезные угрозы.</w:t>
      </w:r>
    </w:p>
    <w:p>
      <w:pPr>
        <w:pStyle w:val="0"/>
        <w:spacing w:before="200" w:line-rule="auto"/>
        <w:ind w:firstLine="540"/>
        <w:jc w:val="both"/>
      </w:pPr>
      <w:r>
        <w:rPr>
          <w:sz w:val="20"/>
        </w:rPr>
        <w:t xml:space="preserve">Если по результатам проверки выявлено нарушение условий разрешения, повторное посещение участка проводится в течение 6 месяцев после такой проверки.</w:t>
      </w:r>
    </w:p>
    <w:p>
      <w:pPr>
        <w:pStyle w:val="0"/>
        <w:spacing w:before="200" w:line-rule="auto"/>
        <w:ind w:firstLine="540"/>
        <w:jc w:val="both"/>
      </w:pPr>
      <w:r>
        <w:rPr>
          <w:sz w:val="20"/>
        </w:rPr>
        <w:t xml:space="preserve">Систематическая оценка экологических рисков должна быть основана как минимум на следующих критериях:</w:t>
      </w:r>
    </w:p>
    <w:p>
      <w:pPr>
        <w:pStyle w:val="0"/>
        <w:spacing w:before="200" w:line-rule="auto"/>
        <w:ind w:firstLine="540"/>
        <w:jc w:val="both"/>
      </w:pPr>
      <w:r>
        <w:rPr>
          <w:sz w:val="20"/>
        </w:rPr>
        <w:t xml:space="preserve">a) потенциальное и фактическое влияние соответствующей установки на здоровье человека и окружающую среду с учетом уровней и типов выбросов, чувствительности местной окружающей среды и риска возникновения аварий;</w:t>
      </w:r>
    </w:p>
    <w:p>
      <w:pPr>
        <w:pStyle w:val="0"/>
        <w:spacing w:before="200" w:line-rule="auto"/>
        <w:ind w:firstLine="540"/>
        <w:jc w:val="both"/>
      </w:pPr>
      <w:r>
        <w:rPr>
          <w:sz w:val="20"/>
        </w:rPr>
        <w:t xml:space="preserve">b) сведения о соблюдении условий разрешения;</w:t>
      </w:r>
    </w:p>
    <w:p>
      <w:pPr>
        <w:pStyle w:val="0"/>
        <w:spacing w:before="200" w:line-rule="auto"/>
        <w:ind w:firstLine="540"/>
        <w:jc w:val="both"/>
      </w:pPr>
      <w:r>
        <w:rPr>
          <w:sz w:val="20"/>
        </w:rPr>
        <w:t xml:space="preserve">c) участие оператора в системе эко-менеджмента и аудита (EMAS) на территории Европейского Союза в соответствии с </w:t>
      </w:r>
      <w:hyperlink w:history="0" r:id="rId44" w:tooltip="Регламент N 1221/2009 Европейского парламента и Совета Европейского Союза &quot;О добровольном участии организаций в системе эко-менеджмента и аудита Сообщества (EMAS) и об отмене Регламента (ЕС) 761/2001 и Решений Европейской комиссии 2001/681/ЕС и 2006/193/ЕС&quot; [рус., англ.] (Вместе с &lt;Внутренним экологическим аудитом, пересмотром, отчетностью&gt;, &lt;Требованиями системы и дополнительными вопросами, адресованными организациям&gt;, &quot;Логотипом EMAS&quot;, &quot;Требованиями к информации для регистрации&quot;, &quot;Декларацией экологическо {КонсультантПлюс}">
        <w:r>
          <w:rPr>
            <w:sz w:val="20"/>
            <w:color w:val="0000ff"/>
          </w:rPr>
          <w:t xml:space="preserve">Регламентом</w:t>
        </w:r>
      </w:hyperlink>
      <w:r>
        <w:rPr>
          <w:sz w:val="20"/>
        </w:rPr>
        <w:t xml:space="preserve"> (ЕС) 1221/2009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w:t>
      </w:r>
      <w:hyperlink w:history="0" r:id="rId45" w:tooltip="Регламент N 1221/2009 Европейского парламента и Совета Европейского Союза &quot;О добровольном участии организаций в системе эко-менеджмента и аудита Сообщества (EMAS) и об отмене Регламента (ЕС) 761/2001 и Решений Европейской комиссии 2001/681/ЕС и 2006/193/ЕС&quot; [рус., англ.] (Вместе с &lt;Внутренним экологическим аудитом, пересмотром, отчетностью&gt;, &lt;Требованиями системы и дополнительными вопросами, адресованными организациям&gt;, &quot;Логотипом EMAS&quot;, &quot;Требованиями к информации для регистрации&quot;, &quot;Декларацией экологическо {КонсультантПлюс}">
        <w:r>
          <w:rPr>
            <w:sz w:val="20"/>
            <w:color w:val="0000ff"/>
          </w:rPr>
          <w:t xml:space="preserve">Регламент</w:t>
        </w:r>
      </w:hyperlink>
      <w:r>
        <w:rPr>
          <w:sz w:val="20"/>
        </w:rPr>
        <w:t xml:space="preserve"> (ЕС) 1221/2009 Европейского парламента и Совета ЕС от 25 ноября 2009 г. о добровольном участии организаций в системе эко-менеджмента и аудита Сообщества (EMAS) (ОЖ N L 342, 22.12.2009, стр. 1.).</w:t>
      </w:r>
    </w:p>
    <w:p>
      <w:pPr>
        <w:pStyle w:val="0"/>
        <w:ind w:firstLine="540"/>
        <w:jc w:val="both"/>
      </w:pPr>
      <w:r>
        <w:rPr>
          <w:sz w:val="20"/>
        </w:rPr>
      </w:r>
    </w:p>
    <w:p>
      <w:pPr>
        <w:pStyle w:val="0"/>
        <w:ind w:firstLine="540"/>
        <w:jc w:val="both"/>
      </w:pPr>
      <w:r>
        <w:rPr>
          <w:sz w:val="20"/>
        </w:rPr>
        <w:t xml:space="preserve">Европейская комиссия вправе разрабатывать рекомендации, касающиеся критериев оценки экологических рисков.</w:t>
      </w:r>
    </w:p>
    <w:bookmarkStart w:id="511" w:name="P511"/>
    <w:bookmarkEnd w:id="511"/>
    <w:p>
      <w:pPr>
        <w:pStyle w:val="0"/>
        <w:spacing w:before="200" w:line-rule="auto"/>
        <w:ind w:firstLine="540"/>
        <w:jc w:val="both"/>
      </w:pPr>
      <w:r>
        <w:rPr>
          <w:sz w:val="20"/>
        </w:rPr>
        <w:t xml:space="preserve">5. Внеплановые экологические проверки проводятся в целях расследования серьезных экологических жалоб, аварий, инцидентов и случаев нарушения в максимально короткий срок и, если это применимо, до выдачи, пересмотра или изменения разрешения.</w:t>
      </w:r>
    </w:p>
    <w:bookmarkStart w:id="512" w:name="P512"/>
    <w:bookmarkEnd w:id="512"/>
    <w:p>
      <w:pPr>
        <w:pStyle w:val="0"/>
        <w:spacing w:before="200" w:line-rule="auto"/>
        <w:ind w:firstLine="540"/>
        <w:jc w:val="both"/>
      </w:pPr>
      <w:r>
        <w:rPr>
          <w:sz w:val="20"/>
        </w:rPr>
        <w:t xml:space="preserve">6. По результатам каждого посещения участка компетентный орган готовит отчет, содержащий данные о соблюдении условий разрешения, а также заключение о необходимости совершения дальнейших действий.</w:t>
      </w:r>
    </w:p>
    <w:p>
      <w:pPr>
        <w:pStyle w:val="0"/>
        <w:spacing w:before="200" w:line-rule="auto"/>
        <w:ind w:firstLine="540"/>
        <w:jc w:val="both"/>
      </w:pPr>
      <w:r>
        <w:rPr>
          <w:sz w:val="20"/>
        </w:rPr>
        <w:t xml:space="preserve">Отчет должен быть направлен заинтересованному оператору в течение 2 месяцев после посещения участка. Отчет должен быть обнародован компетентным органом в течение 4 месяцев после посещения участка в соответствии с </w:t>
      </w:r>
      <w:hyperlink w:history="0" r:id="rId46" w:tooltip="Директива N 2003/4/ЕС Европейского парламента и Совета Европейского Союза &quot;О доступе общественности к информации об окружающей среде и отмене Директивы 90/313/ЕЭС Совета ЕС&quot; [рус., англ.] (Вместе с &quot;Корреляционной таблицей&quot;) (Принята в г. Брюсселе 28.01.2003) {КонсультантПлюс}">
        <w:r>
          <w:rPr>
            <w:sz w:val="20"/>
            <w:color w:val="0000ff"/>
          </w:rPr>
          <w:t xml:space="preserve">Директивой</w:t>
        </w:r>
      </w:hyperlink>
      <w:r>
        <w:rPr>
          <w:sz w:val="20"/>
        </w:rPr>
        <w:t xml:space="preserve"> 2003/4/ЕС Европейского парламента и Совета ЕС от 28 января 2003 г. о доступе общественности к информации об окружающей среде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ОЖ N L 41, 14.2.2003, стр. 26.</w:t>
      </w:r>
    </w:p>
    <w:p>
      <w:pPr>
        <w:pStyle w:val="0"/>
        <w:ind w:firstLine="540"/>
        <w:jc w:val="both"/>
      </w:pPr>
      <w:r>
        <w:rPr>
          <w:sz w:val="20"/>
        </w:rPr>
      </w:r>
    </w:p>
    <w:p>
      <w:pPr>
        <w:pStyle w:val="0"/>
        <w:ind w:firstLine="540"/>
        <w:jc w:val="both"/>
      </w:pPr>
      <w:r>
        <w:rPr>
          <w:sz w:val="20"/>
        </w:rPr>
        <w:t xml:space="preserve">Без ущерба действию </w:t>
      </w:r>
      <w:hyperlink w:history="0" w:anchor="P282" w:tooltip="2. В случае несоответствия условиям разрешения государства-члены ЕС гарантируют, что:">
        <w:r>
          <w:rPr>
            <w:sz w:val="20"/>
            <w:color w:val="0000ff"/>
          </w:rPr>
          <w:t xml:space="preserve">статьи 8 (2)</w:t>
        </w:r>
      </w:hyperlink>
      <w:r>
        <w:rPr>
          <w:sz w:val="20"/>
        </w:rPr>
        <w:t xml:space="preserve"> настоящей Директивы компетентный орган гарантирует, что оператор предпринимает все действия, указанные в отчете, в разумный срок.</w:t>
      </w:r>
    </w:p>
    <w:p>
      <w:pPr>
        <w:pStyle w:val="0"/>
        <w:ind w:firstLine="540"/>
        <w:jc w:val="both"/>
      </w:pPr>
      <w:r>
        <w:rPr>
          <w:sz w:val="20"/>
        </w:rPr>
      </w:r>
    </w:p>
    <w:bookmarkStart w:id="519" w:name="P519"/>
    <w:bookmarkEnd w:id="519"/>
    <w:p>
      <w:pPr>
        <w:pStyle w:val="0"/>
        <w:outlineLvl w:val="2"/>
        <w:jc w:val="center"/>
      </w:pPr>
      <w:r>
        <w:rPr>
          <w:sz w:val="20"/>
        </w:rPr>
        <w:t xml:space="preserve">Статья 24</w:t>
      </w:r>
    </w:p>
    <w:p>
      <w:pPr>
        <w:pStyle w:val="0"/>
        <w:jc w:val="center"/>
      </w:pPr>
      <w:r>
        <w:rPr>
          <w:sz w:val="20"/>
        </w:rPr>
      </w:r>
    </w:p>
    <w:p>
      <w:pPr>
        <w:pStyle w:val="0"/>
        <w:jc w:val="center"/>
      </w:pPr>
      <w:r>
        <w:rPr>
          <w:sz w:val="20"/>
        </w:rPr>
        <w:t xml:space="preserve">Доступ к информации и участие общественности</w:t>
      </w:r>
    </w:p>
    <w:p>
      <w:pPr>
        <w:pStyle w:val="0"/>
        <w:jc w:val="center"/>
      </w:pPr>
      <w:r>
        <w:rPr>
          <w:sz w:val="20"/>
        </w:rPr>
        <w:t xml:space="preserve">в процессе выдачи разрешения</w:t>
      </w:r>
    </w:p>
    <w:p>
      <w:pPr>
        <w:pStyle w:val="0"/>
        <w:jc w:val="center"/>
      </w:pPr>
      <w:r>
        <w:rPr>
          <w:sz w:val="20"/>
        </w:rPr>
      </w:r>
    </w:p>
    <w:bookmarkStart w:id="524" w:name="P524"/>
    <w:bookmarkEnd w:id="524"/>
    <w:p>
      <w:pPr>
        <w:pStyle w:val="0"/>
        <w:ind w:firstLine="540"/>
        <w:jc w:val="both"/>
      </w:pPr>
      <w:r>
        <w:rPr>
          <w:sz w:val="20"/>
        </w:rPr>
        <w:t xml:space="preserve">1. Государства-члены ЕС гарантируют предоставление заинтересованным членам общественности возможности своевременно и эффективно участвовать в следующих процессах:</w:t>
      </w:r>
    </w:p>
    <w:bookmarkStart w:id="525" w:name="P525"/>
    <w:bookmarkEnd w:id="525"/>
    <w:p>
      <w:pPr>
        <w:pStyle w:val="0"/>
        <w:spacing w:before="200" w:line-rule="auto"/>
        <w:ind w:firstLine="540"/>
        <w:jc w:val="both"/>
      </w:pPr>
      <w:r>
        <w:rPr>
          <w:sz w:val="20"/>
        </w:rPr>
        <w:t xml:space="preserve">a) выдача разрешения на новую установку;</w:t>
      </w:r>
    </w:p>
    <w:bookmarkStart w:id="526" w:name="P526"/>
    <w:bookmarkEnd w:id="526"/>
    <w:p>
      <w:pPr>
        <w:pStyle w:val="0"/>
        <w:spacing w:before="200" w:line-rule="auto"/>
        <w:ind w:firstLine="540"/>
        <w:jc w:val="both"/>
      </w:pPr>
      <w:r>
        <w:rPr>
          <w:sz w:val="20"/>
        </w:rPr>
        <w:t xml:space="preserve">b) выдача разрешения на внесение существенных изменений;</w:t>
      </w:r>
    </w:p>
    <w:bookmarkStart w:id="527" w:name="P527"/>
    <w:bookmarkEnd w:id="527"/>
    <w:p>
      <w:pPr>
        <w:pStyle w:val="0"/>
        <w:spacing w:before="200" w:line-rule="auto"/>
        <w:ind w:firstLine="540"/>
        <w:jc w:val="both"/>
      </w:pPr>
      <w:r>
        <w:rPr>
          <w:sz w:val="20"/>
        </w:rPr>
        <w:t xml:space="preserve">c) выдача или изменение разрешения для установки, когда применяется </w:t>
      </w:r>
      <w:hyperlink w:history="0" w:anchor="P400" w:tooltip="4. В порядке частичного отступления от параграфа 3 настоящей статьи и без ущерба действия статьи 18 настоящей Директивы компетентный орган вправе в особых случаях устанавливать менее жесткие пороговые значения выбросов. Такое отступление может применяться только в случае, если оценка показывает, что достижение уровней выбросов, утвержденных в соответствии с наилучшими доступными технологиями, как указано в заключениях BAT, приведет к высоким издержкам, несоразмерным по сравнению с выгодами для окружающей...">
        <w:r>
          <w:rPr>
            <w:sz w:val="20"/>
            <w:color w:val="0000ff"/>
          </w:rPr>
          <w:t xml:space="preserve">статья 15 (4)</w:t>
        </w:r>
      </w:hyperlink>
      <w:r>
        <w:rPr>
          <w:sz w:val="20"/>
        </w:rPr>
        <w:t xml:space="preserve"> настоящей Директивы;</w:t>
      </w:r>
    </w:p>
    <w:p>
      <w:pPr>
        <w:pStyle w:val="0"/>
        <w:spacing w:before="200" w:line-rule="auto"/>
        <w:ind w:firstLine="540"/>
        <w:jc w:val="both"/>
      </w:pPr>
      <w:r>
        <w:rPr>
          <w:sz w:val="20"/>
        </w:rPr>
        <w:t xml:space="preserve">d) изменение разрешения или условий разрешения для установки в соответствии со </w:t>
      </w:r>
      <w:hyperlink w:history="0" w:anchor="P463" w:tooltip="a) загрязнение от установки настолько существенно, что указанные в разрешении пороговые значения выбросов должны быть пересмотрены или в разрешение необходимо включить новые значения;">
        <w:r>
          <w:rPr>
            <w:sz w:val="20"/>
            <w:color w:val="0000ff"/>
          </w:rPr>
          <w:t xml:space="preserve">статьей 21 (5) "a"</w:t>
        </w:r>
      </w:hyperlink>
      <w:r>
        <w:rPr>
          <w:sz w:val="20"/>
        </w:rPr>
        <w:t xml:space="preserve"> настоящей Директивы.</w:t>
      </w:r>
    </w:p>
    <w:bookmarkStart w:id="529" w:name="P529"/>
    <w:bookmarkEnd w:id="529"/>
    <w:p>
      <w:pPr>
        <w:pStyle w:val="0"/>
        <w:spacing w:before="200" w:line-rule="auto"/>
        <w:ind w:firstLine="540"/>
        <w:jc w:val="both"/>
      </w:pPr>
      <w:r>
        <w:rPr>
          <w:sz w:val="20"/>
        </w:rPr>
        <w:t xml:space="preserve">Такое участие осуществляется в порядке, установленном в </w:t>
      </w:r>
      <w:hyperlink w:history="0" w:anchor="P1484" w:tooltip="УЧАСТИЕ ОБЩЕСТВЕННОСТИ В ПРИНЯТИИ РЕШЕНИЙ">
        <w:r>
          <w:rPr>
            <w:sz w:val="20"/>
            <w:color w:val="0000ff"/>
          </w:rPr>
          <w:t xml:space="preserve">Приложении IV</w:t>
        </w:r>
      </w:hyperlink>
      <w:r>
        <w:rPr>
          <w:sz w:val="20"/>
        </w:rPr>
        <w:t xml:space="preserve"> к настоящей Директиве.</w:t>
      </w:r>
    </w:p>
    <w:bookmarkStart w:id="530" w:name="P530"/>
    <w:bookmarkEnd w:id="530"/>
    <w:p>
      <w:pPr>
        <w:pStyle w:val="0"/>
        <w:spacing w:before="200" w:line-rule="auto"/>
        <w:ind w:firstLine="540"/>
        <w:jc w:val="both"/>
      </w:pPr>
      <w:r>
        <w:rPr>
          <w:sz w:val="20"/>
        </w:rPr>
        <w:t xml:space="preserve">2. При принятии решения о выдаче, пересмотре или изменении разрешения компетентные органы предоставляют общественности следующую информацию, в том числе, в отношении пунктов "a", "b" и </w:t>
      </w:r>
      <w:hyperlink w:history="0" w:anchor="P536" w:tooltip="f) если применяется частичное отступление в соответствии со статьей 15 (4) настоящей Директивы, то указываются причины его предоставления, основанные на критериях, установленных указанным параграфом, а также условия его предоставления.">
        <w:r>
          <w:rPr>
            <w:sz w:val="20"/>
            <w:color w:val="0000ff"/>
          </w:rPr>
          <w:t xml:space="preserve">"f"</w:t>
        </w:r>
      </w:hyperlink>
      <w:r>
        <w:rPr>
          <w:sz w:val="20"/>
        </w:rPr>
        <w:t xml:space="preserve">, через Интернет:</w:t>
      </w:r>
    </w:p>
    <w:bookmarkStart w:id="531" w:name="P531"/>
    <w:bookmarkEnd w:id="531"/>
    <w:p>
      <w:pPr>
        <w:pStyle w:val="0"/>
        <w:spacing w:before="200" w:line-rule="auto"/>
        <w:ind w:firstLine="540"/>
        <w:jc w:val="both"/>
      </w:pPr>
      <w:r>
        <w:rPr>
          <w:sz w:val="20"/>
        </w:rPr>
        <w:t xml:space="preserve">a) содержание решения, в том числе копию разрешения и его последующих изменений;</w:t>
      </w:r>
    </w:p>
    <w:bookmarkStart w:id="532" w:name="P532"/>
    <w:bookmarkEnd w:id="532"/>
    <w:p>
      <w:pPr>
        <w:pStyle w:val="0"/>
        <w:spacing w:before="200" w:line-rule="auto"/>
        <w:ind w:firstLine="540"/>
        <w:jc w:val="both"/>
      </w:pPr>
      <w:r>
        <w:rPr>
          <w:sz w:val="20"/>
        </w:rPr>
        <w:t xml:space="preserve">b) обоснование решения;</w:t>
      </w:r>
    </w:p>
    <w:bookmarkStart w:id="533" w:name="P533"/>
    <w:bookmarkEnd w:id="533"/>
    <w:p>
      <w:pPr>
        <w:pStyle w:val="0"/>
        <w:spacing w:before="200" w:line-rule="auto"/>
        <w:ind w:firstLine="540"/>
        <w:jc w:val="both"/>
      </w:pPr>
      <w:r>
        <w:rPr>
          <w:sz w:val="20"/>
        </w:rPr>
        <w:t xml:space="preserve">c) выводы по итогам консультаций, проведенных до принятия решения, с объяснением того, как они были учтены в таком решении;</w:t>
      </w:r>
    </w:p>
    <w:p>
      <w:pPr>
        <w:pStyle w:val="0"/>
        <w:spacing w:before="200" w:line-rule="auto"/>
        <w:ind w:firstLine="540"/>
        <w:jc w:val="both"/>
      </w:pPr>
      <w:r>
        <w:rPr>
          <w:sz w:val="20"/>
        </w:rPr>
        <w:t xml:space="preserve">d) наименование справочника BAT, относящегося к данной установке или виду деятельности;</w:t>
      </w:r>
    </w:p>
    <w:p>
      <w:pPr>
        <w:pStyle w:val="0"/>
        <w:spacing w:before="200" w:line-rule="auto"/>
        <w:ind w:firstLine="540"/>
        <w:jc w:val="both"/>
      </w:pPr>
      <w:r>
        <w:rPr>
          <w:sz w:val="20"/>
        </w:rPr>
        <w:t xml:space="preserve">e) способ определения условий разрешения, предусмотренных </w:t>
      </w:r>
      <w:hyperlink w:history="0" w:anchor="P360" w:tooltip="Статья 14">
        <w:r>
          <w:rPr>
            <w:sz w:val="20"/>
            <w:color w:val="0000ff"/>
          </w:rPr>
          <w:t xml:space="preserve">статьей 14</w:t>
        </w:r>
      </w:hyperlink>
      <w:r>
        <w:rPr>
          <w:sz w:val="20"/>
        </w:rPr>
        <w:t xml:space="preserve"> настоящей Директивы, в том числе пороговых значений выбросов, с учетом наилучших доступных технологий и уровней выбросов, утвержденных в соответствии с наилучшими доступными технологиями;</w:t>
      </w:r>
    </w:p>
    <w:bookmarkStart w:id="536" w:name="P536"/>
    <w:bookmarkEnd w:id="536"/>
    <w:p>
      <w:pPr>
        <w:pStyle w:val="0"/>
        <w:spacing w:before="200" w:line-rule="auto"/>
        <w:ind w:firstLine="540"/>
        <w:jc w:val="both"/>
      </w:pPr>
      <w:r>
        <w:rPr>
          <w:sz w:val="20"/>
        </w:rPr>
        <w:t xml:space="preserve">f) если применяется частичное отступление в соответствии со </w:t>
      </w:r>
      <w:hyperlink w:history="0" w:anchor="P400" w:tooltip="4. В порядке частичного отступления от параграфа 3 настоящей статьи и без ущерба действия статьи 18 настоящей Директивы компетентный орган вправе в особых случаях устанавливать менее жесткие пороговые значения выбросов. Такое отступление может применяться только в случае, если оценка показывает, что достижение уровней выбросов, утвержденных в соответствии с наилучшими доступными технологиями, как указано в заключениях BAT, приведет к высоким издержкам, несоразмерным по сравнению с выгодами для окружающей...">
        <w:r>
          <w:rPr>
            <w:sz w:val="20"/>
            <w:color w:val="0000ff"/>
          </w:rPr>
          <w:t xml:space="preserve">статьей 15 (4)</w:t>
        </w:r>
      </w:hyperlink>
      <w:r>
        <w:rPr>
          <w:sz w:val="20"/>
        </w:rPr>
        <w:t xml:space="preserve"> настоящей Директивы, то указываются причины его предоставления, основанные на критериях, установленных указанным </w:t>
      </w:r>
      <w:hyperlink w:history="0" w:anchor="P400" w:tooltip="4. В порядке частичного отступления от параграфа 3 настоящей статьи и без ущерба действия статьи 18 настоящей Директивы компетентный орган вправе в особых случаях устанавливать менее жесткие пороговые значения выбросов. Такое отступление может применяться только в случае, если оценка показывает, что достижение уровней выбросов, утвержденных в соответствии с наилучшими доступными технологиями, как указано в заключениях BAT, приведет к высоким издержкам, несоразмерным по сравнению с выгодами для окружающей...">
        <w:r>
          <w:rPr>
            <w:sz w:val="20"/>
            <w:color w:val="0000ff"/>
          </w:rPr>
          <w:t xml:space="preserve">параграфом</w:t>
        </w:r>
      </w:hyperlink>
      <w:r>
        <w:rPr>
          <w:sz w:val="20"/>
        </w:rPr>
        <w:t xml:space="preserve">, а также условия его предоставления.</w:t>
      </w:r>
    </w:p>
    <w:bookmarkStart w:id="537" w:name="P537"/>
    <w:bookmarkEnd w:id="537"/>
    <w:p>
      <w:pPr>
        <w:pStyle w:val="0"/>
        <w:spacing w:before="200" w:line-rule="auto"/>
        <w:ind w:firstLine="540"/>
        <w:jc w:val="both"/>
      </w:pPr>
      <w:r>
        <w:rPr>
          <w:sz w:val="20"/>
        </w:rPr>
        <w:t xml:space="preserve">3. Компетентный орган также предоставляет общественности, в том числе как минимум в отношении пункта "a" через Интернет:</w:t>
      </w:r>
    </w:p>
    <w:bookmarkStart w:id="538" w:name="P538"/>
    <w:bookmarkEnd w:id="538"/>
    <w:p>
      <w:pPr>
        <w:pStyle w:val="0"/>
        <w:spacing w:before="200" w:line-rule="auto"/>
        <w:ind w:firstLine="540"/>
        <w:jc w:val="both"/>
      </w:pPr>
      <w:r>
        <w:rPr>
          <w:sz w:val="20"/>
        </w:rPr>
        <w:t xml:space="preserve">a) соответствующую информацию о мерах, принятых оператором после окончательного прекращения деятельности в соответствии со </w:t>
      </w:r>
      <w:hyperlink w:history="0" w:anchor="P467" w:tooltip="Статья 22">
        <w:r>
          <w:rPr>
            <w:sz w:val="20"/>
            <w:color w:val="0000ff"/>
          </w:rPr>
          <w:t xml:space="preserve">статьей 22</w:t>
        </w:r>
      </w:hyperlink>
      <w:r>
        <w:rPr>
          <w:sz w:val="20"/>
        </w:rPr>
        <w:t xml:space="preserve"> настоящей Директивы;</w:t>
      </w:r>
    </w:p>
    <w:bookmarkStart w:id="539" w:name="P539"/>
    <w:bookmarkEnd w:id="539"/>
    <w:p>
      <w:pPr>
        <w:pStyle w:val="0"/>
        <w:spacing w:before="200" w:line-rule="auto"/>
        <w:ind w:firstLine="540"/>
        <w:jc w:val="both"/>
      </w:pPr>
      <w:r>
        <w:rPr>
          <w:sz w:val="20"/>
        </w:rPr>
        <w:t xml:space="preserve">b) результаты мониторинга выбросов, проведенного компетентным органом в соответствии с условиями разрешения.</w:t>
      </w:r>
    </w:p>
    <w:bookmarkStart w:id="540" w:name="P540"/>
    <w:bookmarkEnd w:id="540"/>
    <w:p>
      <w:pPr>
        <w:pStyle w:val="0"/>
        <w:spacing w:before="200" w:line-rule="auto"/>
        <w:ind w:firstLine="540"/>
        <w:jc w:val="both"/>
      </w:pPr>
      <w:r>
        <w:rPr>
          <w:sz w:val="20"/>
        </w:rPr>
        <w:t xml:space="preserve">4. </w:t>
      </w:r>
      <w:hyperlink w:history="0" w:anchor="P524" w:tooltip="1. Государства-члены ЕС гарантируют предоставление заинтересованным членам общественности возможности своевременно и эффективно участвовать в следующих процессах:">
        <w:r>
          <w:rPr>
            <w:sz w:val="20"/>
            <w:color w:val="0000ff"/>
          </w:rPr>
          <w:t xml:space="preserve">Параграфы 1</w:t>
        </w:r>
      </w:hyperlink>
      <w:r>
        <w:rPr>
          <w:sz w:val="20"/>
        </w:rPr>
        <w:t xml:space="preserve">, </w:t>
      </w:r>
      <w:hyperlink w:history="0" w:anchor="P530" w:tooltip="2. При принятии решения о выдаче, пересмотре или изменении разрешения компетентные органы предоставляют общественности следующую информацию, в том числе, в отношении пунктов &quot;a&quot;, &quot;b&quot; и &quot;f&quot;, через Интернет:">
        <w:r>
          <w:rPr>
            <w:sz w:val="20"/>
            <w:color w:val="0000ff"/>
          </w:rPr>
          <w:t xml:space="preserve">2</w:t>
        </w:r>
      </w:hyperlink>
      <w:r>
        <w:rPr>
          <w:sz w:val="20"/>
        </w:rPr>
        <w:t xml:space="preserve"> и </w:t>
      </w:r>
      <w:hyperlink w:history="0" w:anchor="P537" w:tooltip="3. Компетентный орган также предоставляет общественности, в том числе как минимум в отношении пункта &quot;a&quot; через Интернет:">
        <w:r>
          <w:rPr>
            <w:sz w:val="20"/>
            <w:color w:val="0000ff"/>
          </w:rPr>
          <w:t xml:space="preserve">3 настоящей статьи</w:t>
        </w:r>
      </w:hyperlink>
      <w:r>
        <w:rPr>
          <w:sz w:val="20"/>
        </w:rPr>
        <w:t xml:space="preserve"> применяются с учетом ограничений, установленных </w:t>
      </w:r>
      <w:hyperlink w:history="0" r:id="rId47" w:tooltip="Директива N 2003/4/ЕС Европейского парламента и Совета Европейского Союза &quot;О доступе общественности к информации об окружающей среде и отмене Директивы 90/313/ЕЭС Совета ЕС&quot; [рус., англ.] (Вместе с &quot;Корреляционной таблицей&quot;) (Принята в г. Брюсселе 28.01.2003) {КонсультантПлюс}">
        <w:r>
          <w:rPr>
            <w:sz w:val="20"/>
            <w:color w:val="0000ff"/>
          </w:rPr>
          <w:t xml:space="preserve">статьей 4 (1)</w:t>
        </w:r>
      </w:hyperlink>
      <w:r>
        <w:rPr>
          <w:sz w:val="20"/>
        </w:rPr>
        <w:t xml:space="preserve"> и </w:t>
      </w:r>
      <w:hyperlink w:history="0" r:id="rId48" w:tooltip="Директива N 2003/4/ЕС Европейского парламента и Совета Европейского Союза &quot;О доступе общественности к информации об окружающей среде и отмене Директивы 90/313/ЕЭС Совета ЕС&quot; [рус., англ.] (Вместе с &quot;Корреляционной таблицей&quot;) (Принята в г. Брюсселе 28.01.2003) {КонсультантПлюс}">
        <w:r>
          <w:rPr>
            <w:sz w:val="20"/>
            <w:color w:val="0000ff"/>
          </w:rPr>
          <w:t xml:space="preserve">(2)</w:t>
        </w:r>
      </w:hyperlink>
      <w:r>
        <w:rPr>
          <w:sz w:val="20"/>
        </w:rPr>
        <w:t xml:space="preserve"> Директивы 2003/4/ЕС.</w:t>
      </w:r>
    </w:p>
    <w:p>
      <w:pPr>
        <w:pStyle w:val="0"/>
        <w:ind w:firstLine="540"/>
        <w:jc w:val="both"/>
      </w:pPr>
      <w:r>
        <w:rPr>
          <w:sz w:val="20"/>
        </w:rPr>
      </w:r>
    </w:p>
    <w:bookmarkStart w:id="542" w:name="P542"/>
    <w:bookmarkEnd w:id="542"/>
    <w:p>
      <w:pPr>
        <w:pStyle w:val="0"/>
        <w:outlineLvl w:val="2"/>
        <w:jc w:val="center"/>
      </w:pPr>
      <w:r>
        <w:rPr>
          <w:sz w:val="20"/>
        </w:rPr>
        <w:t xml:space="preserve">Статья 25</w:t>
      </w:r>
    </w:p>
    <w:p>
      <w:pPr>
        <w:pStyle w:val="0"/>
        <w:jc w:val="center"/>
      </w:pPr>
      <w:r>
        <w:rPr>
          <w:sz w:val="20"/>
        </w:rPr>
      </w:r>
    </w:p>
    <w:p>
      <w:pPr>
        <w:pStyle w:val="0"/>
        <w:jc w:val="center"/>
      </w:pPr>
      <w:r>
        <w:rPr>
          <w:sz w:val="20"/>
        </w:rPr>
        <w:t xml:space="preserve">Доступ к правосудию</w:t>
      </w:r>
    </w:p>
    <w:p>
      <w:pPr>
        <w:pStyle w:val="0"/>
        <w:jc w:val="center"/>
      </w:pPr>
      <w:r>
        <w:rPr>
          <w:sz w:val="20"/>
        </w:rPr>
      </w:r>
    </w:p>
    <w:bookmarkStart w:id="546" w:name="P546"/>
    <w:bookmarkEnd w:id="546"/>
    <w:p>
      <w:pPr>
        <w:pStyle w:val="0"/>
        <w:ind w:firstLine="540"/>
        <w:jc w:val="both"/>
      </w:pPr>
      <w:r>
        <w:rPr>
          <w:sz w:val="20"/>
        </w:rPr>
        <w:t xml:space="preserve">1. Государства-члены ЕС гарантируют, что в соответствии с национальной судебной системой заинтересованные члены общественности имеют доступ к рассмотрению дела в суде или в ином независимом и беспристрастном органе, учрежденном в соответствии с законодательством, с целью оспаривать законность с материальной и процессуальной точек зрения любого решения, действия или бездействия в соответствии со </w:t>
      </w:r>
      <w:hyperlink w:history="0" w:anchor="P519" w:tooltip="Статья 24">
        <w:r>
          <w:rPr>
            <w:sz w:val="20"/>
            <w:color w:val="0000ff"/>
          </w:rPr>
          <w:t xml:space="preserve">статьей 24</w:t>
        </w:r>
      </w:hyperlink>
      <w:r>
        <w:rPr>
          <w:sz w:val="20"/>
        </w:rPr>
        <w:t xml:space="preserve"> настоящей Директивы при соблюдении следующих условий:</w:t>
      </w:r>
    </w:p>
    <w:bookmarkStart w:id="547" w:name="P547"/>
    <w:bookmarkEnd w:id="547"/>
    <w:p>
      <w:pPr>
        <w:pStyle w:val="0"/>
        <w:spacing w:before="200" w:line-rule="auto"/>
        <w:ind w:firstLine="540"/>
        <w:jc w:val="both"/>
      </w:pPr>
      <w:r>
        <w:rPr>
          <w:sz w:val="20"/>
        </w:rPr>
        <w:t xml:space="preserve">a) они проявляют достаточную заинтересованность;</w:t>
      </w:r>
    </w:p>
    <w:bookmarkStart w:id="548" w:name="P548"/>
    <w:bookmarkEnd w:id="548"/>
    <w:p>
      <w:pPr>
        <w:pStyle w:val="0"/>
        <w:spacing w:before="200" w:line-rule="auto"/>
        <w:ind w:firstLine="540"/>
        <w:jc w:val="both"/>
      </w:pPr>
      <w:r>
        <w:rPr>
          <w:sz w:val="20"/>
        </w:rPr>
        <w:t xml:space="preserve">b) они считают, что произошло нарушение права, когда это условие предусмотрено в административных процессуальных нормах государства-члена ЕС.</w:t>
      </w:r>
    </w:p>
    <w:bookmarkStart w:id="549" w:name="P549"/>
    <w:bookmarkEnd w:id="549"/>
    <w:p>
      <w:pPr>
        <w:pStyle w:val="0"/>
        <w:spacing w:before="200" w:line-rule="auto"/>
        <w:ind w:firstLine="540"/>
        <w:jc w:val="both"/>
      </w:pPr>
      <w:r>
        <w:rPr>
          <w:sz w:val="20"/>
        </w:rPr>
        <w:t xml:space="preserve">2. Государства-члены ЕС определяют, на какой стадии решение, действие или бездействие может быть оспорено.</w:t>
      </w:r>
    </w:p>
    <w:bookmarkStart w:id="550" w:name="P550"/>
    <w:bookmarkEnd w:id="550"/>
    <w:p>
      <w:pPr>
        <w:pStyle w:val="0"/>
        <w:spacing w:before="200" w:line-rule="auto"/>
        <w:ind w:firstLine="540"/>
        <w:jc w:val="both"/>
      </w:pPr>
      <w:r>
        <w:rPr>
          <w:sz w:val="20"/>
        </w:rPr>
        <w:t xml:space="preserve">3. Наличие достаточной заинтересованности и нарушение того или иного права определяется государством-членом ЕС в соответствии с целью предоставления заинтересованной общественности широкого доступа к правосудию.</w:t>
      </w:r>
    </w:p>
    <w:p>
      <w:pPr>
        <w:pStyle w:val="0"/>
        <w:spacing w:before="200" w:line-rule="auto"/>
        <w:ind w:firstLine="540"/>
        <w:jc w:val="both"/>
      </w:pPr>
      <w:r>
        <w:rPr>
          <w:sz w:val="20"/>
        </w:rPr>
        <w:t xml:space="preserve">В связи с этим в целях </w:t>
      </w:r>
      <w:hyperlink w:history="0" w:anchor="P547" w:tooltip="a) они проявляют достаточную заинтересованность;">
        <w:r>
          <w:rPr>
            <w:sz w:val="20"/>
            <w:color w:val="0000ff"/>
          </w:rPr>
          <w:t xml:space="preserve">параграфа 1 "a" настоящей статьи</w:t>
        </w:r>
      </w:hyperlink>
      <w:r>
        <w:rPr>
          <w:sz w:val="20"/>
        </w:rPr>
        <w:t xml:space="preserve"> заинтересованность любой неправительственной организации, содействующей обеспечению защиты окружающей среды и соответствующей требованиям, установленным национальным законодательством, считается достаточной.</w:t>
      </w:r>
    </w:p>
    <w:p>
      <w:pPr>
        <w:pStyle w:val="0"/>
        <w:spacing w:before="200" w:line-rule="auto"/>
        <w:ind w:firstLine="540"/>
        <w:jc w:val="both"/>
      </w:pPr>
      <w:r>
        <w:rPr>
          <w:sz w:val="20"/>
        </w:rPr>
        <w:t xml:space="preserve">В целях </w:t>
      </w:r>
      <w:hyperlink w:history="0" w:anchor="P548" w:tooltip="b) они считают, что произошло нарушение права, когда это условие предусмотрено в административных процессуальных нормах государства-члена ЕС.">
        <w:r>
          <w:rPr>
            <w:sz w:val="20"/>
            <w:color w:val="0000ff"/>
          </w:rPr>
          <w:t xml:space="preserve">параграфа 1 "b" настоящей статьи</w:t>
        </w:r>
      </w:hyperlink>
      <w:r>
        <w:rPr>
          <w:sz w:val="20"/>
        </w:rPr>
        <w:t xml:space="preserve"> такие организации также имеют право заявлять о нарушении своих прав.</w:t>
      </w:r>
    </w:p>
    <w:p>
      <w:pPr>
        <w:pStyle w:val="0"/>
        <w:spacing w:before="200" w:line-rule="auto"/>
        <w:ind w:firstLine="540"/>
        <w:jc w:val="both"/>
      </w:pPr>
      <w:r>
        <w:rPr>
          <w:sz w:val="20"/>
        </w:rPr>
        <w:t xml:space="preserve">4. </w:t>
      </w:r>
      <w:hyperlink w:history="0" w:anchor="P546" w:tooltip="1. Государства-члены ЕС гарантируют, что в соответствии с национальной судебной системой заинтересованные члены общественности имеют доступ к рассмотрению дела в суде или в ином независимом и беспристрастном органе, учрежденном в соответствии с законодательством, с целью оспаривать законность с материальной и процессуальной точек зрения любого решения, действия или бездействия в соответствии со статьей 24 настоящей Директивы при соблюдении следующих условий:">
        <w:r>
          <w:rPr>
            <w:sz w:val="20"/>
            <w:color w:val="0000ff"/>
          </w:rPr>
          <w:t xml:space="preserve">Параграфы 1</w:t>
        </w:r>
      </w:hyperlink>
      <w:r>
        <w:rPr>
          <w:sz w:val="20"/>
        </w:rPr>
        <w:t xml:space="preserve">, </w:t>
      </w:r>
      <w:hyperlink w:history="0" w:anchor="P549" w:tooltip="2. Государства-члены ЕС определяют, на какой стадии решение, действие или бездействие может быть оспорено.">
        <w:r>
          <w:rPr>
            <w:sz w:val="20"/>
            <w:color w:val="0000ff"/>
          </w:rPr>
          <w:t xml:space="preserve">2</w:t>
        </w:r>
      </w:hyperlink>
      <w:r>
        <w:rPr>
          <w:sz w:val="20"/>
        </w:rPr>
        <w:t xml:space="preserve"> и </w:t>
      </w:r>
      <w:hyperlink w:history="0" w:anchor="P550" w:tooltip="3. Наличие достаточной заинтересованности и нарушение того или иного права определяется государством-членом ЕС в соответствии с целью предоставления заинтересованной общественности широкого доступа к правосудию.">
        <w:r>
          <w:rPr>
            <w:sz w:val="20"/>
            <w:color w:val="0000ff"/>
          </w:rPr>
          <w:t xml:space="preserve">3 настоящей статьи</w:t>
        </w:r>
      </w:hyperlink>
      <w:r>
        <w:rPr>
          <w:sz w:val="20"/>
        </w:rPr>
        <w:t xml:space="preserve"> не исключают возможности использования процедуры предварительного рассмотрения в административном органе и не затрагивают требования об исчерпании административных процедур рассмотрения до обращения к судебным процедурам рассмотрения в тех случаях, когда такое требование предусмотрено в национальном законодательстве.</w:t>
      </w:r>
    </w:p>
    <w:p>
      <w:pPr>
        <w:pStyle w:val="0"/>
        <w:spacing w:before="200" w:line-rule="auto"/>
        <w:ind w:firstLine="540"/>
        <w:jc w:val="both"/>
      </w:pPr>
      <w:r>
        <w:rPr>
          <w:sz w:val="20"/>
        </w:rPr>
        <w:t xml:space="preserve">Такие процедуры должны быть справедливыми, беспристрастными, своевременными и не связанными с непомерно высокими затратами.</w:t>
      </w:r>
    </w:p>
    <w:p>
      <w:pPr>
        <w:pStyle w:val="0"/>
        <w:spacing w:before="200" w:line-rule="auto"/>
        <w:ind w:firstLine="540"/>
        <w:jc w:val="both"/>
      </w:pPr>
      <w:r>
        <w:rPr>
          <w:sz w:val="20"/>
        </w:rPr>
        <w:t xml:space="preserve">5. Государства-члены ЕС обеспечивают предоставление общественности информации о доступе к административным или судебным процедурам рассмотрения.</w:t>
      </w:r>
    </w:p>
    <w:p>
      <w:pPr>
        <w:pStyle w:val="0"/>
        <w:ind w:firstLine="540"/>
        <w:jc w:val="both"/>
      </w:pPr>
      <w:r>
        <w:rPr>
          <w:sz w:val="20"/>
        </w:rPr>
      </w:r>
    </w:p>
    <w:bookmarkStart w:id="557" w:name="P557"/>
    <w:bookmarkEnd w:id="557"/>
    <w:p>
      <w:pPr>
        <w:pStyle w:val="0"/>
        <w:outlineLvl w:val="2"/>
        <w:jc w:val="center"/>
      </w:pPr>
      <w:r>
        <w:rPr>
          <w:sz w:val="20"/>
        </w:rPr>
        <w:t xml:space="preserve">Статья 26</w:t>
      </w:r>
    </w:p>
    <w:p>
      <w:pPr>
        <w:pStyle w:val="0"/>
        <w:jc w:val="center"/>
      </w:pPr>
      <w:r>
        <w:rPr>
          <w:sz w:val="20"/>
        </w:rPr>
      </w:r>
    </w:p>
    <w:p>
      <w:pPr>
        <w:pStyle w:val="0"/>
        <w:jc w:val="center"/>
      </w:pPr>
      <w:r>
        <w:rPr>
          <w:sz w:val="20"/>
        </w:rPr>
        <w:t xml:space="preserve">Трансграничное воздействие</w:t>
      </w:r>
    </w:p>
    <w:p>
      <w:pPr>
        <w:pStyle w:val="0"/>
        <w:jc w:val="center"/>
      </w:pPr>
      <w:r>
        <w:rPr>
          <w:sz w:val="20"/>
        </w:rPr>
      </w:r>
    </w:p>
    <w:bookmarkStart w:id="561" w:name="P561"/>
    <w:bookmarkEnd w:id="561"/>
    <w:p>
      <w:pPr>
        <w:pStyle w:val="0"/>
        <w:ind w:firstLine="540"/>
        <w:jc w:val="both"/>
      </w:pPr>
      <w:r>
        <w:rPr>
          <w:sz w:val="20"/>
        </w:rPr>
        <w:t xml:space="preserve">1. В случае если государство-член ЕС осознает, что функционирование установки может оказать значительное негативное воздействие на окружающую среду другого государства-члена ЕС или, по запросу последнего, государство-член ЕС, на территории которого подано заявление на выдачу разрешения в соответствии со </w:t>
      </w:r>
      <w:hyperlink w:history="0" w:anchor="P239" w:tooltip="Статья 4">
        <w:r>
          <w:rPr>
            <w:sz w:val="20"/>
            <w:color w:val="0000ff"/>
          </w:rPr>
          <w:t xml:space="preserve">статьей 4</w:t>
        </w:r>
      </w:hyperlink>
      <w:r>
        <w:rPr>
          <w:sz w:val="20"/>
        </w:rPr>
        <w:t xml:space="preserve"> или </w:t>
      </w:r>
      <w:hyperlink w:history="0" w:anchor="P445" w:tooltip="2. Государства-члены ЕС принимают необходимые меры, гарантирующие, что оператор вносит запланированные существенные изменения только при наличии разрешения, выданного в соответствии с настоящей Директивой.">
        <w:r>
          <w:rPr>
            <w:sz w:val="20"/>
            <w:color w:val="0000ff"/>
          </w:rPr>
          <w:t xml:space="preserve">статьей 20 (2)</w:t>
        </w:r>
      </w:hyperlink>
      <w:r>
        <w:rPr>
          <w:sz w:val="20"/>
        </w:rPr>
        <w:t xml:space="preserve"> настоящей Директивы, направляет другому государству-члену ЕС любую информацию, требуемую или подлежащую предоставлению в соответствии с </w:t>
      </w:r>
      <w:hyperlink w:history="0" w:anchor="P1484" w:tooltip="УЧАСТИЕ ОБЩЕСТВЕННОСТИ В ПРИНЯТИИ РЕШЕНИЙ">
        <w:r>
          <w:rPr>
            <w:sz w:val="20"/>
            <w:color w:val="0000ff"/>
          </w:rPr>
          <w:t xml:space="preserve">Приложением IV</w:t>
        </w:r>
      </w:hyperlink>
      <w:r>
        <w:rPr>
          <w:sz w:val="20"/>
        </w:rPr>
        <w:t xml:space="preserve"> к настоящей Директиве, одновременно с предоставлением такой информации общественности.</w:t>
      </w:r>
    </w:p>
    <w:bookmarkStart w:id="562" w:name="P562"/>
    <w:bookmarkEnd w:id="562"/>
    <w:p>
      <w:pPr>
        <w:pStyle w:val="0"/>
        <w:spacing w:before="200" w:line-rule="auto"/>
        <w:ind w:firstLine="540"/>
        <w:jc w:val="both"/>
      </w:pPr>
      <w:r>
        <w:rPr>
          <w:sz w:val="20"/>
        </w:rPr>
        <w:t xml:space="preserve">Такая информация служит основой проведения любых консультаций в рамках двусторонних отношений между государствами-членами ЕС на взаимной и эквивалентной основе.</w:t>
      </w:r>
    </w:p>
    <w:bookmarkStart w:id="563" w:name="P563"/>
    <w:bookmarkEnd w:id="563"/>
    <w:p>
      <w:pPr>
        <w:pStyle w:val="0"/>
        <w:spacing w:before="200" w:line-rule="auto"/>
        <w:ind w:firstLine="540"/>
        <w:jc w:val="both"/>
      </w:pPr>
      <w:r>
        <w:rPr>
          <w:sz w:val="20"/>
        </w:rPr>
        <w:t xml:space="preserve">2. В рамках двусторонних отношений государства-члены ЕС гарантируют, что в случаях, указанных в </w:t>
      </w:r>
      <w:hyperlink w:history="0" w:anchor="P561" w:tooltip="1. В случае если государство-член ЕС осознает, что функционирование установки может оказать значительное негативное воздействие на окружающую среду другого государства-члена ЕС или, по запросу последнего, государство-член ЕС, на территории которого подано заявление на выдачу разрешения в соответствии со статьей 4 или статьей 20 (2) настоящей Директивы, направляет другому государству-члену ЕС любую информацию, требуемую или подлежащую предоставлению в соответствии с Приложением IV к настоящей Директиве, о...">
        <w:r>
          <w:rPr>
            <w:sz w:val="20"/>
            <w:color w:val="0000ff"/>
          </w:rPr>
          <w:t xml:space="preserve">параграфе 1 настоящей статьи</w:t>
        </w:r>
      </w:hyperlink>
      <w:r>
        <w:rPr>
          <w:sz w:val="20"/>
        </w:rPr>
        <w:t xml:space="preserve">, заявления представляются общественности государства-члена ЕС, на окружающую среду которого оказывается воздействие. Заявления представляются в течение срока, достаточного для реализации права членов общественности предлагать свои комментарии до принятия решения компетентным органом.</w:t>
      </w:r>
    </w:p>
    <w:p>
      <w:pPr>
        <w:pStyle w:val="0"/>
        <w:spacing w:before="200" w:line-rule="auto"/>
        <w:ind w:firstLine="540"/>
        <w:jc w:val="both"/>
      </w:pPr>
      <w:r>
        <w:rPr>
          <w:sz w:val="20"/>
        </w:rPr>
        <w:t xml:space="preserve">3. Итоги консультаций, проведенных в соответствии с параграфами 1 и </w:t>
      </w:r>
      <w:hyperlink w:history="0" w:anchor="P563" w:tooltip="2. В рамках двусторонних отношений государства-члены ЕС гарантируют, что в случаях, указанных в параграфе 1 настоящей статьи, заявления представляются общественности государства-члена ЕС, на окружающую среду которого оказывается воздействие. Заявления представляются в течение срока, достаточного для реализации права членов общественности предлагать свои комментарии до принятия решения компетентным органом.">
        <w:r>
          <w:rPr>
            <w:sz w:val="20"/>
            <w:color w:val="0000ff"/>
          </w:rPr>
          <w:t xml:space="preserve">2 настоящей статьи</w:t>
        </w:r>
      </w:hyperlink>
      <w:r>
        <w:rPr>
          <w:sz w:val="20"/>
        </w:rPr>
        <w:t xml:space="preserve">, должны быть учтены при принятии компетентным органом решения относительно заявления.</w:t>
      </w:r>
    </w:p>
    <w:p>
      <w:pPr>
        <w:pStyle w:val="0"/>
        <w:spacing w:before="200" w:line-rule="auto"/>
        <w:ind w:firstLine="540"/>
        <w:jc w:val="both"/>
      </w:pPr>
      <w:r>
        <w:rPr>
          <w:sz w:val="20"/>
        </w:rPr>
        <w:t xml:space="preserve">4. Компетентный орган информирует государство-член ЕС, с которым проводились консультации в соответствии с </w:t>
      </w:r>
      <w:hyperlink w:history="0" w:anchor="P561" w:tooltip="1. В случае если государство-член ЕС осознает, что функционирование установки может оказать значительное негативное воздействие на окружающую среду другого государства-члена ЕС или, по запросу последнего, государство-член ЕС, на территории которого подано заявление на выдачу разрешения в соответствии со статьей 4 или статьей 20 (2) настоящей Директивы, направляет другому государству-члену ЕС любую информацию, требуемую или подлежащую предоставлению в соответствии с Приложением IV к настоящей Директиве, о...">
        <w:r>
          <w:rPr>
            <w:sz w:val="20"/>
            <w:color w:val="0000ff"/>
          </w:rPr>
          <w:t xml:space="preserve">параграфом 1 настоящей статьи</w:t>
        </w:r>
      </w:hyperlink>
      <w:r>
        <w:rPr>
          <w:sz w:val="20"/>
        </w:rPr>
        <w:t xml:space="preserve">, о принятом по заявлению решении и направляет ему информацию, указанную в </w:t>
      </w:r>
      <w:hyperlink w:history="0" w:anchor="P530" w:tooltip="2. При принятии решения о выдаче, пересмотре или изменении разрешения компетентные органы предоставляют общественности следующую информацию, в том числе, в отношении пунктов &quot;a&quot;, &quot;b&quot; и &quot;f&quot;, через Интернет:">
        <w:r>
          <w:rPr>
            <w:sz w:val="20"/>
            <w:color w:val="0000ff"/>
          </w:rPr>
          <w:t xml:space="preserve">статье 24 (2)</w:t>
        </w:r>
      </w:hyperlink>
      <w:r>
        <w:rPr>
          <w:sz w:val="20"/>
        </w:rPr>
        <w:t xml:space="preserve"> настоящей Директивы. Такое государство-член ЕС принимает необходимые меры по обеспечению надлежащего предоставления этой информации заинтересованным членам общественности на своей территории.</w:t>
      </w:r>
    </w:p>
    <w:p>
      <w:pPr>
        <w:pStyle w:val="0"/>
        <w:ind w:firstLine="540"/>
        <w:jc w:val="both"/>
      </w:pPr>
      <w:r>
        <w:rPr>
          <w:sz w:val="20"/>
        </w:rPr>
      </w:r>
    </w:p>
    <w:bookmarkStart w:id="567" w:name="P567"/>
    <w:bookmarkEnd w:id="567"/>
    <w:p>
      <w:pPr>
        <w:pStyle w:val="0"/>
        <w:outlineLvl w:val="2"/>
        <w:jc w:val="center"/>
      </w:pPr>
      <w:r>
        <w:rPr>
          <w:sz w:val="20"/>
        </w:rPr>
        <w:t xml:space="preserve">Статья 27</w:t>
      </w:r>
    </w:p>
    <w:p>
      <w:pPr>
        <w:pStyle w:val="0"/>
        <w:jc w:val="center"/>
      </w:pPr>
      <w:r>
        <w:rPr>
          <w:sz w:val="20"/>
        </w:rPr>
      </w:r>
    </w:p>
    <w:p>
      <w:pPr>
        <w:pStyle w:val="0"/>
        <w:jc w:val="center"/>
      </w:pPr>
      <w:r>
        <w:rPr>
          <w:sz w:val="20"/>
        </w:rPr>
        <w:t xml:space="preserve">Развивающиеся технологии</w:t>
      </w:r>
    </w:p>
    <w:p>
      <w:pPr>
        <w:pStyle w:val="0"/>
        <w:jc w:val="center"/>
      </w:pPr>
      <w:r>
        <w:rPr>
          <w:sz w:val="20"/>
        </w:rPr>
      </w:r>
    </w:p>
    <w:p>
      <w:pPr>
        <w:pStyle w:val="0"/>
        <w:ind w:firstLine="540"/>
        <w:jc w:val="both"/>
      </w:pPr>
      <w:r>
        <w:rPr>
          <w:sz w:val="20"/>
        </w:rPr>
        <w:t xml:space="preserve">1. Государства-члены ЕС при необходимости содействуют развитию и применению новых технологий, в частности, технологий, указанных в справочниках BAT.</w:t>
      </w:r>
    </w:p>
    <w:p>
      <w:pPr>
        <w:pStyle w:val="0"/>
        <w:spacing w:before="200" w:line-rule="auto"/>
        <w:ind w:firstLine="540"/>
        <w:jc w:val="both"/>
      </w:pPr>
      <w:r>
        <w:rPr>
          <w:sz w:val="20"/>
        </w:rPr>
        <w:t xml:space="preserve">2. Европейская комиссия разрабатывает рекомендации в помощь государствам-членам ЕС в оказании содействия развитию и применению развивающихся технологий, как предусмотрено параграфом 1 настоящей статьи.</w:t>
      </w:r>
    </w:p>
    <w:p>
      <w:pPr>
        <w:pStyle w:val="0"/>
        <w:ind w:firstLine="540"/>
        <w:jc w:val="both"/>
      </w:pPr>
      <w:r>
        <w:rPr>
          <w:sz w:val="20"/>
        </w:rPr>
      </w:r>
    </w:p>
    <w:bookmarkStart w:id="574" w:name="P574"/>
    <w:bookmarkEnd w:id="574"/>
    <w:p>
      <w:pPr>
        <w:pStyle w:val="0"/>
        <w:outlineLvl w:val="1"/>
        <w:jc w:val="center"/>
      </w:pPr>
      <w:r>
        <w:rPr>
          <w:sz w:val="20"/>
        </w:rPr>
        <w:t xml:space="preserve">Глава III. СПЕЦИАЛЬНЫЕ ПОЛОЖЕНИЯ ДЛЯ ЗАВОДОВ ПО СЖИГАНИЮ</w:t>
      </w:r>
    </w:p>
    <w:p>
      <w:pPr>
        <w:pStyle w:val="0"/>
        <w:jc w:val="center"/>
      </w:pPr>
      <w:r>
        <w:rPr>
          <w:sz w:val="20"/>
        </w:rPr>
      </w:r>
    </w:p>
    <w:bookmarkStart w:id="576" w:name="P576"/>
    <w:bookmarkEnd w:id="576"/>
    <w:p>
      <w:pPr>
        <w:pStyle w:val="0"/>
        <w:outlineLvl w:val="2"/>
        <w:jc w:val="center"/>
      </w:pPr>
      <w:r>
        <w:rPr>
          <w:sz w:val="20"/>
        </w:rPr>
        <w:t xml:space="preserve">Статья 28</w:t>
      </w:r>
    </w:p>
    <w:p>
      <w:pPr>
        <w:pStyle w:val="0"/>
        <w:jc w:val="center"/>
      </w:pPr>
      <w:r>
        <w:rPr>
          <w:sz w:val="20"/>
        </w:rPr>
      </w:r>
    </w:p>
    <w:p>
      <w:pPr>
        <w:pStyle w:val="0"/>
        <w:jc w:val="center"/>
      </w:pPr>
      <w:r>
        <w:rPr>
          <w:sz w:val="20"/>
        </w:rPr>
        <w:t xml:space="preserve">Сфера применения</w:t>
      </w:r>
    </w:p>
    <w:p>
      <w:pPr>
        <w:pStyle w:val="0"/>
        <w:jc w:val="center"/>
      </w:pPr>
      <w:r>
        <w:rPr>
          <w:sz w:val="20"/>
        </w:rPr>
      </w:r>
    </w:p>
    <w:bookmarkStart w:id="580" w:name="P580"/>
    <w:bookmarkEnd w:id="580"/>
    <w:p>
      <w:pPr>
        <w:pStyle w:val="0"/>
        <w:ind w:firstLine="540"/>
        <w:jc w:val="both"/>
      </w:pPr>
      <w:r>
        <w:rPr>
          <w:sz w:val="20"/>
        </w:rPr>
        <w:t xml:space="preserve">Настоящая глава применяется по отношению к заводам по сжиганию, совокупная номинальная тепловая мощность которых составляет 50 MW или выше независимо от вида используемого топлива.</w:t>
      </w:r>
    </w:p>
    <w:bookmarkStart w:id="581" w:name="P581"/>
    <w:bookmarkEnd w:id="581"/>
    <w:p>
      <w:pPr>
        <w:pStyle w:val="0"/>
        <w:spacing w:before="200" w:line-rule="auto"/>
        <w:ind w:firstLine="540"/>
        <w:jc w:val="both"/>
      </w:pPr>
      <w:r>
        <w:rPr>
          <w:sz w:val="20"/>
        </w:rPr>
        <w:t xml:space="preserve">Настоящая глава не применяется по отношению к следующим заводам по сжиганию:</w:t>
      </w:r>
    </w:p>
    <w:bookmarkStart w:id="582" w:name="P582"/>
    <w:bookmarkEnd w:id="582"/>
    <w:p>
      <w:pPr>
        <w:pStyle w:val="0"/>
        <w:spacing w:before="200" w:line-rule="auto"/>
        <w:ind w:firstLine="540"/>
        <w:jc w:val="both"/>
      </w:pPr>
      <w:r>
        <w:rPr>
          <w:sz w:val="20"/>
        </w:rPr>
        <w:t xml:space="preserve">a) заводам, где продукты сгорания используются непосредственно для отопления, сушки или иной обработки объектов или материалов;</w:t>
      </w:r>
    </w:p>
    <w:p>
      <w:pPr>
        <w:pStyle w:val="0"/>
        <w:spacing w:before="200" w:line-rule="auto"/>
        <w:ind w:firstLine="540"/>
        <w:jc w:val="both"/>
      </w:pPr>
      <w:r>
        <w:rPr>
          <w:sz w:val="20"/>
        </w:rPr>
        <w:t xml:space="preserve">b) заводам по обработке продуктов сгорания, предназначенным для очистки газообразных отходов путем сжигания, которые не эксплуатируются как независимые заводы по сжиганию;</w:t>
      </w:r>
    </w:p>
    <w:p>
      <w:pPr>
        <w:pStyle w:val="0"/>
        <w:spacing w:before="200" w:line-rule="auto"/>
        <w:ind w:firstLine="540"/>
        <w:jc w:val="both"/>
      </w:pPr>
      <w:r>
        <w:rPr>
          <w:sz w:val="20"/>
        </w:rPr>
        <w:t xml:space="preserve">c) сооружениям для регенерации катализаторов каталитического крекинга;</w:t>
      </w:r>
    </w:p>
    <w:p>
      <w:pPr>
        <w:pStyle w:val="0"/>
        <w:spacing w:before="200" w:line-rule="auto"/>
        <w:ind w:firstLine="540"/>
        <w:jc w:val="both"/>
      </w:pPr>
      <w:r>
        <w:rPr>
          <w:sz w:val="20"/>
        </w:rPr>
        <w:t xml:space="preserve">d) сооружениям для преобразования сероводорода в серу;</w:t>
      </w:r>
    </w:p>
    <w:p>
      <w:pPr>
        <w:pStyle w:val="0"/>
        <w:spacing w:before="200" w:line-rule="auto"/>
        <w:ind w:firstLine="540"/>
        <w:jc w:val="both"/>
      </w:pPr>
      <w:r>
        <w:rPr>
          <w:sz w:val="20"/>
        </w:rPr>
        <w:t xml:space="preserve">e) реакторам, используемым в химической промышленности;</w:t>
      </w:r>
    </w:p>
    <w:p>
      <w:pPr>
        <w:pStyle w:val="0"/>
        <w:spacing w:before="200" w:line-rule="auto"/>
        <w:ind w:firstLine="540"/>
        <w:jc w:val="both"/>
      </w:pPr>
      <w:r>
        <w:rPr>
          <w:sz w:val="20"/>
        </w:rPr>
        <w:t xml:space="preserve">f) топкам аккумуляторов коксовых печей;</w:t>
      </w:r>
    </w:p>
    <w:p>
      <w:pPr>
        <w:pStyle w:val="0"/>
        <w:spacing w:before="200" w:line-rule="auto"/>
        <w:ind w:firstLine="540"/>
        <w:jc w:val="both"/>
      </w:pPr>
      <w:r>
        <w:rPr>
          <w:sz w:val="20"/>
        </w:rPr>
        <w:t xml:space="preserve">g) куперсам;</w:t>
      </w:r>
    </w:p>
    <w:p>
      <w:pPr>
        <w:pStyle w:val="0"/>
        <w:spacing w:before="200" w:line-rule="auto"/>
        <w:ind w:firstLine="540"/>
        <w:jc w:val="both"/>
      </w:pPr>
      <w:r>
        <w:rPr>
          <w:sz w:val="20"/>
        </w:rPr>
        <w:t xml:space="preserve">h) любым техническим аппаратам, используемым в двигателях транспортных средств, кораблей или летательных аппаратов;</w:t>
      </w:r>
    </w:p>
    <w:bookmarkStart w:id="590" w:name="P590"/>
    <w:bookmarkEnd w:id="590"/>
    <w:p>
      <w:pPr>
        <w:pStyle w:val="0"/>
        <w:spacing w:before="200" w:line-rule="auto"/>
        <w:ind w:firstLine="540"/>
        <w:jc w:val="both"/>
      </w:pPr>
      <w:r>
        <w:rPr>
          <w:sz w:val="20"/>
        </w:rPr>
        <w:t xml:space="preserve">i) газовым турбинам и газовым двигателям, используемым на морских платформах;</w:t>
      </w:r>
    </w:p>
    <w:bookmarkStart w:id="591" w:name="P591"/>
    <w:bookmarkEnd w:id="591"/>
    <w:p>
      <w:pPr>
        <w:pStyle w:val="0"/>
        <w:spacing w:before="200" w:line-rule="auto"/>
        <w:ind w:firstLine="540"/>
        <w:jc w:val="both"/>
      </w:pPr>
      <w:r>
        <w:rPr>
          <w:sz w:val="20"/>
        </w:rPr>
        <w:t xml:space="preserve">j) заводам, которые используют в качестве топлива любые твердые или жидкие отходы, за исключением отходов, указанных в </w:t>
      </w:r>
      <w:hyperlink w:history="0" w:anchor="P197" w:tooltip="b) следующие отходы:">
        <w:r>
          <w:rPr>
            <w:sz w:val="20"/>
            <w:color w:val="0000ff"/>
          </w:rPr>
          <w:t xml:space="preserve">пункте "b" пункта 31 статьи 3</w:t>
        </w:r>
      </w:hyperlink>
      <w:r>
        <w:rPr>
          <w:sz w:val="20"/>
        </w:rPr>
        <w:t xml:space="preserve"> настоящей Директивы.</w:t>
      </w:r>
    </w:p>
    <w:p>
      <w:pPr>
        <w:pStyle w:val="0"/>
        <w:ind w:firstLine="540"/>
        <w:jc w:val="both"/>
      </w:pPr>
      <w:r>
        <w:rPr>
          <w:sz w:val="20"/>
        </w:rPr>
      </w:r>
    </w:p>
    <w:bookmarkStart w:id="593" w:name="P593"/>
    <w:bookmarkEnd w:id="593"/>
    <w:p>
      <w:pPr>
        <w:pStyle w:val="0"/>
        <w:outlineLvl w:val="2"/>
        <w:jc w:val="center"/>
      </w:pPr>
      <w:r>
        <w:rPr>
          <w:sz w:val="20"/>
        </w:rPr>
        <w:t xml:space="preserve">Статья 29</w:t>
      </w:r>
    </w:p>
    <w:p>
      <w:pPr>
        <w:pStyle w:val="0"/>
        <w:jc w:val="center"/>
      </w:pPr>
      <w:r>
        <w:rPr>
          <w:sz w:val="20"/>
        </w:rPr>
      </w:r>
    </w:p>
    <w:p>
      <w:pPr>
        <w:pStyle w:val="0"/>
        <w:jc w:val="center"/>
      </w:pPr>
      <w:r>
        <w:rPr>
          <w:sz w:val="20"/>
        </w:rPr>
        <w:t xml:space="preserve">Правила объединения заводов по сжиганию</w:t>
      </w:r>
    </w:p>
    <w:p>
      <w:pPr>
        <w:pStyle w:val="0"/>
        <w:jc w:val="center"/>
      </w:pPr>
      <w:r>
        <w:rPr>
          <w:sz w:val="20"/>
        </w:rPr>
      </w:r>
    </w:p>
    <w:bookmarkStart w:id="597" w:name="P597"/>
    <w:bookmarkEnd w:id="597"/>
    <w:p>
      <w:pPr>
        <w:pStyle w:val="0"/>
        <w:ind w:firstLine="540"/>
        <w:jc w:val="both"/>
      </w:pPr>
      <w:r>
        <w:rPr>
          <w:sz w:val="20"/>
        </w:rPr>
        <w:t xml:space="preserve">1. В случае если газообразные отходы двух или нескольких отдельных заводов по сжиганию выбрасываются через общую дымовую трубу, комбинация, образуемая такими заводами, рассматривается как единый завод по сжиганию, а их мощности складываются в целях исчисления совокупной номинальной тепловой мощности.</w:t>
      </w:r>
    </w:p>
    <w:bookmarkStart w:id="598" w:name="P598"/>
    <w:bookmarkEnd w:id="598"/>
    <w:p>
      <w:pPr>
        <w:pStyle w:val="0"/>
        <w:spacing w:before="200" w:line-rule="auto"/>
        <w:ind w:firstLine="540"/>
        <w:jc w:val="both"/>
      </w:pPr>
      <w:r>
        <w:rPr>
          <w:sz w:val="20"/>
        </w:rPr>
        <w:t xml:space="preserve">2. В случае если два или более отдельных завода по сжиганию, разрешение на которые было впервые выдано 1 июля 1987 г. или позднее, или операторы которых подали полностью оформленное заявление на выдачу разрешения в указанный день или позднее, установлены таким образом, что, принимая во внимание технический и экономический факторы, их газообразные отходы могут, по мнению компетентных органов, выбрасываться через общую дымовую трубу, комбинация, образуемая такими установками, рассматривается как единый завод по сжиганию, а их мощности складываются в целях исчисления совокупной номинальной тепловой мощности.</w:t>
      </w:r>
    </w:p>
    <w:bookmarkStart w:id="599" w:name="P599"/>
    <w:bookmarkEnd w:id="599"/>
    <w:p>
      <w:pPr>
        <w:pStyle w:val="0"/>
        <w:spacing w:before="200" w:line-rule="auto"/>
        <w:ind w:firstLine="540"/>
        <w:jc w:val="both"/>
      </w:pPr>
      <w:r>
        <w:rPr>
          <w:sz w:val="20"/>
        </w:rPr>
        <w:t xml:space="preserve">3. В целях исчисления совокупной номинальной тепловой мощности комбинации заводов по сжиганию, указанной в </w:t>
      </w:r>
      <w:hyperlink w:history="0" w:anchor="P597" w:tooltip="1. В случае если газообразные отходы двух или нескольких отдельных заводов по сжиганию выбрасываются через общую дымовую трубу, комбинация, образуемая такими заводами, рассматривается как единый завод по сжиганию, а их мощности складываются в целях исчисления совокупной номинальной тепловой мощности.">
        <w:r>
          <w:rPr>
            <w:sz w:val="20"/>
            <w:color w:val="0000ff"/>
          </w:rPr>
          <w:t xml:space="preserve">параграфах 1</w:t>
        </w:r>
      </w:hyperlink>
      <w:r>
        <w:rPr>
          <w:sz w:val="20"/>
        </w:rPr>
        <w:t xml:space="preserve"> и </w:t>
      </w:r>
      <w:hyperlink w:history="0" w:anchor="P598" w:tooltip="2. В случае если два или более отдельных завода по сжиганию, разрешение на которые было впервые выдано 1 июля 1987 г. или позднее, или операторы которых подали полностью оформленное заявление на выдачу разрешения в указанный день или позднее, установлены таким образом, что, принимая во внимание технический и экономический факторы, их газообразные отходы могут, по мнению компетентных органов, выбрасываться через общую дымовую трубу, комбинация, образуемая такими установками, рассматривается как единый зав...">
        <w:r>
          <w:rPr>
            <w:sz w:val="20"/>
            <w:color w:val="0000ff"/>
          </w:rPr>
          <w:t xml:space="preserve">2 настоящей статьи</w:t>
        </w:r>
      </w:hyperlink>
      <w:r>
        <w:rPr>
          <w:sz w:val="20"/>
        </w:rPr>
        <w:t xml:space="preserve">, не принимаются во внимание отдельные заводы по сжиганию с номинальной тепловой мощностью менее 15 MW.</w:t>
      </w:r>
    </w:p>
    <w:p>
      <w:pPr>
        <w:pStyle w:val="0"/>
        <w:ind w:firstLine="540"/>
        <w:jc w:val="both"/>
      </w:pPr>
      <w:r>
        <w:rPr>
          <w:sz w:val="20"/>
        </w:rPr>
      </w:r>
    </w:p>
    <w:p>
      <w:pPr>
        <w:pStyle w:val="0"/>
        <w:outlineLvl w:val="2"/>
        <w:jc w:val="center"/>
      </w:pPr>
      <w:r>
        <w:rPr>
          <w:sz w:val="20"/>
        </w:rPr>
        <w:t xml:space="preserve">Статья 30</w:t>
      </w:r>
    </w:p>
    <w:p>
      <w:pPr>
        <w:pStyle w:val="0"/>
        <w:jc w:val="center"/>
      </w:pPr>
      <w:r>
        <w:rPr>
          <w:sz w:val="20"/>
        </w:rPr>
      </w:r>
    </w:p>
    <w:p>
      <w:pPr>
        <w:pStyle w:val="0"/>
        <w:jc w:val="center"/>
      </w:pPr>
      <w:r>
        <w:rPr>
          <w:sz w:val="20"/>
        </w:rPr>
        <w:t xml:space="preserve">Пороговые значения выбросов</w:t>
      </w:r>
    </w:p>
    <w:p>
      <w:pPr>
        <w:pStyle w:val="0"/>
        <w:jc w:val="center"/>
      </w:pPr>
      <w:r>
        <w:rPr>
          <w:sz w:val="20"/>
        </w:rPr>
      </w:r>
    </w:p>
    <w:bookmarkStart w:id="605" w:name="P605"/>
    <w:bookmarkEnd w:id="605"/>
    <w:p>
      <w:pPr>
        <w:pStyle w:val="0"/>
        <w:ind w:firstLine="540"/>
        <w:jc w:val="both"/>
      </w:pPr>
      <w:r>
        <w:rPr>
          <w:sz w:val="20"/>
        </w:rPr>
        <w:t xml:space="preserve">1. Выброс газообразных отходов от заводов по сжиганию осуществляется под контролем через дымовую трубу, содержащую один или несколько газоходов, высота которых исчисляется таким образом, чтобы обеспечить защиту здоровья человека и окружающей среды.</w:t>
      </w:r>
    </w:p>
    <w:bookmarkStart w:id="606" w:name="P606"/>
    <w:bookmarkEnd w:id="606"/>
    <w:p>
      <w:pPr>
        <w:pStyle w:val="0"/>
        <w:spacing w:before="200" w:line-rule="auto"/>
        <w:ind w:firstLine="540"/>
        <w:jc w:val="both"/>
      </w:pPr>
      <w:r>
        <w:rPr>
          <w:sz w:val="20"/>
        </w:rPr>
        <w:t xml:space="preserve">2. Все разрешения на установки, содержащие заводы по сжиганию, разрешение на которые были выданы до 7 января 2013 г., или операторы которых подали полностью оформленное заявление на выдачу разрешения до указанной даты, при условии, что такие заводы введены в эксплуатацию не позднее 7 января 2014 г., должны содержать условия, гарантирующие, что выбросы в воздух от таких заводов не превышают пороговые значения выбросов, установленные в </w:t>
      </w:r>
      <w:hyperlink w:history="0" w:anchor="P1510" w:tooltip="Часть 1">
        <w:r>
          <w:rPr>
            <w:sz w:val="20"/>
            <w:color w:val="0000ff"/>
          </w:rPr>
          <w:t xml:space="preserve">части 1</w:t>
        </w:r>
      </w:hyperlink>
      <w:r>
        <w:rPr>
          <w:sz w:val="20"/>
        </w:rPr>
        <w:t xml:space="preserve"> Приложения V к настоящей Директиве.</w:t>
      </w:r>
    </w:p>
    <w:p>
      <w:pPr>
        <w:pStyle w:val="0"/>
        <w:spacing w:before="200" w:line-rule="auto"/>
        <w:ind w:firstLine="540"/>
        <w:jc w:val="both"/>
      </w:pPr>
      <w:r>
        <w:rPr>
          <w:sz w:val="20"/>
        </w:rPr>
        <w:t xml:space="preserve">Все разрешения на установки, содержащие заводы по сжиганию, освобожденные в соответствии со </w:t>
      </w:r>
      <w:hyperlink w:history="0" r:id="rId49"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20"/>
            <w:color w:val="0000ff"/>
          </w:rPr>
          <w:t xml:space="preserve">статьей 4 (4)</w:t>
        </w:r>
      </w:hyperlink>
      <w:r>
        <w:rPr>
          <w:sz w:val="20"/>
        </w:rPr>
        <w:t xml:space="preserve"> Директивы 2001/80/ЕС от соблюдения пороговых значений выбросов и введенные в эксплуатацию после 1 января 2016 г., должны содержать условия, гарантирующие, что выбросы в воздух от таких заводов не превышают пороговые значения выбросов, установленные в </w:t>
      </w:r>
      <w:hyperlink w:history="0" w:anchor="P1771" w:tooltip="Часть 2">
        <w:r>
          <w:rPr>
            <w:sz w:val="20"/>
            <w:color w:val="0000ff"/>
          </w:rPr>
          <w:t xml:space="preserve">части 2</w:t>
        </w:r>
      </w:hyperlink>
      <w:r>
        <w:rPr>
          <w:sz w:val="20"/>
        </w:rPr>
        <w:t xml:space="preserve"> Приложения V к настоящей Директиве.</w:t>
      </w:r>
    </w:p>
    <w:bookmarkStart w:id="608" w:name="P608"/>
    <w:bookmarkEnd w:id="608"/>
    <w:p>
      <w:pPr>
        <w:pStyle w:val="0"/>
        <w:spacing w:before="200" w:line-rule="auto"/>
        <w:ind w:firstLine="540"/>
        <w:jc w:val="both"/>
      </w:pPr>
      <w:r>
        <w:rPr>
          <w:sz w:val="20"/>
        </w:rPr>
        <w:t xml:space="preserve">3. Все разрешения на установки, содержащие заводы по сжиганию, на которые не распространяется действие </w:t>
      </w:r>
      <w:hyperlink w:history="0" w:anchor="P606" w:tooltip="2. Все разрешения на установки, содержащие заводы по сжиганию, разрешение на которые были выданы до 7 января 2013 г., или операторы которых подали полностью оформленное заявление на выдачу разрешения до указанной даты, при условии, что такие заводы введены в эксплуатацию не позднее 7 января 2014 г., должны содержать условия, гарантирующие, что выбросы в воздух от таких заводов не превышают пороговые значения выбросов, установленные в части 1 Приложения V к настоящей Директиве.">
        <w:r>
          <w:rPr>
            <w:sz w:val="20"/>
            <w:color w:val="0000ff"/>
          </w:rPr>
          <w:t xml:space="preserve">параграфа 2 настоящей статьи</w:t>
        </w:r>
      </w:hyperlink>
      <w:r>
        <w:rPr>
          <w:sz w:val="20"/>
        </w:rPr>
        <w:t xml:space="preserve">, должны содержать условия, гарантирующие, что выбросы в воздух от таких заводов не превышают пороговые значения выбросов, установленные в части 2 Приложения V к настоящей Директиве.</w:t>
      </w:r>
    </w:p>
    <w:bookmarkStart w:id="609" w:name="P609"/>
    <w:bookmarkEnd w:id="609"/>
    <w:p>
      <w:pPr>
        <w:pStyle w:val="0"/>
        <w:spacing w:before="200" w:line-rule="auto"/>
        <w:ind w:firstLine="540"/>
        <w:jc w:val="both"/>
      </w:pPr>
      <w:r>
        <w:rPr>
          <w:sz w:val="20"/>
        </w:rPr>
        <w:t xml:space="preserve">4. Пороговые значения выбросов, установленные в </w:t>
      </w:r>
      <w:hyperlink w:history="0" w:anchor="P1510" w:tooltip="Часть 1">
        <w:r>
          <w:rPr>
            <w:sz w:val="20"/>
            <w:color w:val="0000ff"/>
          </w:rPr>
          <w:t xml:space="preserve">частях 1</w:t>
        </w:r>
      </w:hyperlink>
      <w:r>
        <w:rPr>
          <w:sz w:val="20"/>
        </w:rPr>
        <w:t xml:space="preserve"> и </w:t>
      </w:r>
      <w:hyperlink w:history="0" w:anchor="P1771" w:tooltip="Часть 2">
        <w:r>
          <w:rPr>
            <w:sz w:val="20"/>
            <w:color w:val="0000ff"/>
          </w:rPr>
          <w:t xml:space="preserve">2</w:t>
        </w:r>
      </w:hyperlink>
      <w:r>
        <w:rPr>
          <w:sz w:val="20"/>
        </w:rPr>
        <w:t xml:space="preserve"> Приложения V к настоящей Директиве, а также минимальные коэффициенты десульфуризации, установленные в </w:t>
      </w:r>
      <w:hyperlink w:history="0" w:anchor="P1995" w:tooltip="Часть 5">
        <w:r>
          <w:rPr>
            <w:sz w:val="20"/>
            <w:color w:val="0000ff"/>
          </w:rPr>
          <w:t xml:space="preserve">части 5</w:t>
        </w:r>
      </w:hyperlink>
      <w:r>
        <w:rPr>
          <w:sz w:val="20"/>
        </w:rPr>
        <w:t xml:space="preserve"> этого Приложения, применяются к выбросам из каждой дымовой трубы в отношении к совокупной номинальной тепловой мощности всего завода по сжиганию. В случае если, согласно </w:t>
      </w:r>
      <w:hyperlink w:history="0" w:anchor="P1507" w:tooltip="ТЕХНИЧЕСКИЕ ХАРАКТЕРИСТИКИ">
        <w:r>
          <w:rPr>
            <w:sz w:val="20"/>
            <w:color w:val="0000ff"/>
          </w:rPr>
          <w:t xml:space="preserve">Приложению V</w:t>
        </w:r>
      </w:hyperlink>
      <w:r>
        <w:rPr>
          <w:sz w:val="20"/>
        </w:rPr>
        <w:t xml:space="preserve"> к настоящей Директиве, пороговые значения выбросов могут применяться к части завода по сжиганию с ограниченным количеством часов эксплуатации, такие пороговые значения применяются к выбросам от этой части завода, но устанавливаются в отношении к совокупной номинальной тепловой мощности всего завода по сжиганию.</w:t>
      </w:r>
    </w:p>
    <w:bookmarkStart w:id="610" w:name="P610"/>
    <w:bookmarkEnd w:id="610"/>
    <w:p>
      <w:pPr>
        <w:pStyle w:val="0"/>
        <w:spacing w:before="200" w:line-rule="auto"/>
        <w:ind w:firstLine="540"/>
        <w:jc w:val="both"/>
      </w:pPr>
      <w:r>
        <w:rPr>
          <w:sz w:val="20"/>
        </w:rPr>
        <w:t xml:space="preserve">5. Компетентный орган может предоставить частичное отступление от обязательства по соблюдению пороговых значений выбросов, указанных в </w:t>
      </w:r>
      <w:hyperlink w:history="0" w:anchor="P606" w:tooltip="2. Все разрешения на установки, содержащие заводы по сжиганию, разрешение на которые были выданы до 7 января 2013 г., или операторы которых подали полностью оформленное заявление на выдачу разрешения до указанной даты, при условии, что такие заводы введены в эксплуатацию не позднее 7 января 2014 г., должны содержать условия, гарантирующие, что выбросы в воздух от таких заводов не превышают пороговые значения выбросов, установленные в части 1 Приложения V к настоящей Директиве.">
        <w:r>
          <w:rPr>
            <w:sz w:val="20"/>
            <w:color w:val="0000ff"/>
          </w:rPr>
          <w:t xml:space="preserve">параграфах 2</w:t>
        </w:r>
      </w:hyperlink>
      <w:r>
        <w:rPr>
          <w:sz w:val="20"/>
        </w:rPr>
        <w:t xml:space="preserve"> и </w:t>
      </w:r>
      <w:hyperlink w:history="0" w:anchor="P608" w:tooltip="3. Все разрешения на установки, содержащие заводы по сжиганию, на которые не распространяется действие параграфа 2 настоящей статьи, должны содержать условия, гарантирующие, что выбросы в воздух от таких заводов не превышают пороговые значения выбросов, установленные в части 2 Приложения V к настоящей Директиве.">
        <w:r>
          <w:rPr>
            <w:sz w:val="20"/>
            <w:color w:val="0000ff"/>
          </w:rPr>
          <w:t xml:space="preserve">3 настоящей статьи</w:t>
        </w:r>
      </w:hyperlink>
      <w:r>
        <w:rPr>
          <w:sz w:val="20"/>
        </w:rPr>
        <w:t xml:space="preserve">, для диоксида серы на срок не более 6 месяцев. Такое освобождение может касаться заводов по сжиганию, которые обычно используют топливо с низким содержанием серы, в тех случаях, когда оператор не способен соблюдать указанные пороговые значения вследствие сбоев в поставке топлива с низким содержанием серы, вызванных серьезным дефицитом.</w:t>
      </w:r>
    </w:p>
    <w:p>
      <w:pPr>
        <w:pStyle w:val="0"/>
        <w:spacing w:before="200" w:line-rule="auto"/>
        <w:ind w:firstLine="540"/>
        <w:jc w:val="both"/>
      </w:pPr>
      <w:r>
        <w:rPr>
          <w:sz w:val="20"/>
        </w:rPr>
        <w:t xml:space="preserve">Государства-члены ЕС незамедлительно информируют Европейскую комиссию о любом частичном отступлении, предоставленном в соответствии с </w:t>
      </w:r>
      <w:hyperlink w:history="0" w:anchor="P610" w:tooltip="5. Компетентный орган может предоставить частичное отступление от обязательства по соблюдению пороговых значений выбросов, указанных в параграфах 2 и 3 настоящей статьи, для диоксида серы на срок не более 6 месяцев. Такое освобождение может касаться заводов по сжиганию, которые обычно используют топливо с низким содержанием серы, в тех случаях, когда оператор не способен соблюдать указанные пороговые значения вследствие сбоев в поставке топлива с низким содержанием серы, вызванных серьезным дефицитом.">
        <w:r>
          <w:rPr>
            <w:sz w:val="20"/>
            <w:color w:val="0000ff"/>
          </w:rPr>
          <w:t xml:space="preserve">первым подпараграфом</w:t>
        </w:r>
      </w:hyperlink>
      <w:r>
        <w:rPr>
          <w:sz w:val="20"/>
        </w:rPr>
        <w:t xml:space="preserve">.</w:t>
      </w:r>
    </w:p>
    <w:bookmarkStart w:id="612" w:name="P612"/>
    <w:bookmarkEnd w:id="612"/>
    <w:p>
      <w:pPr>
        <w:pStyle w:val="0"/>
        <w:spacing w:before="200" w:line-rule="auto"/>
        <w:ind w:firstLine="540"/>
        <w:jc w:val="both"/>
      </w:pPr>
      <w:r>
        <w:rPr>
          <w:sz w:val="20"/>
        </w:rPr>
        <w:t xml:space="preserve">6. Компетентный орган может предоставить частичное отступление от обязательства по соблюдению пороговых значений выбросов, указанных в </w:t>
      </w:r>
      <w:hyperlink w:history="0" w:anchor="P606" w:tooltip="2. Все разрешения на установки, содержащие заводы по сжиганию, разрешение на которые были выданы до 7 января 2013 г., или операторы которых подали полностью оформленное заявление на выдачу разрешения до указанной даты, при условии, что такие заводы введены в эксплуатацию не позднее 7 января 2014 г., должны содержать условия, гарантирующие, что выбросы в воздух от таких заводов не превышают пороговые значения выбросов, установленные в части 1 Приложения V к настоящей Директиве.">
        <w:r>
          <w:rPr>
            <w:sz w:val="20"/>
            <w:color w:val="0000ff"/>
          </w:rPr>
          <w:t xml:space="preserve">параграфах 2</w:t>
        </w:r>
      </w:hyperlink>
      <w:r>
        <w:rPr>
          <w:sz w:val="20"/>
        </w:rPr>
        <w:t xml:space="preserve"> и </w:t>
      </w:r>
      <w:hyperlink w:history="0" w:anchor="P608" w:tooltip="3. Все разрешения на установки, содержащие заводы по сжиганию, на которые не распространяется действие параграфа 2 настоящей статьи, должны содержать условия, гарантирующие, что выбросы в воздух от таких заводов не превышают пороговые значения выбросов, установленные в части 2 Приложения V к настоящей Директиве.">
        <w:r>
          <w:rPr>
            <w:sz w:val="20"/>
            <w:color w:val="0000ff"/>
          </w:rPr>
          <w:t xml:space="preserve">3 настоящей статьи</w:t>
        </w:r>
      </w:hyperlink>
      <w:r>
        <w:rPr>
          <w:sz w:val="20"/>
        </w:rPr>
        <w:t xml:space="preserve">, в тех случаях, когда заводу по сжиганию, который использует исключительно газообразное топливо, приходится переходить на использование других видов топлива вследствие сбоев в поставке газа и по этой причине устанавливать оборудование по очистке отработанных газов. Срок такого освобождения не должен превышать 10 дней, за исключением случаев первоочередной необходимости по обеспечению поставки энергии.</w:t>
      </w:r>
    </w:p>
    <w:p>
      <w:pPr>
        <w:pStyle w:val="0"/>
        <w:spacing w:before="200" w:line-rule="auto"/>
        <w:ind w:firstLine="540"/>
        <w:jc w:val="both"/>
      </w:pPr>
      <w:r>
        <w:rPr>
          <w:sz w:val="20"/>
        </w:rPr>
        <w:t xml:space="preserve">Оператор незамедлительно информирует компетентный орган о возникновении событий, указанных в </w:t>
      </w:r>
      <w:hyperlink w:history="0" w:anchor="P612" w:tooltip="6. Компетентный орган может предоставить частичное отступление от обязательства по соблюдению пороговых значений выбросов, указанных в параграфах 2 и 3 настоящей статьи, в тех случаях, когда заводу по сжиганию, который использует исключительно газообразное топливо, приходится переходить на использование других видов топлива вследствие сбоев в поставке газа и по этой причине устанавливать оборудование по очистке отработанных газов. Срок такого освобождения не должен превышать 10 дней, за исключением случа...">
        <w:r>
          <w:rPr>
            <w:sz w:val="20"/>
            <w:color w:val="0000ff"/>
          </w:rPr>
          <w:t xml:space="preserve">первом подпараграфе</w:t>
        </w:r>
      </w:hyperlink>
      <w:r>
        <w:rPr>
          <w:sz w:val="20"/>
        </w:rPr>
        <w:t xml:space="preserve">.</w:t>
      </w:r>
    </w:p>
    <w:p>
      <w:pPr>
        <w:pStyle w:val="0"/>
        <w:spacing w:before="200" w:line-rule="auto"/>
        <w:ind w:firstLine="540"/>
        <w:jc w:val="both"/>
      </w:pPr>
      <w:r>
        <w:rPr>
          <w:sz w:val="20"/>
        </w:rPr>
        <w:t xml:space="preserve">Государства-члены ЕС незамедлительно информируют Европейскую комиссию о любом частичном отступлении, предоставленном в соответствии с первым подпараграфом.</w:t>
      </w:r>
    </w:p>
    <w:bookmarkStart w:id="615" w:name="P615"/>
    <w:bookmarkEnd w:id="615"/>
    <w:p>
      <w:pPr>
        <w:pStyle w:val="0"/>
        <w:spacing w:before="200" w:line-rule="auto"/>
        <w:ind w:firstLine="540"/>
        <w:jc w:val="both"/>
      </w:pPr>
      <w:r>
        <w:rPr>
          <w:sz w:val="20"/>
        </w:rPr>
        <w:t xml:space="preserve">7. При расширении завода по сжиганию пороговые значения выбросов, установленные в </w:t>
      </w:r>
      <w:hyperlink w:history="0" w:anchor="P1771" w:tooltip="Часть 2">
        <w:r>
          <w:rPr>
            <w:sz w:val="20"/>
            <w:color w:val="0000ff"/>
          </w:rPr>
          <w:t xml:space="preserve">части 2</w:t>
        </w:r>
      </w:hyperlink>
      <w:r>
        <w:rPr>
          <w:sz w:val="20"/>
        </w:rPr>
        <w:t xml:space="preserve"> Приложения V к настоящей Директиве, применяются к части, подвергшейся изменению, и устанавливаются в отношении к совокупной номинальной тепловой мощности всего завода по сжиганию. При изменениях завода по сжиганию, имеющих последствия для окружающей среды и оказывающих влияние на часть завода с номинальной тепловой мощностью 50 MW или более, пороговые значения выбросов, установленные в части 2 Приложения V к настоящей Директиве, применяются к измененной части завода в отношении к совокупной номинальной тепловой мощности всего завода по сжиганию.</w:t>
      </w:r>
    </w:p>
    <w:bookmarkStart w:id="616" w:name="P616"/>
    <w:bookmarkEnd w:id="616"/>
    <w:p>
      <w:pPr>
        <w:pStyle w:val="0"/>
        <w:spacing w:before="200" w:line-rule="auto"/>
        <w:ind w:firstLine="540"/>
        <w:jc w:val="both"/>
      </w:pPr>
      <w:r>
        <w:rPr>
          <w:sz w:val="20"/>
        </w:rPr>
        <w:t xml:space="preserve">8. Пороговые значения выбросов, установленные в </w:t>
      </w:r>
      <w:hyperlink w:history="0" w:anchor="P1510" w:tooltip="Часть 1">
        <w:r>
          <w:rPr>
            <w:sz w:val="20"/>
            <w:color w:val="0000ff"/>
          </w:rPr>
          <w:t xml:space="preserve">частях 1</w:t>
        </w:r>
      </w:hyperlink>
      <w:r>
        <w:rPr>
          <w:sz w:val="20"/>
        </w:rPr>
        <w:t xml:space="preserve"> и </w:t>
      </w:r>
      <w:hyperlink w:history="0" w:anchor="P1771" w:tooltip="Часть 2">
        <w:r>
          <w:rPr>
            <w:sz w:val="20"/>
            <w:color w:val="0000ff"/>
          </w:rPr>
          <w:t xml:space="preserve">2</w:t>
        </w:r>
      </w:hyperlink>
      <w:r>
        <w:rPr>
          <w:sz w:val="20"/>
        </w:rPr>
        <w:t xml:space="preserve"> Приложения V к настоящей Директиве, не применяются к следующим заводам по сжиганию:</w:t>
      </w:r>
    </w:p>
    <w:p>
      <w:pPr>
        <w:pStyle w:val="0"/>
        <w:spacing w:before="200" w:line-rule="auto"/>
        <w:ind w:firstLine="540"/>
        <w:jc w:val="both"/>
      </w:pPr>
      <w:r>
        <w:rPr>
          <w:sz w:val="20"/>
        </w:rPr>
        <w:t xml:space="preserve">a) приводимым в действие дизельными двигателями;</w:t>
      </w:r>
    </w:p>
    <w:p>
      <w:pPr>
        <w:pStyle w:val="0"/>
        <w:spacing w:before="200" w:line-rule="auto"/>
        <w:ind w:firstLine="540"/>
        <w:jc w:val="both"/>
      </w:pPr>
      <w:r>
        <w:rPr>
          <w:sz w:val="20"/>
        </w:rPr>
        <w:t xml:space="preserve">b) котлам-утилизаторам в составе установок для производства целлюлозы.</w:t>
      </w:r>
    </w:p>
    <w:bookmarkStart w:id="619" w:name="P619"/>
    <w:bookmarkEnd w:id="619"/>
    <w:p>
      <w:pPr>
        <w:pStyle w:val="0"/>
        <w:spacing w:before="200" w:line-rule="auto"/>
        <w:ind w:firstLine="540"/>
        <w:jc w:val="both"/>
      </w:pPr>
      <w:r>
        <w:rPr>
          <w:sz w:val="20"/>
        </w:rPr>
        <w:t xml:space="preserve">9. В отношении следующих видов заводов по сжиганию Европейская комиссия на основе наилучших доступных технологий пересматривает необходимость установления пороговых значений выбросов на уровне Европейского Союза, а также необходимость изменения пороговых значений выбросов, установленных в </w:t>
      </w:r>
      <w:hyperlink w:history="0" w:anchor="P1507" w:tooltip="ТЕХНИЧЕСКИЕ ХАРАКТЕРИСТИКИ">
        <w:r>
          <w:rPr>
            <w:sz w:val="20"/>
            <w:color w:val="0000ff"/>
          </w:rPr>
          <w:t xml:space="preserve">Приложении V</w:t>
        </w:r>
      </w:hyperlink>
      <w:r>
        <w:rPr>
          <w:sz w:val="20"/>
        </w:rPr>
        <w:t xml:space="preserve"> к настоящей Директиве:</w:t>
      </w:r>
    </w:p>
    <w:p>
      <w:pPr>
        <w:pStyle w:val="0"/>
        <w:spacing w:before="200" w:line-rule="auto"/>
        <w:ind w:firstLine="540"/>
        <w:jc w:val="both"/>
      </w:pPr>
      <w:r>
        <w:rPr>
          <w:sz w:val="20"/>
        </w:rPr>
        <w:t xml:space="preserve">a) заводов по сжиганию, указанных в </w:t>
      </w:r>
      <w:hyperlink w:history="0" w:anchor="P616" w:tooltip="8. Пороговые значения выбросов, установленные в частях 1 и 2 Приложения V к настоящей Директиве, не применяются к следующим заводам по сжиганию:">
        <w:r>
          <w:rPr>
            <w:sz w:val="20"/>
            <w:color w:val="0000ff"/>
          </w:rPr>
          <w:t xml:space="preserve">параграфе 8 настоящей статьи</w:t>
        </w:r>
      </w:hyperlink>
      <w:r>
        <w:rPr>
          <w:sz w:val="20"/>
        </w:rPr>
        <w:t xml:space="preserve">;</w:t>
      </w:r>
    </w:p>
    <w:p>
      <w:pPr>
        <w:pStyle w:val="0"/>
        <w:spacing w:before="200" w:line-rule="auto"/>
        <w:ind w:firstLine="540"/>
        <w:jc w:val="both"/>
      </w:pPr>
      <w:r>
        <w:rPr>
          <w:sz w:val="20"/>
        </w:rPr>
        <w:t xml:space="preserve">b) заводов по сжиганию в составе очистительных заводов, использующих в качестве топлива дистилляцию и конверсию остатков перегонки сырой нефти для собственных нужд отдельно или совместно с другими видами топлива, с учетом особенностей энергетической системы очистительных заводов;</w:t>
      </w:r>
    </w:p>
    <w:p>
      <w:pPr>
        <w:pStyle w:val="0"/>
        <w:spacing w:before="200" w:line-rule="auto"/>
        <w:ind w:firstLine="540"/>
        <w:jc w:val="both"/>
      </w:pPr>
      <w:r>
        <w:rPr>
          <w:sz w:val="20"/>
        </w:rPr>
        <w:t xml:space="preserve">c) заводов по сжиганию, использующих в качестве топлива газы, за исключением природного газа;</w:t>
      </w:r>
    </w:p>
    <w:p>
      <w:pPr>
        <w:pStyle w:val="0"/>
        <w:spacing w:before="200" w:line-rule="auto"/>
        <w:ind w:firstLine="540"/>
        <w:jc w:val="both"/>
      </w:pPr>
      <w:r>
        <w:rPr>
          <w:sz w:val="20"/>
        </w:rPr>
        <w:t xml:space="preserve">d) заводов по сжиганию в составе химических установок, использующих жидкие остатки производства в качестве некоммерческого топлива для собственных нужд.</w:t>
      </w:r>
    </w:p>
    <w:p>
      <w:pPr>
        <w:pStyle w:val="0"/>
        <w:spacing w:before="200" w:line-rule="auto"/>
        <w:ind w:firstLine="540"/>
        <w:jc w:val="both"/>
      </w:pPr>
      <w:r>
        <w:rPr>
          <w:sz w:val="20"/>
        </w:rPr>
        <w:t xml:space="preserve">Европейская комиссия не позднее 31 декабря 2013 г. представляет Европейскому парламенту и Совету ЕС отчет о результатах такого пересмотра, сопровождаемый, по необходимости, законодательным предложением.</w:t>
      </w:r>
    </w:p>
    <w:p>
      <w:pPr>
        <w:pStyle w:val="0"/>
        <w:ind w:firstLine="540"/>
        <w:jc w:val="both"/>
      </w:pPr>
      <w:r>
        <w:rPr>
          <w:sz w:val="20"/>
        </w:rPr>
      </w:r>
    </w:p>
    <w:bookmarkStart w:id="626" w:name="P626"/>
    <w:bookmarkEnd w:id="626"/>
    <w:p>
      <w:pPr>
        <w:pStyle w:val="0"/>
        <w:outlineLvl w:val="2"/>
        <w:jc w:val="center"/>
      </w:pPr>
      <w:r>
        <w:rPr>
          <w:sz w:val="20"/>
        </w:rPr>
        <w:t xml:space="preserve">Статья 31</w:t>
      </w:r>
    </w:p>
    <w:p>
      <w:pPr>
        <w:pStyle w:val="0"/>
        <w:jc w:val="center"/>
      </w:pPr>
      <w:r>
        <w:rPr>
          <w:sz w:val="20"/>
        </w:rPr>
      </w:r>
    </w:p>
    <w:p>
      <w:pPr>
        <w:pStyle w:val="0"/>
        <w:jc w:val="center"/>
      </w:pPr>
      <w:r>
        <w:rPr>
          <w:sz w:val="20"/>
        </w:rPr>
        <w:t xml:space="preserve">Коэффициенты десульфуризации</w:t>
      </w:r>
    </w:p>
    <w:p>
      <w:pPr>
        <w:pStyle w:val="0"/>
        <w:jc w:val="center"/>
      </w:pPr>
      <w:r>
        <w:rPr>
          <w:sz w:val="20"/>
        </w:rPr>
      </w:r>
    </w:p>
    <w:p>
      <w:pPr>
        <w:pStyle w:val="0"/>
        <w:ind w:firstLine="540"/>
        <w:jc w:val="both"/>
      </w:pPr>
      <w:r>
        <w:rPr>
          <w:sz w:val="20"/>
        </w:rPr>
        <w:t xml:space="preserve">1. В отношении заводов по сжиганию, использующих местное твердое топливо, которые не могут соблюдать пороговые значения выбросов для диоксида серы, указанные в </w:t>
      </w:r>
      <w:hyperlink w:history="0" w:anchor="P606" w:tooltip="2. Все разрешения на установки, содержащие заводы по сжиганию, разрешение на которые были выданы до 7 января 2013 г., или операторы которых подали полностью оформленное заявление на выдачу разрешения до указанной даты, при условии, что такие заводы введены в эксплуатацию не позднее 7 января 2014 г., должны содержать условия, гарантирующие, что выбросы в воздух от таких заводов не превышают пороговые значения выбросов, установленные в части 1 Приложения V к настоящей Директиве.">
        <w:r>
          <w:rPr>
            <w:sz w:val="20"/>
            <w:color w:val="0000ff"/>
          </w:rPr>
          <w:t xml:space="preserve">статье 30 (2)</w:t>
        </w:r>
      </w:hyperlink>
      <w:r>
        <w:rPr>
          <w:sz w:val="20"/>
        </w:rPr>
        <w:t xml:space="preserve"> и </w:t>
      </w:r>
      <w:hyperlink w:history="0" w:anchor="P608" w:tooltip="3. Все разрешения на установки, содержащие заводы по сжиганию, на которые не распространяется действие параграфа 2 настоящей статьи, должны содержать условия, гарантирующие, что выбросы в воздух от таких заводов не превышают пороговые значения выбросов, установленные в части 2 Приложения V к настоящей Директиве.">
        <w:r>
          <w:rPr>
            <w:sz w:val="20"/>
            <w:color w:val="0000ff"/>
          </w:rPr>
          <w:t xml:space="preserve">(3)</w:t>
        </w:r>
      </w:hyperlink>
      <w:r>
        <w:rPr>
          <w:sz w:val="20"/>
        </w:rPr>
        <w:t xml:space="preserve"> настоящей Директивы, в силу характеристик такого топлива, государства-члены ЕС вправе применять минимальные коэффициенты десульфуризации, установленные в </w:t>
      </w:r>
      <w:hyperlink w:history="0" w:anchor="P1995" w:tooltip="Часть 5">
        <w:r>
          <w:rPr>
            <w:sz w:val="20"/>
            <w:color w:val="0000ff"/>
          </w:rPr>
          <w:t xml:space="preserve">части 5</w:t>
        </w:r>
      </w:hyperlink>
      <w:r>
        <w:rPr>
          <w:sz w:val="20"/>
        </w:rPr>
        <w:t xml:space="preserve"> Приложения V к настоящей Директиве, в соответствии с нормами о соблюдении, согласно </w:t>
      </w:r>
      <w:hyperlink w:history="0" w:anchor="P2036" w:tooltip="Часть 6">
        <w:r>
          <w:rPr>
            <w:sz w:val="20"/>
            <w:color w:val="0000ff"/>
          </w:rPr>
          <w:t xml:space="preserve">части 6</w:t>
        </w:r>
      </w:hyperlink>
      <w:r>
        <w:rPr>
          <w:sz w:val="20"/>
        </w:rPr>
        <w:t xml:space="preserve"> указанного Приложения, а также после предварительной проверки компетентным органом технического отчета, предусмотренного </w:t>
      </w:r>
      <w:hyperlink w:history="0" w:anchor="P1115" w:tooltip="a) в отношении заводов по сжиганию, к которым применяется статья 31 настоящей Директивы, - содержание серы в используемом местном твердом топливе и достигнутые коэффициенты десульфуризации в среднем за каждый месяц. За первый год применения статьи 31 настоящей Директивы необходимо также предоставить техническое обоснование невозможности соблюдения пороговых значений выбросов, указанных в статье 30 (2) и (3) настоящей Директивы;">
        <w:r>
          <w:rPr>
            <w:sz w:val="20"/>
            <w:color w:val="0000ff"/>
          </w:rPr>
          <w:t xml:space="preserve">статьей 72 (4) "a"</w:t>
        </w:r>
      </w:hyperlink>
      <w:r>
        <w:rPr>
          <w:sz w:val="20"/>
        </w:rPr>
        <w:t xml:space="preserve"> настоящей Директивы.</w:t>
      </w:r>
    </w:p>
    <w:p>
      <w:pPr>
        <w:pStyle w:val="1"/>
        <w:spacing w:before="200" w:line-rule="auto"/>
        <w:jc w:val="both"/>
      </w:pPr>
      <w:r>
        <w:rPr>
          <w:sz w:val="20"/>
        </w:rPr>
        <w:t xml:space="preserve">    2.  В  отношении  заводов  по  сжиганию,  использующих  местное твердое</w:t>
      </w:r>
    </w:p>
    <w:p>
      <w:pPr>
        <w:pStyle w:val="1"/>
        <w:jc w:val="both"/>
      </w:pPr>
      <w:r>
        <w:rPr>
          <w:sz w:val="20"/>
        </w:rPr>
        <w:t xml:space="preserve">топливо,  которые  осуществляют  сжигание  отходов  и  не  могут  соблюдать</w:t>
      </w:r>
    </w:p>
    <w:p>
      <w:pPr>
        <w:pStyle w:val="1"/>
        <w:jc w:val="both"/>
      </w:pPr>
      <w:r>
        <w:rPr>
          <w:sz w:val="20"/>
        </w:rPr>
        <w:t xml:space="preserve">значения  C        для диоксида серы, указанные в </w:t>
      </w:r>
      <w:hyperlink w:history="0" w:anchor="P2380" w:tooltip="    3.1.   Значение   C       ,   выраженное  как  среднесуточное  значение">
        <w:r>
          <w:rPr>
            <w:sz w:val="20"/>
            <w:color w:val="0000ff"/>
          </w:rPr>
          <w:t xml:space="preserve">пунктах 3.1</w:t>
        </w:r>
      </w:hyperlink>
      <w:r>
        <w:rPr>
          <w:sz w:val="20"/>
        </w:rPr>
        <w:t xml:space="preserve"> или </w:t>
      </w:r>
      <w:hyperlink w:history="0" w:anchor="P2436" w:tooltip="    3.2.   Значение   C       ,   выраженное  как  среднесуточное  значение">
        <w:r>
          <w:rPr>
            <w:sz w:val="20"/>
            <w:color w:val="0000ff"/>
          </w:rPr>
          <w:t xml:space="preserve">3.2 части</w:t>
        </w:r>
      </w:hyperlink>
    </w:p>
    <w:p>
      <w:pPr>
        <w:pStyle w:val="1"/>
        <w:jc w:val="both"/>
      </w:pPr>
      <w:r>
        <w:rPr>
          <w:sz w:val="20"/>
        </w:rPr>
        <w:t xml:space="preserve">           процесс</w:t>
      </w:r>
    </w:p>
    <w:p>
      <w:pPr>
        <w:pStyle w:val="1"/>
        <w:jc w:val="both"/>
      </w:pPr>
      <w:r>
        <w:rPr>
          <w:sz w:val="20"/>
        </w:rPr>
        <w:t xml:space="preserve">4  Приложения  VI  к  настоящей  Директиве,  в  силу характеристик местного</w:t>
      </w:r>
    </w:p>
    <w:p>
      <w:pPr>
        <w:pStyle w:val="1"/>
        <w:jc w:val="both"/>
      </w:pPr>
      <w:r>
        <w:rPr>
          <w:sz w:val="20"/>
        </w:rPr>
        <w:t xml:space="preserve">твердого   топлива,   государства-члены  ЕС  вправе  применять  минимальные</w:t>
      </w:r>
    </w:p>
    <w:p>
      <w:pPr>
        <w:pStyle w:val="1"/>
        <w:jc w:val="both"/>
      </w:pPr>
      <w:r>
        <w:rPr>
          <w:sz w:val="20"/>
        </w:rPr>
        <w:t xml:space="preserve">коэффициенты  десульфуризации,  установленные  в  </w:t>
      </w:r>
      <w:hyperlink w:history="0" w:anchor="P1995" w:tooltip="Часть 5">
        <w:r>
          <w:rPr>
            <w:sz w:val="20"/>
            <w:color w:val="0000ff"/>
          </w:rPr>
          <w:t xml:space="preserve">части  5</w:t>
        </w:r>
      </w:hyperlink>
      <w:r>
        <w:rPr>
          <w:sz w:val="20"/>
        </w:rPr>
        <w:t xml:space="preserve">  Приложения  V к</w:t>
      </w:r>
    </w:p>
    <w:p>
      <w:pPr>
        <w:pStyle w:val="1"/>
        <w:jc w:val="both"/>
      </w:pPr>
      <w:r>
        <w:rPr>
          <w:sz w:val="20"/>
        </w:rPr>
        <w:t xml:space="preserve">настоящей  Директиве, в соответствии с нормами о соблюдении, согласно части</w:t>
      </w:r>
    </w:p>
    <w:p>
      <w:pPr>
        <w:pStyle w:val="1"/>
        <w:jc w:val="both"/>
      </w:pPr>
      <w:hyperlink w:history="0" w:anchor="P2036" w:tooltip="Часть 6">
        <w:r>
          <w:rPr>
            <w:sz w:val="20"/>
            <w:color w:val="0000ff"/>
          </w:rPr>
          <w:t xml:space="preserve">6</w:t>
        </w:r>
      </w:hyperlink>
      <w:r>
        <w:rPr>
          <w:sz w:val="20"/>
        </w:rPr>
        <w:t xml:space="preserve">   указанного  Приложения.  В  случае  применения  государством-членом  ЕС</w:t>
      </w:r>
    </w:p>
    <w:p>
      <w:pPr>
        <w:pStyle w:val="1"/>
        <w:jc w:val="both"/>
      </w:pPr>
      <w:r>
        <w:rPr>
          <w:sz w:val="20"/>
        </w:rPr>
        <w:t xml:space="preserve">настоящего  параграфа,  значение  C      ,  указанное  в  </w:t>
      </w:r>
      <w:hyperlink w:history="0" w:anchor="P2267" w:tooltip="1. В случае если общее пороговое значение выбросов C не определено в таблице, предусмотренной настоящей частью, применяется следующая формула (правило смешивания).">
        <w:r>
          <w:rPr>
            <w:sz w:val="20"/>
            <w:color w:val="0000ff"/>
          </w:rPr>
          <w:t xml:space="preserve">пункте  1 части 4</w:t>
        </w:r>
      </w:hyperlink>
    </w:p>
    <w:p>
      <w:pPr>
        <w:pStyle w:val="1"/>
        <w:jc w:val="both"/>
      </w:pPr>
      <w:r>
        <w:rPr>
          <w:sz w:val="20"/>
        </w:rPr>
        <w:t xml:space="preserve">                                   отходы                    3</w:t>
      </w:r>
    </w:p>
    <w:p>
      <w:pPr>
        <w:pStyle w:val="1"/>
        <w:jc w:val="both"/>
      </w:pPr>
      <w:r>
        <w:rPr>
          <w:sz w:val="20"/>
        </w:rPr>
        <w:t xml:space="preserve">Приложения VI к настоящей Директиве, считается равным 0 mg/Nm .</w:t>
      </w:r>
    </w:p>
    <w:p>
      <w:pPr>
        <w:pStyle w:val="0"/>
        <w:ind w:firstLine="540"/>
        <w:jc w:val="both"/>
      </w:pPr>
      <w:r>
        <w:rPr>
          <w:sz w:val="20"/>
        </w:rPr>
        <w:t xml:space="preserve">3. Европейская комиссия не позднее 31 декабря 2019 г. пересматривает возможность применения минимальных коэффициентов десульфуризации, установленных в </w:t>
      </w:r>
      <w:hyperlink w:history="0" w:anchor="P1995" w:tooltip="Часть 5">
        <w:r>
          <w:rPr>
            <w:sz w:val="20"/>
            <w:color w:val="0000ff"/>
          </w:rPr>
          <w:t xml:space="preserve">части 5</w:t>
        </w:r>
      </w:hyperlink>
      <w:r>
        <w:rPr>
          <w:sz w:val="20"/>
        </w:rPr>
        <w:t xml:space="preserve"> Приложения V к настоящей Директиве, с учетом, в частности, наилучших доступных технологий и выгод, полученных от сокращения выбросов диоксида серы.</w:t>
      </w:r>
    </w:p>
    <w:p>
      <w:pPr>
        <w:pStyle w:val="0"/>
        <w:jc w:val="center"/>
      </w:pPr>
      <w:r>
        <w:rPr>
          <w:sz w:val="20"/>
        </w:rPr>
      </w:r>
    </w:p>
    <w:bookmarkStart w:id="645" w:name="P645"/>
    <w:bookmarkEnd w:id="645"/>
    <w:p>
      <w:pPr>
        <w:pStyle w:val="0"/>
        <w:outlineLvl w:val="2"/>
        <w:jc w:val="center"/>
      </w:pPr>
      <w:r>
        <w:rPr>
          <w:sz w:val="20"/>
        </w:rPr>
        <w:t xml:space="preserve">Статья 32</w:t>
      </w:r>
    </w:p>
    <w:p>
      <w:pPr>
        <w:pStyle w:val="0"/>
        <w:jc w:val="center"/>
      </w:pPr>
      <w:r>
        <w:rPr>
          <w:sz w:val="20"/>
        </w:rPr>
      </w:r>
    </w:p>
    <w:p>
      <w:pPr>
        <w:pStyle w:val="0"/>
        <w:jc w:val="center"/>
      </w:pPr>
      <w:r>
        <w:rPr>
          <w:sz w:val="20"/>
        </w:rPr>
        <w:t xml:space="preserve">Переходный национальный план</w:t>
      </w:r>
    </w:p>
    <w:p>
      <w:pPr>
        <w:pStyle w:val="0"/>
        <w:jc w:val="center"/>
      </w:pPr>
      <w:r>
        <w:rPr>
          <w:sz w:val="20"/>
        </w:rPr>
      </w:r>
    </w:p>
    <w:p>
      <w:pPr>
        <w:pStyle w:val="0"/>
        <w:ind w:firstLine="540"/>
        <w:jc w:val="both"/>
      </w:pPr>
      <w:r>
        <w:rPr>
          <w:sz w:val="20"/>
        </w:rPr>
        <w:t xml:space="preserve">1. С 1 января 2016 г. по 30 июня 2020 г. государства-члены ЕС вправе составлять и реализовывать переходный национальный план в отношении заводов по сжиганию, разрешение на которые было выдано до 27 ноября 2002 г., или операторы которых подали полностью оформленное заявление на выдачу разрешения до указанной даты, при условии, что такие заводы введены в эксплуатацию не позднее 27 ноября 2003 г. Для каждого завода по сжиганию, на которые распространяется план, необходимо указать значения выбросов одного или нескольких из следующих загрязнителей: оксиды азота, диоксид серы и пыль. Для газовых турбин необходимо указать только значения выбросов оксидов азота.</w:t>
      </w:r>
    </w:p>
    <w:p>
      <w:pPr>
        <w:pStyle w:val="0"/>
        <w:spacing w:before="200" w:line-rule="auto"/>
        <w:ind w:firstLine="540"/>
        <w:jc w:val="both"/>
      </w:pPr>
      <w:r>
        <w:rPr>
          <w:sz w:val="20"/>
        </w:rPr>
        <w:t xml:space="preserve">Переходный национальный план не распространяется на следующие виды заводов по сжиганию:</w:t>
      </w:r>
    </w:p>
    <w:p>
      <w:pPr>
        <w:pStyle w:val="0"/>
        <w:spacing w:before="200" w:line-rule="auto"/>
        <w:ind w:firstLine="540"/>
        <w:jc w:val="both"/>
      </w:pPr>
      <w:r>
        <w:rPr>
          <w:sz w:val="20"/>
        </w:rPr>
        <w:t xml:space="preserve">a) заводы, к которым применяется </w:t>
      </w:r>
      <w:hyperlink w:history="0" w:anchor="P672" w:tooltip="1. В период с 1 января 2016 г. по 31 декабря 2023 г. заводы по сжиганию могут быть освобождены от соблюдения пороговых значений выбросов, указанных в статье 30 (2) настоящей Директивы, а также, если применимо, от соблюдения коэффициентов десульфуризации, указанных в статье 31 настоящей Директивы, и от включения их в переходный национальный план в соответствии со статьей 32 настоящей Директивы при соблюдении следующих условий:">
        <w:r>
          <w:rPr>
            <w:sz w:val="20"/>
            <w:color w:val="0000ff"/>
          </w:rPr>
          <w:t xml:space="preserve">статья 33 (1)</w:t>
        </w:r>
      </w:hyperlink>
      <w:r>
        <w:rPr>
          <w:sz w:val="20"/>
        </w:rPr>
        <w:t xml:space="preserve"> настоящей Директивы;</w:t>
      </w:r>
    </w:p>
    <w:p>
      <w:pPr>
        <w:pStyle w:val="0"/>
        <w:spacing w:before="200" w:line-rule="auto"/>
        <w:ind w:firstLine="540"/>
        <w:jc w:val="both"/>
      </w:pPr>
      <w:r>
        <w:rPr>
          <w:sz w:val="20"/>
        </w:rPr>
        <w:t xml:space="preserve">b) заводы в составе очистительных заводов, использующие в качестве топлива низкокалорийные газы от газификации очистных остатков или дистилляцию и конверсию остатков перегонки сырой нефти для собственных нужд отдельно или совместно с другими видами топлива;</w:t>
      </w:r>
    </w:p>
    <w:p>
      <w:pPr>
        <w:pStyle w:val="0"/>
        <w:spacing w:before="200" w:line-rule="auto"/>
        <w:ind w:firstLine="540"/>
        <w:jc w:val="both"/>
      </w:pPr>
      <w:r>
        <w:rPr>
          <w:sz w:val="20"/>
        </w:rPr>
        <w:t xml:space="preserve">c) заводы, к которым применяется </w:t>
      </w:r>
      <w:hyperlink w:history="0" w:anchor="P689" w:tooltip="Статья 35">
        <w:r>
          <w:rPr>
            <w:sz w:val="20"/>
            <w:color w:val="0000ff"/>
          </w:rPr>
          <w:t xml:space="preserve">статья 35</w:t>
        </w:r>
      </w:hyperlink>
      <w:r>
        <w:rPr>
          <w:sz w:val="20"/>
        </w:rPr>
        <w:t xml:space="preserve"> настоящей Директивы;</w:t>
      </w:r>
    </w:p>
    <w:p>
      <w:pPr>
        <w:pStyle w:val="0"/>
        <w:spacing w:before="200" w:line-rule="auto"/>
        <w:ind w:firstLine="540"/>
        <w:jc w:val="both"/>
      </w:pPr>
      <w:r>
        <w:rPr>
          <w:sz w:val="20"/>
        </w:rPr>
        <w:t xml:space="preserve">d) заводы, освобожденные в соответствии со </w:t>
      </w:r>
      <w:hyperlink w:history="0" r:id="rId50"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20"/>
            <w:color w:val="0000ff"/>
          </w:rPr>
          <w:t xml:space="preserve">статьей 4 (4)</w:t>
        </w:r>
      </w:hyperlink>
      <w:r>
        <w:rPr>
          <w:sz w:val="20"/>
        </w:rPr>
        <w:t xml:space="preserve"> Директивы 2001/80/ЕС от соблюдения пороговых значений выбросов.</w:t>
      </w:r>
    </w:p>
    <w:p>
      <w:pPr>
        <w:pStyle w:val="0"/>
        <w:spacing w:before="200" w:line-rule="auto"/>
        <w:ind w:firstLine="540"/>
        <w:jc w:val="both"/>
      </w:pPr>
      <w:r>
        <w:rPr>
          <w:sz w:val="20"/>
        </w:rPr>
        <w:t xml:space="preserve">2. Заводы по сжиганию, на которые распространяется план, могут быть освобождены от соблюдения пороговых значений выбросов, указанных в </w:t>
      </w:r>
      <w:hyperlink w:history="0" w:anchor="P606" w:tooltip="2. Все разрешения на установки, содержащие заводы по сжиганию, разрешение на которые были выданы до 7 января 2013 г., или операторы которых подали полностью оформленное заявление на выдачу разрешения до указанной даты, при условии, что такие заводы введены в эксплуатацию не позднее 7 января 2014 г., должны содержать условия, гарантирующие, что выбросы в воздух от таких заводов не превышают пороговые значения выбросов, установленные в части 1 Приложения V к настоящей Директиве.">
        <w:r>
          <w:rPr>
            <w:sz w:val="20"/>
            <w:color w:val="0000ff"/>
          </w:rPr>
          <w:t xml:space="preserve">статье 30 (2)</w:t>
        </w:r>
      </w:hyperlink>
      <w:r>
        <w:rPr>
          <w:sz w:val="20"/>
        </w:rPr>
        <w:t xml:space="preserve"> настоящей Директивы, для загрязняющих веществ, указанных в плане, или, если применимо, от соблюдения коэффициентов десульфуризации, указанных в </w:t>
      </w:r>
      <w:hyperlink w:history="0" w:anchor="P626" w:tooltip="Статья 31">
        <w:r>
          <w:rPr>
            <w:sz w:val="20"/>
            <w:color w:val="0000ff"/>
          </w:rPr>
          <w:t xml:space="preserve">статье 31</w:t>
        </w:r>
      </w:hyperlink>
      <w:r>
        <w:rPr>
          <w:sz w:val="20"/>
        </w:rPr>
        <w:t xml:space="preserve"> настоящей Директивы.</w:t>
      </w:r>
    </w:p>
    <w:p>
      <w:pPr>
        <w:pStyle w:val="0"/>
        <w:spacing w:before="200" w:line-rule="auto"/>
        <w:ind w:firstLine="540"/>
        <w:jc w:val="both"/>
      </w:pPr>
      <w:r>
        <w:rPr>
          <w:sz w:val="20"/>
        </w:rPr>
        <w:t xml:space="preserve">Пороговые значения выбросов для диоксида серы, оксидов азота и пыли, установленные в разрешении для завода по сжиганию, применимые 31 декабря 2015 г. в соответствии, в частности, с Директивами </w:t>
      </w:r>
      <w:hyperlink w:history="0" r:id="rId51"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20"/>
            <w:color w:val="0000ff"/>
          </w:rPr>
          <w:t xml:space="preserve">2001/80/ЕС</w:t>
        </w:r>
      </w:hyperlink>
      <w:r>
        <w:rPr>
          <w:sz w:val="20"/>
        </w:rPr>
        <w:t xml:space="preserve"> и </w:t>
      </w:r>
      <w:hyperlink w:history="0" r:id="rId52"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20"/>
            <w:color w:val="0000ff"/>
          </w:rPr>
          <w:t xml:space="preserve">2008/1/ЕС</w:t>
        </w:r>
      </w:hyperlink>
      <w:r>
        <w:rPr>
          <w:sz w:val="20"/>
        </w:rPr>
        <w:t xml:space="preserve">, должны, по крайней мере, соблюдаться.</w:t>
      </w:r>
    </w:p>
    <w:p>
      <w:pPr>
        <w:pStyle w:val="0"/>
        <w:spacing w:before="200" w:line-rule="auto"/>
        <w:ind w:firstLine="540"/>
        <w:jc w:val="both"/>
      </w:pPr>
      <w:r>
        <w:rPr>
          <w:sz w:val="20"/>
        </w:rPr>
        <w:t xml:space="preserve">Заводы по сжиганию с совокупной номинальной тепловой мощностью более 500 MW, сжигающие твердое топливо, разрешение на которые было впервые выдано после 1 июля 1987 г., должны соблюдать пороговые значения выбросов для оксидов азота, установленные в </w:t>
      </w:r>
      <w:hyperlink w:history="0" w:anchor="P1510" w:tooltip="Часть 1">
        <w:r>
          <w:rPr>
            <w:sz w:val="20"/>
            <w:color w:val="0000ff"/>
          </w:rPr>
          <w:t xml:space="preserve">части 1</w:t>
        </w:r>
      </w:hyperlink>
      <w:r>
        <w:rPr>
          <w:sz w:val="20"/>
        </w:rPr>
        <w:t xml:space="preserve"> Приложения V к настоящей Директиве.</w:t>
      </w:r>
    </w:p>
    <w:p>
      <w:pPr>
        <w:pStyle w:val="0"/>
        <w:spacing w:before="200" w:line-rule="auto"/>
        <w:ind w:firstLine="540"/>
        <w:jc w:val="both"/>
      </w:pPr>
      <w:r>
        <w:rPr>
          <w:sz w:val="20"/>
        </w:rPr>
        <w:t xml:space="preserve">3. Для каждого загрязняющего вещества, предусмотренного планом, устанавливаются пределы, определяющие максимальное количество выбросов в год от всех заводов, на которые распространяется план, на основе совокупной номинальной тепловой мощности каждого завода на 31 декабря 2010 г., фактического количества часов эксплуатации и используемого топлива в среднем за последние 10 лет эксплуатации, включая 2010 г.</w:t>
      </w:r>
    </w:p>
    <w:p>
      <w:pPr>
        <w:pStyle w:val="0"/>
        <w:spacing w:before="200" w:line-rule="auto"/>
        <w:ind w:firstLine="540"/>
        <w:jc w:val="both"/>
      </w:pPr>
      <w:r>
        <w:rPr>
          <w:sz w:val="20"/>
        </w:rPr>
        <w:t xml:space="preserve">Пределы для 2016 г. исчисляются на основе соответствующих пороговых значений выбросов, установленных в </w:t>
      </w:r>
      <w:hyperlink w:history="0" r:id="rId53"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20"/>
            <w:color w:val="0000ff"/>
          </w:rPr>
          <w:t xml:space="preserve">приложениях III</w:t>
        </w:r>
      </w:hyperlink>
      <w:r>
        <w:rPr>
          <w:sz w:val="20"/>
        </w:rPr>
        <w:t xml:space="preserve"> - </w:t>
      </w:r>
      <w:hyperlink w:history="0" r:id="rId54"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20"/>
            <w:color w:val="0000ff"/>
          </w:rPr>
          <w:t xml:space="preserve">VII</w:t>
        </w:r>
      </w:hyperlink>
      <w:r>
        <w:rPr>
          <w:sz w:val="20"/>
        </w:rPr>
        <w:t xml:space="preserve"> к Директиве 2001/80/ЕС, или, если применимо, на основе коэффициентов десульфуризации, установленных в приложении III к Директиве 2001/80/ЕС. В отношении газовых турбин используются пороговые значения выбросов для оксидов азота, установленные для таких заводов в части B </w:t>
      </w:r>
      <w:hyperlink w:history="0" r:id="rId55"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20"/>
            <w:color w:val="0000ff"/>
          </w:rPr>
          <w:t xml:space="preserve">приложения VI</w:t>
        </w:r>
      </w:hyperlink>
      <w:r>
        <w:rPr>
          <w:sz w:val="20"/>
        </w:rPr>
        <w:t xml:space="preserve"> к Директиве 2001/80/ЕС. Предельные значения для 2019 и 2020 гг. исчисляются на основе соответствующих пороговых значений выбросов, установленных в </w:t>
      </w:r>
      <w:hyperlink w:history="0" w:anchor="P1510" w:tooltip="Часть 1">
        <w:r>
          <w:rPr>
            <w:sz w:val="20"/>
            <w:color w:val="0000ff"/>
          </w:rPr>
          <w:t xml:space="preserve">части 1</w:t>
        </w:r>
      </w:hyperlink>
      <w:r>
        <w:rPr>
          <w:sz w:val="20"/>
        </w:rPr>
        <w:t xml:space="preserve"> Приложения V к настоящей Директиве, или, если применимо, на основе коэффициентов десульфуризации, установленных в </w:t>
      </w:r>
      <w:hyperlink w:history="0" w:anchor="P1995" w:tooltip="Часть 5">
        <w:r>
          <w:rPr>
            <w:sz w:val="20"/>
            <w:color w:val="0000ff"/>
          </w:rPr>
          <w:t xml:space="preserve">части 5</w:t>
        </w:r>
      </w:hyperlink>
      <w:r>
        <w:rPr>
          <w:sz w:val="20"/>
        </w:rPr>
        <w:t xml:space="preserve"> Приложения V к настоящей Директиве. Пределы для 2017 и 2018 гг. устанавливаются с учетом линейного спада предельных значений в период между 2016 и 2019 гг.</w:t>
      </w:r>
    </w:p>
    <w:p>
      <w:pPr>
        <w:pStyle w:val="0"/>
        <w:spacing w:before="200" w:line-rule="auto"/>
        <w:ind w:firstLine="540"/>
        <w:jc w:val="both"/>
      </w:pPr>
      <w:r>
        <w:rPr>
          <w:sz w:val="20"/>
        </w:rPr>
        <w:t xml:space="preserve">В случае если завод, включенный в переходный национальный план, не функционирует или больше не подпадает под действие </w:t>
      </w:r>
      <w:hyperlink w:history="0" w:anchor="P574" w:tooltip="Глава III. СПЕЦИАЛЬНЫЕ ПОЛОЖЕНИЯ ДЛЯ ЗАВОДОВ ПО СЖИГАНИЮ">
        <w:r>
          <w:rPr>
            <w:sz w:val="20"/>
            <w:color w:val="0000ff"/>
          </w:rPr>
          <w:t xml:space="preserve">главы III</w:t>
        </w:r>
      </w:hyperlink>
      <w:r>
        <w:rPr>
          <w:sz w:val="20"/>
        </w:rPr>
        <w:t xml:space="preserve"> настоящей Директивы, это не должно привести к увеличению совокупных выбросов в год от остальных заводов, включенных в план.</w:t>
      </w:r>
    </w:p>
    <w:p>
      <w:pPr>
        <w:pStyle w:val="0"/>
        <w:spacing w:before="200" w:line-rule="auto"/>
        <w:ind w:firstLine="540"/>
        <w:jc w:val="both"/>
      </w:pPr>
      <w:r>
        <w:rPr>
          <w:sz w:val="20"/>
        </w:rPr>
        <w:t xml:space="preserve">4. Переходный национальный план должен содержать положения о мониторинге и системе отчетности, которые соответствуют имплементирующим нормам, установленным в соответствии со </w:t>
      </w:r>
      <w:hyperlink w:history="0" w:anchor="P763" w:tooltip="b) переходных национальных планов, указанных в статье 32 настоящей Директивы, и, в частности, в отношении установления пределов выбросов, соответствующего мониторинга и системы отчетности.">
        <w:r>
          <w:rPr>
            <w:sz w:val="20"/>
            <w:color w:val="0000ff"/>
          </w:rPr>
          <w:t xml:space="preserve">статьей 41 "b"</w:t>
        </w:r>
      </w:hyperlink>
      <w:r>
        <w:rPr>
          <w:sz w:val="20"/>
        </w:rPr>
        <w:t xml:space="preserve"> настоящей Директивы, а также меры, предусмотренные для каждого завода в целях обеспечения своевременного соблюдения ими пороговых значений выбросов, которые начнут применяться с 1 июля 2020 г.</w:t>
      </w:r>
    </w:p>
    <w:p>
      <w:pPr>
        <w:pStyle w:val="0"/>
        <w:spacing w:before="200" w:line-rule="auto"/>
        <w:ind w:firstLine="540"/>
        <w:jc w:val="both"/>
      </w:pPr>
      <w:r>
        <w:rPr>
          <w:sz w:val="20"/>
        </w:rPr>
        <w:t xml:space="preserve">5. Не позднее 1 января 2013 г. государства-члены ЕС направляют свои переходные национальные планы Европейской комиссии.</w:t>
      </w:r>
    </w:p>
    <w:bookmarkStart w:id="663" w:name="P663"/>
    <w:bookmarkEnd w:id="663"/>
    <w:p>
      <w:pPr>
        <w:pStyle w:val="0"/>
        <w:spacing w:before="200" w:line-rule="auto"/>
        <w:ind w:firstLine="540"/>
        <w:jc w:val="both"/>
      </w:pPr>
      <w:r>
        <w:rPr>
          <w:sz w:val="20"/>
        </w:rPr>
        <w:t xml:space="preserve">Европейская комиссия оценивает указанные планы. Если Европейская комиссия в течение 12 месяцев после получения плана не заявит возражений, соответствующее государство-член ЕС считает план утвержденным.</w:t>
      </w:r>
    </w:p>
    <w:p>
      <w:pPr>
        <w:pStyle w:val="0"/>
        <w:spacing w:before="200" w:line-rule="auto"/>
        <w:ind w:firstLine="540"/>
        <w:jc w:val="both"/>
      </w:pPr>
      <w:r>
        <w:rPr>
          <w:sz w:val="20"/>
        </w:rPr>
        <w:t xml:space="preserve">Если Европейская комиссия сочтет, что план не соответствует имплементирующим нормам, установленным в соответствии со </w:t>
      </w:r>
      <w:hyperlink w:history="0" w:anchor="P763" w:tooltip="b) переходных национальных планов, указанных в статье 32 настоящей Директивы, и, в частности, в отношении установления пределов выбросов, соответствующего мониторинга и системы отчетности.">
        <w:r>
          <w:rPr>
            <w:sz w:val="20"/>
            <w:color w:val="0000ff"/>
          </w:rPr>
          <w:t xml:space="preserve">статьей 41 "b"</w:t>
        </w:r>
      </w:hyperlink>
      <w:r>
        <w:rPr>
          <w:sz w:val="20"/>
        </w:rPr>
        <w:t xml:space="preserve"> настоящей Директивы, она уведомляет об этом соответствующее государство-член ЕС. Срок, указанный во </w:t>
      </w:r>
      <w:hyperlink w:history="0" w:anchor="P663" w:tooltip="Европейская комиссия оценивает указанные планы. Если Европейская комиссия в течение 12 месяцев после получения плана не заявит возражений, соответствующее государство-член ЕС считает план утвержденным.">
        <w:r>
          <w:rPr>
            <w:sz w:val="20"/>
            <w:color w:val="0000ff"/>
          </w:rPr>
          <w:t xml:space="preserve">втором подпараграфе</w:t>
        </w:r>
      </w:hyperlink>
      <w:r>
        <w:rPr>
          <w:sz w:val="20"/>
        </w:rPr>
        <w:t xml:space="preserve">, для оценки нового варианта плана, направленного государством-членом ЕС Европейской комиссии, равен 6 месяцам.</w:t>
      </w:r>
    </w:p>
    <w:p>
      <w:pPr>
        <w:pStyle w:val="0"/>
        <w:spacing w:before="200" w:line-rule="auto"/>
        <w:ind w:firstLine="540"/>
        <w:jc w:val="both"/>
      </w:pPr>
      <w:r>
        <w:rPr>
          <w:sz w:val="20"/>
        </w:rPr>
        <w:t xml:space="preserve">6. Государства-члены ЕС информируют Европейскую комиссию о любых последующих изменениях плана.</w:t>
      </w:r>
    </w:p>
    <w:p>
      <w:pPr>
        <w:pStyle w:val="0"/>
        <w:ind w:firstLine="540"/>
        <w:jc w:val="both"/>
      </w:pPr>
      <w:r>
        <w:rPr>
          <w:sz w:val="20"/>
        </w:rPr>
      </w:r>
    </w:p>
    <w:bookmarkStart w:id="667" w:name="P667"/>
    <w:bookmarkEnd w:id="667"/>
    <w:p>
      <w:pPr>
        <w:pStyle w:val="0"/>
        <w:outlineLvl w:val="2"/>
        <w:jc w:val="center"/>
      </w:pPr>
      <w:r>
        <w:rPr>
          <w:sz w:val="20"/>
        </w:rPr>
        <w:t xml:space="preserve">Статья 33</w:t>
      </w:r>
    </w:p>
    <w:p>
      <w:pPr>
        <w:pStyle w:val="0"/>
        <w:jc w:val="center"/>
      </w:pPr>
      <w:r>
        <w:rPr>
          <w:sz w:val="20"/>
        </w:rPr>
      </w:r>
    </w:p>
    <w:p>
      <w:pPr>
        <w:pStyle w:val="0"/>
        <w:jc w:val="center"/>
      </w:pPr>
      <w:r>
        <w:rPr>
          <w:sz w:val="20"/>
        </w:rPr>
        <w:t xml:space="preserve">Частичное отступление, связанное</w:t>
      </w:r>
    </w:p>
    <w:p>
      <w:pPr>
        <w:pStyle w:val="0"/>
        <w:jc w:val="center"/>
      </w:pPr>
      <w:r>
        <w:rPr>
          <w:sz w:val="20"/>
        </w:rPr>
        <w:t xml:space="preserve">с ограниченным сроком эксплуатации</w:t>
      </w:r>
    </w:p>
    <w:p>
      <w:pPr>
        <w:pStyle w:val="0"/>
        <w:jc w:val="center"/>
      </w:pPr>
      <w:r>
        <w:rPr>
          <w:sz w:val="20"/>
        </w:rPr>
      </w:r>
    </w:p>
    <w:bookmarkStart w:id="672" w:name="P672"/>
    <w:bookmarkEnd w:id="672"/>
    <w:p>
      <w:pPr>
        <w:pStyle w:val="0"/>
        <w:ind w:firstLine="540"/>
        <w:jc w:val="both"/>
      </w:pPr>
      <w:r>
        <w:rPr>
          <w:sz w:val="20"/>
        </w:rPr>
        <w:t xml:space="preserve">1. В период с 1 января 2016 г. по 31 декабря 2023 г. заводы по сжиганию могут быть освобождены от соблюдения пороговых значений выбросов, указанных в </w:t>
      </w:r>
      <w:hyperlink w:history="0" w:anchor="P606" w:tooltip="2. Все разрешения на установки, содержащие заводы по сжиганию, разрешение на которые были выданы до 7 января 2013 г., или операторы которых подали полностью оформленное заявление на выдачу разрешения до указанной даты, при условии, что такие заводы введены в эксплуатацию не позднее 7 января 2014 г., должны содержать условия, гарантирующие, что выбросы в воздух от таких заводов не превышают пороговые значения выбросов, установленные в части 1 Приложения V к настоящей Директиве.">
        <w:r>
          <w:rPr>
            <w:sz w:val="20"/>
            <w:color w:val="0000ff"/>
          </w:rPr>
          <w:t xml:space="preserve">статье 30 (2)</w:t>
        </w:r>
      </w:hyperlink>
      <w:r>
        <w:rPr>
          <w:sz w:val="20"/>
        </w:rPr>
        <w:t xml:space="preserve"> настоящей Директивы, а также, если применимо, от соблюдения коэффициентов десульфуризации, указанных в </w:t>
      </w:r>
      <w:hyperlink w:history="0" w:anchor="P626" w:tooltip="Статья 31">
        <w:r>
          <w:rPr>
            <w:sz w:val="20"/>
            <w:color w:val="0000ff"/>
          </w:rPr>
          <w:t xml:space="preserve">статье 31</w:t>
        </w:r>
      </w:hyperlink>
      <w:r>
        <w:rPr>
          <w:sz w:val="20"/>
        </w:rPr>
        <w:t xml:space="preserve"> настоящей Директивы, и от включения их в переходный национальный план в соответствии со </w:t>
      </w:r>
      <w:hyperlink w:history="0" w:anchor="P645" w:tooltip="Статья 32">
        <w:r>
          <w:rPr>
            <w:sz w:val="20"/>
            <w:color w:val="0000ff"/>
          </w:rPr>
          <w:t xml:space="preserve">статьей 32</w:t>
        </w:r>
      </w:hyperlink>
      <w:r>
        <w:rPr>
          <w:sz w:val="20"/>
        </w:rPr>
        <w:t xml:space="preserve"> настоящей Директивы при соблюдении следующих условий:</w:t>
      </w:r>
    </w:p>
    <w:bookmarkStart w:id="673" w:name="P673"/>
    <w:bookmarkEnd w:id="673"/>
    <w:p>
      <w:pPr>
        <w:pStyle w:val="0"/>
        <w:spacing w:before="200" w:line-rule="auto"/>
        <w:ind w:firstLine="540"/>
        <w:jc w:val="both"/>
      </w:pPr>
      <w:r>
        <w:rPr>
          <w:sz w:val="20"/>
        </w:rPr>
        <w:t xml:space="preserve">a) оператор завода по сжиганию путем направления компетентному органу письменного заявления не позднее 1 января 2014 г. обязуется не эксплуатировать завод более 17500 часов, начиная с 1 января 2016 г. и заканчивая не позднее 31 декабря 2023 г.;</w:t>
      </w:r>
    </w:p>
    <w:bookmarkStart w:id="674" w:name="P674"/>
    <w:bookmarkEnd w:id="674"/>
    <w:p>
      <w:pPr>
        <w:pStyle w:val="0"/>
        <w:spacing w:before="200" w:line-rule="auto"/>
        <w:ind w:firstLine="540"/>
        <w:jc w:val="both"/>
      </w:pPr>
      <w:r>
        <w:rPr>
          <w:sz w:val="20"/>
        </w:rPr>
        <w:t xml:space="preserve">b) оператор должен представлять компетентному органу ежегодный отчет о количестве часов эксплуатации с 1 января 2016 г.;</w:t>
      </w:r>
    </w:p>
    <w:p>
      <w:pPr>
        <w:pStyle w:val="0"/>
        <w:spacing w:before="200" w:line-rule="auto"/>
        <w:ind w:firstLine="540"/>
        <w:jc w:val="both"/>
      </w:pPr>
      <w:r>
        <w:rPr>
          <w:sz w:val="20"/>
        </w:rPr>
        <w:t xml:space="preserve">c) пороговые значения выбросов для диоксида серы, оксидов азота и пыли, установленные в разрешении для завода по сжиганию, применимые 31 декабря 2015 г. в соответствии, в частности, с Директивами </w:t>
      </w:r>
      <w:hyperlink w:history="0" r:id="rId56"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20"/>
            <w:color w:val="0000ff"/>
          </w:rPr>
          <w:t xml:space="preserve">2001/80/ЕС</w:t>
        </w:r>
      </w:hyperlink>
      <w:r>
        <w:rPr>
          <w:sz w:val="20"/>
        </w:rPr>
        <w:t xml:space="preserve"> и </w:t>
      </w:r>
      <w:hyperlink w:history="0" r:id="rId57"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20"/>
            <w:color w:val="0000ff"/>
          </w:rPr>
          <w:t xml:space="preserve">2008/1/ЕС</w:t>
        </w:r>
      </w:hyperlink>
      <w:r>
        <w:rPr>
          <w:sz w:val="20"/>
        </w:rPr>
        <w:t xml:space="preserve">, должны, как минимум, соблюдаться в течение оставшегося срока эксплуатации завода. Заводы по сжиганию с совокупной номинальной тепловой мощностью более 500 MW, сжигающие твердое топливо, разрешение на которые было впервые выдано после 1 июля 1987 г., должны соблюдать пороговые значения выбросов для оксидов азота, установленные в </w:t>
      </w:r>
      <w:hyperlink w:history="0" w:anchor="P1510" w:tooltip="Часть 1">
        <w:r>
          <w:rPr>
            <w:sz w:val="20"/>
            <w:color w:val="0000ff"/>
          </w:rPr>
          <w:t xml:space="preserve">части 1</w:t>
        </w:r>
      </w:hyperlink>
      <w:r>
        <w:rPr>
          <w:sz w:val="20"/>
        </w:rPr>
        <w:t xml:space="preserve"> Приложения V к настоящей Директиве;</w:t>
      </w:r>
    </w:p>
    <w:p>
      <w:pPr>
        <w:pStyle w:val="0"/>
        <w:spacing w:before="200" w:line-rule="auto"/>
        <w:ind w:firstLine="540"/>
        <w:jc w:val="both"/>
      </w:pPr>
      <w:r>
        <w:rPr>
          <w:sz w:val="20"/>
        </w:rPr>
        <w:t xml:space="preserve">d) завод по сжиганию не освобожден в соответствии со </w:t>
      </w:r>
      <w:hyperlink w:history="0" r:id="rId58"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20"/>
            <w:color w:val="0000ff"/>
          </w:rPr>
          <w:t xml:space="preserve">статьей 4 (4)</w:t>
        </w:r>
      </w:hyperlink>
      <w:r>
        <w:rPr>
          <w:sz w:val="20"/>
        </w:rPr>
        <w:t xml:space="preserve"> Директивы 2001/80/ЕС от соблюдения пороговых значений выбросов.</w:t>
      </w:r>
    </w:p>
    <w:bookmarkStart w:id="677" w:name="P677"/>
    <w:bookmarkEnd w:id="677"/>
    <w:p>
      <w:pPr>
        <w:pStyle w:val="0"/>
        <w:spacing w:before="200" w:line-rule="auto"/>
        <w:ind w:firstLine="540"/>
        <w:jc w:val="both"/>
      </w:pPr>
      <w:r>
        <w:rPr>
          <w:sz w:val="20"/>
        </w:rPr>
        <w:t xml:space="preserve">2. Не позднее 1 января 2016 г. каждое государство-член ЕС направляет Европейской комиссии список заводов по сжиганию, к которым применяется </w:t>
      </w:r>
      <w:hyperlink w:history="0" w:anchor="P672" w:tooltip="1. В период с 1 января 2016 г. по 31 декабря 2023 г. заводы по сжиганию могут быть освобождены от соблюдения пороговых значений выбросов, указанных в статье 30 (2) настоящей Директивы, а также, если применимо, от соблюдения коэффициентов десульфуризации, указанных в статье 31 настоящей Директивы, и от включения их в переходный национальный план в соответствии со статьей 32 настоящей Директивы при соблюдении следующих условий:">
        <w:r>
          <w:rPr>
            <w:sz w:val="20"/>
            <w:color w:val="0000ff"/>
          </w:rPr>
          <w:t xml:space="preserve">параграф 1 настоящей статьи</w:t>
        </w:r>
      </w:hyperlink>
      <w:r>
        <w:rPr>
          <w:sz w:val="20"/>
        </w:rPr>
        <w:t xml:space="preserve">, в том числе сведения об их совокупной номинальной тепловой мощности, используемых видах топлива, и применимых пороговых значениях выбросов для диоксида серы, оксидов азота и пыли. В отношении заводов, к которым применяется параграф 1 настоящей статьи, государства-члены ЕС ежегодно направляют Европейской комиссии отчет о количестве часов эксплуатации с 1 января 2016 г.</w:t>
      </w:r>
    </w:p>
    <w:p>
      <w:pPr>
        <w:pStyle w:val="0"/>
        <w:spacing w:before="200" w:line-rule="auto"/>
        <w:ind w:firstLine="540"/>
        <w:jc w:val="both"/>
      </w:pPr>
      <w:r>
        <w:rPr>
          <w:sz w:val="20"/>
        </w:rPr>
        <w:t xml:space="preserve">3. В случае если завод по сжиганию, который на 6 января 2011 г. входит в состав небольшой автономной системы и обеспечивает на указанную дату подачу электричества для этой системы как минимум на 35%, не в состоянии вследствие технических характеристик соблюсти пороговые значения выбросов, установленные в </w:t>
      </w:r>
      <w:hyperlink w:history="0" w:anchor="P606" w:tooltip="2. Все разрешения на установки, содержащие заводы по сжиганию, разрешение на которые были выданы до 7 января 2013 г., или операторы которых подали полностью оформленное заявление на выдачу разрешения до указанной даты, при условии, что такие заводы введены в эксплуатацию не позднее 7 января 2014 г., должны содержать условия, гарантирующие, что выбросы в воздух от таких заводов не превышают пороговые значения выбросов, установленные в части 1 Приложения V к настоящей Директиве.">
        <w:r>
          <w:rPr>
            <w:sz w:val="20"/>
            <w:color w:val="0000ff"/>
          </w:rPr>
          <w:t xml:space="preserve">статье 30 (2)</w:t>
        </w:r>
      </w:hyperlink>
      <w:r>
        <w:rPr>
          <w:sz w:val="20"/>
        </w:rPr>
        <w:t xml:space="preserve"> настоящей Директивы, количество часов эксплуатации, предусмотренное </w:t>
      </w:r>
      <w:hyperlink w:history="0" w:anchor="P673" w:tooltip="a) оператор завода по сжиганию путем направления компетентному органу письменного заявления не позднее 1 января 2014 г. обязуется не эксплуатировать завод более 17500 часов, начиная с 1 января 2016 г. и заканчивая не позднее 31 декабря 2023 г.;">
        <w:r>
          <w:rPr>
            <w:sz w:val="20"/>
            <w:color w:val="0000ff"/>
          </w:rPr>
          <w:t xml:space="preserve">параграфом 1 "a" настоящей статьи</w:t>
        </w:r>
      </w:hyperlink>
      <w:r>
        <w:rPr>
          <w:sz w:val="20"/>
        </w:rPr>
        <w:t xml:space="preserve">, равно 18000, начиная с 1 января 2020 г. и заканчивая не позднее 31 декабря 2023 г.; при этом датой, предусмотренной в </w:t>
      </w:r>
      <w:hyperlink w:history="0" w:anchor="P674" w:tooltip="b) оператор должен представлять компетентному органу ежегодный отчет о количестве часов эксплуатации с 1 января 2016 г.;">
        <w:r>
          <w:rPr>
            <w:sz w:val="20"/>
            <w:color w:val="0000ff"/>
          </w:rPr>
          <w:t xml:space="preserve">параграфе 1 "b"</w:t>
        </w:r>
      </w:hyperlink>
      <w:r>
        <w:rPr>
          <w:sz w:val="20"/>
        </w:rPr>
        <w:t xml:space="preserve"> и </w:t>
      </w:r>
      <w:hyperlink w:history="0" w:anchor="P677" w:tooltip="2. Не позднее 1 января 2016 г. каждое государство-член ЕС направляет Европейской комиссии список заводов по сжиганию, к которым применяется параграф 1 настоящей статьи, в том числе сведения об их совокупной номинальной тепловой мощности, используемых видах топлива, и применимых пороговых значениях выбросов для диоксида серы, оксидов азота и пыли. В отношении заводов, к которым применяется параграф 1 настоящей статьи, государства-члены ЕС ежегодно направляют Европейской комиссии отчет о количестве часов э...">
        <w:r>
          <w:rPr>
            <w:sz w:val="20"/>
            <w:color w:val="0000ff"/>
          </w:rPr>
          <w:t xml:space="preserve">параграфе 2 настоящей статьи</w:t>
        </w:r>
      </w:hyperlink>
      <w:r>
        <w:rPr>
          <w:sz w:val="20"/>
        </w:rPr>
        <w:t xml:space="preserve">, является 1 января 2020 г.</w:t>
      </w:r>
    </w:p>
    <w:p>
      <w:pPr>
        <w:pStyle w:val="0"/>
        <w:spacing w:before="200" w:line-rule="auto"/>
        <w:ind w:firstLine="540"/>
        <w:jc w:val="both"/>
      </w:pPr>
      <w:r>
        <w:rPr>
          <w:sz w:val="20"/>
        </w:rPr>
        <w:t xml:space="preserve">4. В случае если завод по сжиганию с совокупной номинальной тепловой мощностью более 1500 MW, введенный в эксплуатацию до 31 декабря 1986 г., сжигает местное твердое топливо, теплота сгорания которого менее 5800 кДж/кг, влажность более 45% по весу, влажность и зольность более 60% по весу, а содержание оксида кальция в золе более 10%, количество часов эксплуатации, предусмотренное </w:t>
      </w:r>
      <w:hyperlink w:history="0" w:anchor="P673" w:tooltip="a) оператор завода по сжиганию путем направления компетентному органу письменного заявления не позднее 1 января 2014 г. обязуется не эксплуатировать завод более 17500 часов, начиная с 1 января 2016 г. и заканчивая не позднее 31 декабря 2023 г.;">
        <w:r>
          <w:rPr>
            <w:sz w:val="20"/>
            <w:color w:val="0000ff"/>
          </w:rPr>
          <w:t xml:space="preserve">параграфом 1 "a" настоящей статьи</w:t>
        </w:r>
      </w:hyperlink>
      <w:r>
        <w:rPr>
          <w:sz w:val="20"/>
        </w:rPr>
        <w:t xml:space="preserve">, равно 32000.</w:t>
      </w:r>
    </w:p>
    <w:p>
      <w:pPr>
        <w:pStyle w:val="0"/>
        <w:ind w:firstLine="540"/>
        <w:jc w:val="both"/>
      </w:pPr>
      <w:r>
        <w:rPr>
          <w:sz w:val="20"/>
        </w:rPr>
      </w:r>
    </w:p>
    <w:bookmarkStart w:id="681" w:name="P681"/>
    <w:bookmarkEnd w:id="681"/>
    <w:p>
      <w:pPr>
        <w:pStyle w:val="0"/>
        <w:outlineLvl w:val="2"/>
        <w:jc w:val="center"/>
      </w:pPr>
      <w:r>
        <w:rPr>
          <w:sz w:val="20"/>
        </w:rPr>
        <w:t xml:space="preserve">Статья 34</w:t>
      </w:r>
    </w:p>
    <w:p>
      <w:pPr>
        <w:pStyle w:val="0"/>
        <w:jc w:val="center"/>
      </w:pPr>
      <w:r>
        <w:rPr>
          <w:sz w:val="20"/>
        </w:rPr>
      </w:r>
    </w:p>
    <w:p>
      <w:pPr>
        <w:pStyle w:val="0"/>
        <w:jc w:val="center"/>
      </w:pPr>
      <w:r>
        <w:rPr>
          <w:sz w:val="20"/>
        </w:rPr>
        <w:t xml:space="preserve">Небольшие автономные системы</w:t>
      </w:r>
    </w:p>
    <w:p>
      <w:pPr>
        <w:pStyle w:val="0"/>
        <w:jc w:val="center"/>
      </w:pPr>
      <w:r>
        <w:rPr>
          <w:sz w:val="20"/>
        </w:rPr>
      </w:r>
    </w:p>
    <w:p>
      <w:pPr>
        <w:pStyle w:val="0"/>
        <w:ind w:firstLine="540"/>
        <w:jc w:val="both"/>
      </w:pPr>
      <w:r>
        <w:rPr>
          <w:sz w:val="20"/>
        </w:rPr>
        <w:t xml:space="preserve">1. До 31 декабря 2019 г. заводы по сжиганию, которые на 6 января 2011 г. входят в состав небольшой автономной системы, могут быть освобождены от соблюдения пороговых значений выбросов, указанных в </w:t>
      </w:r>
      <w:hyperlink w:history="0" w:anchor="P606" w:tooltip="2. Все разрешения на установки, содержащие заводы по сжиганию, разрешение на которые были выданы до 7 января 2013 г., или операторы которых подали полностью оформленное заявление на выдачу разрешения до указанной даты, при условии, что такие заводы введены в эксплуатацию не позднее 7 января 2014 г., должны содержать условия, гарантирующие, что выбросы в воздух от таких заводов не превышают пороговые значения выбросов, установленные в части 1 Приложения V к настоящей Директиве.">
        <w:r>
          <w:rPr>
            <w:sz w:val="20"/>
            <w:color w:val="0000ff"/>
          </w:rPr>
          <w:t xml:space="preserve">статье 30 (2)</w:t>
        </w:r>
      </w:hyperlink>
      <w:r>
        <w:rPr>
          <w:sz w:val="20"/>
        </w:rPr>
        <w:t xml:space="preserve"> настоящей Директивы, а также, если это применимо, от соблюдения коэффициентов десульфуризации, указанных в </w:t>
      </w:r>
      <w:hyperlink w:history="0" w:anchor="P626" w:tooltip="Статья 31">
        <w:r>
          <w:rPr>
            <w:sz w:val="20"/>
            <w:color w:val="0000ff"/>
          </w:rPr>
          <w:t xml:space="preserve">статье 31</w:t>
        </w:r>
      </w:hyperlink>
      <w:r>
        <w:rPr>
          <w:sz w:val="20"/>
        </w:rPr>
        <w:t xml:space="preserve"> настоящей Директивы. До 31 декабря 2019 г. пороговые значения выбросов, установленные в разрешении для таких заводов по сжиганию в соответствии, в частности, с Директивами </w:t>
      </w:r>
      <w:hyperlink w:history="0" r:id="rId59"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20"/>
            <w:color w:val="0000ff"/>
          </w:rPr>
          <w:t xml:space="preserve">2001/80/ЕС</w:t>
        </w:r>
      </w:hyperlink>
      <w:r>
        <w:rPr>
          <w:sz w:val="20"/>
        </w:rPr>
        <w:t xml:space="preserve"> и </w:t>
      </w:r>
      <w:hyperlink w:history="0" r:id="rId60"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20"/>
            <w:color w:val="0000ff"/>
          </w:rPr>
          <w:t xml:space="preserve">2008/1/ЕС</w:t>
        </w:r>
      </w:hyperlink>
      <w:r>
        <w:rPr>
          <w:sz w:val="20"/>
        </w:rPr>
        <w:t xml:space="preserve">, должны как минимум соблюдаться.</w:t>
      </w:r>
    </w:p>
    <w:p>
      <w:pPr>
        <w:pStyle w:val="0"/>
        <w:spacing w:before="200" w:line-rule="auto"/>
        <w:ind w:firstLine="540"/>
        <w:jc w:val="both"/>
      </w:pPr>
      <w:r>
        <w:rPr>
          <w:sz w:val="20"/>
        </w:rPr>
        <w:t xml:space="preserve">2. Заводы по сжиганию с совокупной номинальной тепловой мощностью более 500 MW, сжигающие твердое топливо, разрешение на которые было впервые выдано после 1 июля 1987 г., должны соблюдать пороговые значения выбросов для оксидов азота, установленные в </w:t>
      </w:r>
      <w:hyperlink w:history="0" w:anchor="P1510" w:tooltip="Часть 1">
        <w:r>
          <w:rPr>
            <w:sz w:val="20"/>
            <w:color w:val="0000ff"/>
          </w:rPr>
          <w:t xml:space="preserve">части 1</w:t>
        </w:r>
      </w:hyperlink>
      <w:r>
        <w:rPr>
          <w:sz w:val="20"/>
        </w:rPr>
        <w:t xml:space="preserve"> Приложения V к настоящей Директиве.</w:t>
      </w:r>
    </w:p>
    <w:p>
      <w:pPr>
        <w:pStyle w:val="0"/>
        <w:spacing w:before="200" w:line-rule="auto"/>
        <w:ind w:firstLine="540"/>
        <w:jc w:val="both"/>
      </w:pPr>
      <w:r>
        <w:rPr>
          <w:sz w:val="20"/>
        </w:rPr>
        <w:t xml:space="preserve">3. В случае если на территории государства-члена ЕС имеются заводы по сжиганию, подпадающие под действие настоящей главы и входящие в состав небольшой автономной системы, указанное государство-член ЕС до 7 января 2013 г. направляет Европейской комиссии список таких заводов, совокупное годовое потребление энергии небольшой автономной системой, а также количество энергии, полученное в результате взаимодействия с другими системами.</w:t>
      </w:r>
    </w:p>
    <w:p>
      <w:pPr>
        <w:pStyle w:val="0"/>
        <w:ind w:firstLine="540"/>
        <w:jc w:val="both"/>
      </w:pPr>
      <w:r>
        <w:rPr>
          <w:sz w:val="20"/>
        </w:rPr>
      </w:r>
    </w:p>
    <w:bookmarkStart w:id="689" w:name="P689"/>
    <w:bookmarkEnd w:id="689"/>
    <w:p>
      <w:pPr>
        <w:pStyle w:val="0"/>
        <w:outlineLvl w:val="2"/>
        <w:jc w:val="center"/>
      </w:pPr>
      <w:r>
        <w:rPr>
          <w:sz w:val="20"/>
        </w:rPr>
        <w:t xml:space="preserve">Статья 35</w:t>
      </w:r>
    </w:p>
    <w:p>
      <w:pPr>
        <w:pStyle w:val="0"/>
        <w:jc w:val="center"/>
      </w:pPr>
      <w:r>
        <w:rPr>
          <w:sz w:val="20"/>
        </w:rPr>
      </w:r>
    </w:p>
    <w:p>
      <w:pPr>
        <w:pStyle w:val="0"/>
        <w:jc w:val="center"/>
      </w:pPr>
      <w:r>
        <w:rPr>
          <w:sz w:val="20"/>
        </w:rPr>
        <w:t xml:space="preserve">Районные отопительные котельные</w:t>
      </w:r>
    </w:p>
    <w:p>
      <w:pPr>
        <w:pStyle w:val="0"/>
        <w:jc w:val="center"/>
      </w:pPr>
      <w:r>
        <w:rPr>
          <w:sz w:val="20"/>
        </w:rPr>
      </w:r>
    </w:p>
    <w:bookmarkStart w:id="693" w:name="P693"/>
    <w:bookmarkEnd w:id="693"/>
    <w:p>
      <w:pPr>
        <w:pStyle w:val="0"/>
        <w:ind w:firstLine="540"/>
        <w:jc w:val="both"/>
      </w:pPr>
      <w:r>
        <w:rPr>
          <w:sz w:val="20"/>
        </w:rPr>
        <w:t xml:space="preserve">1. До 31 декабря 2022 г. заводы по сжиганию могут быть освобождены от соблюдения пороговых значений выбросов, указанных в </w:t>
      </w:r>
      <w:hyperlink w:history="0" w:anchor="P606" w:tooltip="2. Все разрешения на установки, содержащие заводы по сжиганию, разрешение на которые были выданы до 7 января 2013 г., или операторы которых подали полностью оформленное заявление на выдачу разрешения до указанной даты, при условии, что такие заводы введены в эксплуатацию не позднее 7 января 2014 г., должны содержать условия, гарантирующие, что выбросы в воздух от таких заводов не превышают пороговые значения выбросов, установленные в части 1 Приложения V к настоящей Директиве.">
        <w:r>
          <w:rPr>
            <w:sz w:val="20"/>
            <w:color w:val="0000ff"/>
          </w:rPr>
          <w:t xml:space="preserve">статье 30 (2)</w:t>
        </w:r>
      </w:hyperlink>
      <w:r>
        <w:rPr>
          <w:sz w:val="20"/>
        </w:rPr>
        <w:t xml:space="preserve"> настоящей Директивы, а также от соблюдения коэффициентов десульфуризации, указанных в </w:t>
      </w:r>
      <w:hyperlink w:history="0" w:anchor="P626" w:tooltip="Статья 31">
        <w:r>
          <w:rPr>
            <w:sz w:val="20"/>
            <w:color w:val="0000ff"/>
          </w:rPr>
          <w:t xml:space="preserve">статье 31</w:t>
        </w:r>
      </w:hyperlink>
      <w:r>
        <w:rPr>
          <w:sz w:val="20"/>
        </w:rPr>
        <w:t xml:space="preserve"> настоящей Директивы при соблюдении следующих условий:</w:t>
      </w:r>
    </w:p>
    <w:p>
      <w:pPr>
        <w:pStyle w:val="0"/>
        <w:spacing w:before="200" w:line-rule="auto"/>
        <w:ind w:firstLine="540"/>
        <w:jc w:val="both"/>
      </w:pPr>
      <w:r>
        <w:rPr>
          <w:sz w:val="20"/>
        </w:rPr>
        <w:t xml:space="preserve">a) совокупная номинальная тепловая мощность завода не превышает 200 MW;</w:t>
      </w:r>
    </w:p>
    <w:p>
      <w:pPr>
        <w:pStyle w:val="0"/>
        <w:spacing w:before="200" w:line-rule="auto"/>
        <w:ind w:firstLine="540"/>
        <w:jc w:val="both"/>
      </w:pPr>
      <w:r>
        <w:rPr>
          <w:sz w:val="20"/>
        </w:rPr>
        <w:t xml:space="preserve">b) разрешение на завод по сжиганию было впервые выдано до 27 ноября 2002 г., или оператор такого завода подал полностью оформленное заявление на выдачу разрешения до указанной даты при условии, что такой завод введен в эксплуатацию не позднее 27 ноября 2003 г.;</w:t>
      </w:r>
    </w:p>
    <w:p>
      <w:pPr>
        <w:pStyle w:val="0"/>
        <w:spacing w:before="200" w:line-rule="auto"/>
        <w:ind w:firstLine="540"/>
        <w:jc w:val="both"/>
      </w:pPr>
      <w:r>
        <w:rPr>
          <w:sz w:val="20"/>
        </w:rPr>
        <w:t xml:space="preserve">c) по крайней мере, 50% полезного тепла, производимого заводом, выраженное в виде скользящего среднего значения за пятилетний период, направляется в форме теплого воздуха или горячей воды в сети общего пользования для теплоснабжения района;</w:t>
      </w:r>
    </w:p>
    <w:p>
      <w:pPr>
        <w:pStyle w:val="0"/>
        <w:spacing w:before="200" w:line-rule="auto"/>
        <w:ind w:firstLine="540"/>
        <w:jc w:val="both"/>
      </w:pPr>
      <w:r>
        <w:rPr>
          <w:sz w:val="20"/>
        </w:rPr>
        <w:t xml:space="preserve">d) пороговые значения выбросов для диоксида серы, оксидов азота и пыли, установленные в разрешении, применимые на 31 декабря 2015 г. в соответствии, в частности, с Директивами </w:t>
      </w:r>
      <w:hyperlink w:history="0" r:id="rId61"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20"/>
            <w:color w:val="0000ff"/>
          </w:rPr>
          <w:t xml:space="preserve">2001/80/ЕС</w:t>
        </w:r>
      </w:hyperlink>
      <w:r>
        <w:rPr>
          <w:sz w:val="20"/>
        </w:rPr>
        <w:t xml:space="preserve"> и </w:t>
      </w:r>
      <w:hyperlink w:history="0" r:id="rId62"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20"/>
            <w:color w:val="0000ff"/>
          </w:rPr>
          <w:t xml:space="preserve">2008/1/ЕС</w:t>
        </w:r>
      </w:hyperlink>
      <w:r>
        <w:rPr>
          <w:sz w:val="20"/>
        </w:rPr>
        <w:t xml:space="preserve">, должны, по крайней мере, соблюдаться до 31 декабря 2022 г.</w:t>
      </w:r>
    </w:p>
    <w:p>
      <w:pPr>
        <w:pStyle w:val="0"/>
        <w:spacing w:before="200" w:line-rule="auto"/>
        <w:ind w:firstLine="540"/>
        <w:jc w:val="both"/>
      </w:pPr>
      <w:r>
        <w:rPr>
          <w:sz w:val="20"/>
        </w:rPr>
        <w:t xml:space="preserve">2. Не позднее 1 января 2016 г. каждое государство-член ЕС направляет Европейской комиссии список заводов по сжиганию, к которым применяется </w:t>
      </w:r>
      <w:hyperlink w:history="0" w:anchor="P693" w:tooltip="1. До 31 декабря 2022 г. заводы по сжиганию могут быть освобождены от соблюдения пороговых значений выбросов, указанных в статье 30 (2) настоящей Директивы, а также от соблюдения коэффициентов десульфуризации, указанных в статье 31 настоящей Директивы при соблюдении следующих условий:">
        <w:r>
          <w:rPr>
            <w:sz w:val="20"/>
            <w:color w:val="0000ff"/>
          </w:rPr>
          <w:t xml:space="preserve">параграф 1 настоящей статьи</w:t>
        </w:r>
      </w:hyperlink>
      <w:r>
        <w:rPr>
          <w:sz w:val="20"/>
        </w:rPr>
        <w:t xml:space="preserve">, в том числе сведения об их совокупной номинальной тепловой мощности, используемых видах топлива и применимых пороговых значениях выбросов для диоксида серы, оксидов азота и пыли. Кроме того, в отношении заводов, к которым применяется параграф 1 настоящей статьи, государство-член ЕС ежегодно информирует Европейскую комиссию о количестве полезного тепла, производимого каждым заводом, которое направляется в форме теплого воздуха или горячей воды в сети общего пользования для теплоснабжения района, выраженного в виде скользящего среднего значения за последние 5 лет.</w:t>
      </w:r>
    </w:p>
    <w:p>
      <w:pPr>
        <w:pStyle w:val="0"/>
        <w:ind w:firstLine="540"/>
        <w:jc w:val="both"/>
      </w:pPr>
      <w:r>
        <w:rPr>
          <w:sz w:val="20"/>
        </w:rPr>
      </w:r>
    </w:p>
    <w:bookmarkStart w:id="700" w:name="P700"/>
    <w:bookmarkEnd w:id="700"/>
    <w:p>
      <w:pPr>
        <w:pStyle w:val="0"/>
        <w:outlineLvl w:val="2"/>
        <w:jc w:val="center"/>
      </w:pPr>
      <w:r>
        <w:rPr>
          <w:sz w:val="20"/>
        </w:rPr>
        <w:t xml:space="preserve">Статья 36</w:t>
      </w:r>
    </w:p>
    <w:p>
      <w:pPr>
        <w:pStyle w:val="0"/>
        <w:jc w:val="center"/>
      </w:pPr>
      <w:r>
        <w:rPr>
          <w:sz w:val="20"/>
        </w:rPr>
      </w:r>
    </w:p>
    <w:p>
      <w:pPr>
        <w:pStyle w:val="0"/>
        <w:jc w:val="center"/>
      </w:pPr>
      <w:r>
        <w:rPr>
          <w:sz w:val="20"/>
        </w:rPr>
        <w:t xml:space="preserve">Геологическое хранение диоксида углерода</w:t>
      </w:r>
    </w:p>
    <w:p>
      <w:pPr>
        <w:pStyle w:val="0"/>
        <w:jc w:val="center"/>
      </w:pPr>
      <w:r>
        <w:rPr>
          <w:sz w:val="20"/>
        </w:rPr>
      </w:r>
    </w:p>
    <w:bookmarkStart w:id="704" w:name="P704"/>
    <w:bookmarkEnd w:id="704"/>
    <w:p>
      <w:pPr>
        <w:pStyle w:val="0"/>
        <w:ind w:firstLine="540"/>
        <w:jc w:val="both"/>
      </w:pPr>
      <w:r>
        <w:rPr>
          <w:sz w:val="20"/>
        </w:rPr>
        <w:t xml:space="preserve">1. Государства-члены ЕС гарантируют, что операторы всех заводов по сжиганию с номинальной электрической мощностью 300 мегаватт и более, первоначальная лицензия на строительство или, в отсутствие такой процедуры, первоначальная лицензия на эксплуатацию которых выдана после вступления в силу </w:t>
      </w:r>
      <w:hyperlink w:history="0" r:id="rId63" w:tooltip="Директива N 2009/31/ЕС Европейского парламента и Совета Европейского Союза &quot;О геологическом хранении диоксида углерода (углекислого газа) и внесении изменений и дополнений в Директиву Совета ЕС 85/337/ЕЭС, Директиву Европейского парламента и Совета ЕС 2000/60/ЕС, 2001/80/ЕС, 2004/35/ЕС, 2006/12/ЕС, 2008/1/ЕС и Регламент (ЕС) 1013/2006&quot; [рус., англ.] (Вместе с &lt;Критериями для определения параметров и оценки потенциальных комплексов для хранения и прилегающей территории, для разработки и обновления плана мони {КонсультантПлюс}">
        <w:r>
          <w:rPr>
            <w:sz w:val="20"/>
            <w:color w:val="0000ff"/>
          </w:rPr>
          <w:t xml:space="preserve">Директивы</w:t>
        </w:r>
      </w:hyperlink>
      <w:r>
        <w:rPr>
          <w:sz w:val="20"/>
        </w:rPr>
        <w:t xml:space="preserve"> 2009/31/ЕС Европейского парламента и Совета ЕС от 23 апреля 2009 г. о геологических хранилищах углекислого газа &lt;*&gt;, провели оценку соблюдения следующих критериев:</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ОЖ N L 140, 5.6.2009, стр. 114.</w:t>
      </w:r>
    </w:p>
    <w:p>
      <w:pPr>
        <w:pStyle w:val="0"/>
        <w:ind w:firstLine="540"/>
        <w:jc w:val="both"/>
      </w:pPr>
      <w:r>
        <w:rPr>
          <w:sz w:val="20"/>
        </w:rPr>
      </w:r>
    </w:p>
    <w:p>
      <w:pPr>
        <w:pStyle w:val="0"/>
        <w:ind w:firstLine="540"/>
        <w:jc w:val="both"/>
      </w:pPr>
      <w:r>
        <w:rPr>
          <w:sz w:val="20"/>
        </w:rPr>
        <w:t xml:space="preserve">a) имеются участки, подходящие для хранения;</w:t>
      </w:r>
    </w:p>
    <w:p>
      <w:pPr>
        <w:pStyle w:val="0"/>
        <w:spacing w:before="200" w:line-rule="auto"/>
        <w:ind w:firstLine="540"/>
        <w:jc w:val="both"/>
      </w:pPr>
      <w:r>
        <w:rPr>
          <w:sz w:val="20"/>
        </w:rPr>
        <w:t xml:space="preserve">b) транспортное обслуживание экономически и технически возможно;</w:t>
      </w:r>
    </w:p>
    <w:p>
      <w:pPr>
        <w:pStyle w:val="0"/>
        <w:spacing w:before="200" w:line-rule="auto"/>
        <w:ind w:firstLine="540"/>
        <w:jc w:val="both"/>
      </w:pPr>
      <w:r>
        <w:rPr>
          <w:sz w:val="20"/>
        </w:rPr>
        <w:t xml:space="preserve">c) экономически и технически целесообразно переоборудовать завод в целях улавливания диоксида углерода.</w:t>
      </w:r>
    </w:p>
    <w:p>
      <w:pPr>
        <w:pStyle w:val="0"/>
        <w:spacing w:before="200" w:line-rule="auto"/>
        <w:ind w:firstLine="540"/>
        <w:jc w:val="both"/>
      </w:pPr>
      <w:r>
        <w:rPr>
          <w:sz w:val="20"/>
        </w:rPr>
        <w:t xml:space="preserve">2. При соблюдении условий, предусмотренных </w:t>
      </w:r>
      <w:hyperlink w:history="0" w:anchor="P704" w:tooltip="1. Государства-члены ЕС гарантируют, что операторы всех заводов по сжиганию с номинальной электрической мощностью 300 мегаватт и более, первоначальная лицензия на строительство или, в отсутствие такой процедуры, первоначальная лицензия на эксплуатацию которых выдана после вступления в силу Директивы 2009/31/ЕС Европейского парламента и Совета ЕС от 23 апреля 2009 г. о геологических хранилищах углекислого газа &lt;*&gt;, провели оценку соблюдения следующих критериев:">
        <w:r>
          <w:rPr>
            <w:sz w:val="20"/>
            <w:color w:val="0000ff"/>
          </w:rPr>
          <w:t xml:space="preserve">параграфом 1 настоящей статьи</w:t>
        </w:r>
      </w:hyperlink>
      <w:r>
        <w:rPr>
          <w:sz w:val="20"/>
        </w:rPr>
        <w:t xml:space="preserve">, компетентный орган обеспечивает отведение подходящего места на участке установки под оборудование, необходимое для улавливания и сжатия диоксида углерода. Компетентный орган приходит к выводу о соблюдении условий на основе оценки, предусмотренной параграфом 1 настоящей статьи, а также иной доступной информации, в частности, о защите окружающей среды и здоровья человека.</w:t>
      </w:r>
    </w:p>
    <w:p>
      <w:pPr>
        <w:pStyle w:val="0"/>
        <w:ind w:firstLine="540"/>
        <w:jc w:val="both"/>
      </w:pPr>
      <w:r>
        <w:rPr>
          <w:sz w:val="20"/>
        </w:rPr>
      </w:r>
    </w:p>
    <w:bookmarkStart w:id="713" w:name="P713"/>
    <w:bookmarkEnd w:id="713"/>
    <w:p>
      <w:pPr>
        <w:pStyle w:val="0"/>
        <w:outlineLvl w:val="2"/>
        <w:jc w:val="center"/>
      </w:pPr>
      <w:r>
        <w:rPr>
          <w:sz w:val="20"/>
        </w:rPr>
        <w:t xml:space="preserve">Статья 37</w:t>
      </w:r>
    </w:p>
    <w:p>
      <w:pPr>
        <w:pStyle w:val="0"/>
        <w:jc w:val="center"/>
      </w:pPr>
      <w:r>
        <w:rPr>
          <w:sz w:val="20"/>
        </w:rPr>
      </w:r>
    </w:p>
    <w:p>
      <w:pPr>
        <w:pStyle w:val="0"/>
        <w:jc w:val="center"/>
      </w:pPr>
      <w:r>
        <w:rPr>
          <w:sz w:val="20"/>
        </w:rPr>
        <w:t xml:space="preserve">Неисправность или сбой в работе очистного оборудования</w:t>
      </w:r>
    </w:p>
    <w:p>
      <w:pPr>
        <w:pStyle w:val="0"/>
        <w:jc w:val="center"/>
      </w:pPr>
      <w:r>
        <w:rPr>
          <w:sz w:val="20"/>
        </w:rPr>
      </w:r>
    </w:p>
    <w:p>
      <w:pPr>
        <w:pStyle w:val="0"/>
        <w:ind w:firstLine="540"/>
        <w:jc w:val="both"/>
      </w:pPr>
      <w:r>
        <w:rPr>
          <w:sz w:val="20"/>
        </w:rPr>
        <w:t xml:space="preserve">1. Государства-члены ЕС гарантируют, что разрешение содержит положения относительно неисправностей или сбоя в работе очистного оборудования.</w:t>
      </w:r>
    </w:p>
    <w:bookmarkStart w:id="718" w:name="P718"/>
    <w:bookmarkEnd w:id="718"/>
    <w:p>
      <w:pPr>
        <w:pStyle w:val="0"/>
        <w:spacing w:before="200" w:line-rule="auto"/>
        <w:ind w:firstLine="540"/>
        <w:jc w:val="both"/>
      </w:pPr>
      <w:r>
        <w:rPr>
          <w:sz w:val="20"/>
        </w:rPr>
        <w:t xml:space="preserve">2. В случае сбоя компетентный орган требует от оператора уменьшить или прекратить эксплуатацию, если возврат к нормальному функционированию не обеспечен в течение 24 часов, либо осуществлять эксплуатацию завода, используя топливо с малой степенью загрязнения.</w:t>
      </w:r>
    </w:p>
    <w:p>
      <w:pPr>
        <w:pStyle w:val="0"/>
        <w:spacing w:before="200" w:line-rule="auto"/>
        <w:ind w:firstLine="540"/>
        <w:jc w:val="both"/>
      </w:pPr>
      <w:r>
        <w:rPr>
          <w:sz w:val="20"/>
        </w:rPr>
        <w:t xml:space="preserve">Оператор уведомляет компетентный орган в течение 48 часов после наступления неисправности или сбоя в работе очистного оборудования.</w:t>
      </w:r>
    </w:p>
    <w:p>
      <w:pPr>
        <w:pStyle w:val="0"/>
        <w:spacing w:before="200" w:line-rule="auto"/>
        <w:ind w:firstLine="540"/>
        <w:jc w:val="both"/>
      </w:pPr>
      <w:r>
        <w:rPr>
          <w:sz w:val="20"/>
        </w:rPr>
        <w:t xml:space="preserve">Общая продолжительность работы без очистного оборудования не должна превышать 120 часов за любой период, равный 12 месяцам.</w:t>
      </w:r>
    </w:p>
    <w:p>
      <w:pPr>
        <w:pStyle w:val="0"/>
        <w:spacing w:before="200" w:line-rule="auto"/>
        <w:ind w:firstLine="540"/>
        <w:jc w:val="both"/>
      </w:pPr>
      <w:r>
        <w:rPr>
          <w:sz w:val="20"/>
        </w:rPr>
        <w:t xml:space="preserve">Компетентный орган вправе освободить от соблюдения сроков, указанных в </w:t>
      </w:r>
      <w:hyperlink w:history="0" w:anchor="P718" w:tooltip="2. В случае сбоя компетентный орган требует от оператора уменьшить или прекратить эксплуатацию, если возврат к нормальному функционированию не обеспечен в течение 24 часов, либо осуществлять эксплуатацию завода, используя топливо с малой степенью загрязнения.">
        <w:r>
          <w:rPr>
            <w:sz w:val="20"/>
            <w:color w:val="0000ff"/>
          </w:rPr>
          <w:t xml:space="preserve">первом</w:t>
        </w:r>
      </w:hyperlink>
      <w:r>
        <w:rPr>
          <w:sz w:val="20"/>
        </w:rPr>
        <w:t xml:space="preserve"> и третьем подпараграфах, в одном из следующих случаев:</w:t>
      </w:r>
    </w:p>
    <w:p>
      <w:pPr>
        <w:pStyle w:val="0"/>
        <w:spacing w:before="200" w:line-rule="auto"/>
        <w:ind w:firstLine="540"/>
        <w:jc w:val="both"/>
      </w:pPr>
      <w:r>
        <w:rPr>
          <w:sz w:val="20"/>
        </w:rPr>
        <w:t xml:space="preserve">a) имеется первоочередная необходимость по обеспечению поставки энергии;</w:t>
      </w:r>
    </w:p>
    <w:p>
      <w:pPr>
        <w:pStyle w:val="0"/>
        <w:spacing w:before="200" w:line-rule="auto"/>
        <w:ind w:firstLine="540"/>
        <w:jc w:val="both"/>
      </w:pPr>
      <w:r>
        <w:rPr>
          <w:sz w:val="20"/>
        </w:rPr>
        <w:t xml:space="preserve">b) неисправный завод по сжиганию будет временно заменен другим заводом, что приведет к общему увеличению выбросов.</w:t>
      </w:r>
    </w:p>
    <w:p>
      <w:pPr>
        <w:pStyle w:val="0"/>
        <w:ind w:firstLine="540"/>
        <w:jc w:val="both"/>
      </w:pPr>
      <w:r>
        <w:rPr>
          <w:sz w:val="20"/>
        </w:rPr>
      </w:r>
    </w:p>
    <w:bookmarkStart w:id="725" w:name="P725"/>
    <w:bookmarkEnd w:id="725"/>
    <w:p>
      <w:pPr>
        <w:pStyle w:val="0"/>
        <w:outlineLvl w:val="2"/>
        <w:jc w:val="center"/>
      </w:pPr>
      <w:r>
        <w:rPr>
          <w:sz w:val="20"/>
        </w:rPr>
        <w:t xml:space="preserve">Статья 38</w:t>
      </w:r>
    </w:p>
    <w:p>
      <w:pPr>
        <w:pStyle w:val="0"/>
        <w:jc w:val="center"/>
      </w:pPr>
      <w:r>
        <w:rPr>
          <w:sz w:val="20"/>
        </w:rPr>
      </w:r>
    </w:p>
    <w:p>
      <w:pPr>
        <w:pStyle w:val="0"/>
        <w:jc w:val="center"/>
      </w:pPr>
      <w:r>
        <w:rPr>
          <w:sz w:val="20"/>
        </w:rPr>
        <w:t xml:space="preserve">Мониторинг выбросов в воздух</w:t>
      </w:r>
    </w:p>
    <w:p>
      <w:pPr>
        <w:pStyle w:val="0"/>
        <w:jc w:val="center"/>
      </w:pPr>
      <w:r>
        <w:rPr>
          <w:sz w:val="20"/>
        </w:rPr>
      </w:r>
    </w:p>
    <w:bookmarkStart w:id="729" w:name="P729"/>
    <w:bookmarkEnd w:id="729"/>
    <w:p>
      <w:pPr>
        <w:pStyle w:val="0"/>
        <w:ind w:firstLine="540"/>
        <w:jc w:val="both"/>
      </w:pPr>
      <w:r>
        <w:rPr>
          <w:sz w:val="20"/>
        </w:rPr>
        <w:t xml:space="preserve">1. Государства-члены ЕС гарантируют, что мониторинг загрязняющих воздух веществ проводится в соответствии с </w:t>
      </w:r>
      <w:hyperlink w:history="0" w:anchor="P1923" w:tooltip="Часть 3">
        <w:r>
          <w:rPr>
            <w:sz w:val="20"/>
            <w:color w:val="0000ff"/>
          </w:rPr>
          <w:t xml:space="preserve">частью 3</w:t>
        </w:r>
      </w:hyperlink>
      <w:r>
        <w:rPr>
          <w:sz w:val="20"/>
        </w:rPr>
        <w:t xml:space="preserve"> Приложения V к настоящей Директиве.</w:t>
      </w:r>
    </w:p>
    <w:bookmarkStart w:id="730" w:name="P730"/>
    <w:bookmarkEnd w:id="730"/>
    <w:p>
      <w:pPr>
        <w:pStyle w:val="0"/>
        <w:spacing w:before="200" w:line-rule="auto"/>
        <w:ind w:firstLine="540"/>
        <w:jc w:val="both"/>
      </w:pPr>
      <w:r>
        <w:rPr>
          <w:sz w:val="20"/>
        </w:rPr>
        <w:t xml:space="preserve">2. Контроль за установкой и функционированием оборудования для автоматического мониторинга, а также ежегодные контрольные испытания такого оборудования осуществляются в соответствии с частью 3 Приложения V к настоящей Директиве.</w:t>
      </w:r>
    </w:p>
    <w:bookmarkStart w:id="731" w:name="P731"/>
    <w:bookmarkEnd w:id="731"/>
    <w:p>
      <w:pPr>
        <w:pStyle w:val="0"/>
        <w:spacing w:before="200" w:line-rule="auto"/>
        <w:ind w:firstLine="540"/>
        <w:jc w:val="both"/>
      </w:pPr>
      <w:r>
        <w:rPr>
          <w:sz w:val="20"/>
        </w:rPr>
        <w:t xml:space="preserve">3. Компетентный орган определяет расположение мест выборки или контрольно-измерительных точек, используемых при мониторинге выбросов.</w:t>
      </w:r>
    </w:p>
    <w:bookmarkStart w:id="732" w:name="P732"/>
    <w:bookmarkEnd w:id="732"/>
    <w:p>
      <w:pPr>
        <w:pStyle w:val="0"/>
        <w:spacing w:before="200" w:line-rule="auto"/>
        <w:ind w:firstLine="540"/>
        <w:jc w:val="both"/>
      </w:pPr>
      <w:r>
        <w:rPr>
          <w:sz w:val="20"/>
        </w:rPr>
        <w:t xml:space="preserve">4. Результаты мониторинга фиксируются, обрабатываются и представляются таким образом, чтобы компетентный орган мог проверить соответствие условиям эксплуатации и уровням выбросов, установленным в разрешении.</w:t>
      </w:r>
    </w:p>
    <w:p>
      <w:pPr>
        <w:pStyle w:val="0"/>
        <w:ind w:firstLine="540"/>
        <w:jc w:val="both"/>
      </w:pPr>
      <w:r>
        <w:rPr>
          <w:sz w:val="20"/>
        </w:rPr>
      </w:r>
    </w:p>
    <w:bookmarkStart w:id="734" w:name="P734"/>
    <w:bookmarkEnd w:id="734"/>
    <w:p>
      <w:pPr>
        <w:pStyle w:val="0"/>
        <w:outlineLvl w:val="2"/>
        <w:jc w:val="center"/>
      </w:pPr>
      <w:r>
        <w:rPr>
          <w:sz w:val="20"/>
        </w:rPr>
        <w:t xml:space="preserve">Статья 39</w:t>
      </w:r>
    </w:p>
    <w:p>
      <w:pPr>
        <w:pStyle w:val="0"/>
        <w:jc w:val="center"/>
      </w:pPr>
      <w:r>
        <w:rPr>
          <w:sz w:val="20"/>
        </w:rPr>
      </w:r>
    </w:p>
    <w:p>
      <w:pPr>
        <w:pStyle w:val="0"/>
        <w:jc w:val="center"/>
      </w:pPr>
      <w:r>
        <w:rPr>
          <w:sz w:val="20"/>
        </w:rPr>
        <w:t xml:space="preserve">Соблюдение пороговых значений выбросов</w:t>
      </w:r>
    </w:p>
    <w:p>
      <w:pPr>
        <w:pStyle w:val="0"/>
        <w:jc w:val="center"/>
      </w:pPr>
      <w:r>
        <w:rPr>
          <w:sz w:val="20"/>
        </w:rPr>
      </w:r>
    </w:p>
    <w:p>
      <w:pPr>
        <w:pStyle w:val="0"/>
        <w:ind w:firstLine="540"/>
        <w:jc w:val="both"/>
      </w:pPr>
      <w:r>
        <w:rPr>
          <w:sz w:val="20"/>
        </w:rPr>
        <w:t xml:space="preserve">Пороговые значения выбросов в воздух считаются соблюденными, если выполняются условия, установленные </w:t>
      </w:r>
      <w:hyperlink w:history="0" w:anchor="P1982" w:tooltip="Часть 4">
        <w:r>
          <w:rPr>
            <w:sz w:val="20"/>
            <w:color w:val="0000ff"/>
          </w:rPr>
          <w:t xml:space="preserve">частью 4</w:t>
        </w:r>
      </w:hyperlink>
      <w:r>
        <w:rPr>
          <w:sz w:val="20"/>
        </w:rPr>
        <w:t xml:space="preserve"> Приложения V к настоящей Директиве.</w:t>
      </w:r>
    </w:p>
    <w:p>
      <w:pPr>
        <w:pStyle w:val="0"/>
        <w:ind w:firstLine="540"/>
        <w:jc w:val="both"/>
      </w:pPr>
      <w:r>
        <w:rPr>
          <w:sz w:val="20"/>
        </w:rPr>
      </w:r>
    </w:p>
    <w:p>
      <w:pPr>
        <w:pStyle w:val="0"/>
        <w:outlineLvl w:val="2"/>
        <w:jc w:val="center"/>
      </w:pPr>
      <w:r>
        <w:rPr>
          <w:sz w:val="20"/>
        </w:rPr>
        <w:t xml:space="preserve">Статья 40</w:t>
      </w:r>
    </w:p>
    <w:p>
      <w:pPr>
        <w:pStyle w:val="0"/>
        <w:jc w:val="center"/>
      </w:pPr>
      <w:r>
        <w:rPr>
          <w:sz w:val="20"/>
        </w:rPr>
      </w:r>
    </w:p>
    <w:p>
      <w:pPr>
        <w:pStyle w:val="0"/>
        <w:jc w:val="center"/>
      </w:pPr>
      <w:r>
        <w:rPr>
          <w:sz w:val="20"/>
        </w:rPr>
        <w:t xml:space="preserve">Многотопливные заводы по сжиганию</w:t>
      </w:r>
    </w:p>
    <w:p>
      <w:pPr>
        <w:pStyle w:val="0"/>
        <w:jc w:val="center"/>
      </w:pPr>
      <w:r>
        <w:rPr>
          <w:sz w:val="20"/>
        </w:rPr>
      </w:r>
    </w:p>
    <w:bookmarkStart w:id="744" w:name="P744"/>
    <w:bookmarkEnd w:id="744"/>
    <w:p>
      <w:pPr>
        <w:pStyle w:val="0"/>
        <w:ind w:firstLine="540"/>
        <w:jc w:val="both"/>
      </w:pPr>
      <w:r>
        <w:rPr>
          <w:sz w:val="20"/>
        </w:rPr>
        <w:t xml:space="preserve">1. В отношении многотопливных заводов по сжиганию, использующих одновременно два или более видов топлива, компетентный орган устанавливает пороговые значения выбросов в следующем порядке:</w:t>
      </w:r>
    </w:p>
    <w:p>
      <w:pPr>
        <w:pStyle w:val="0"/>
        <w:spacing w:before="200" w:line-rule="auto"/>
        <w:ind w:firstLine="540"/>
        <w:jc w:val="both"/>
      </w:pPr>
      <w:r>
        <w:rPr>
          <w:sz w:val="20"/>
        </w:rPr>
        <w:t xml:space="preserve">a) за пороговое значение выбросов для каждого отдельного топлива и загрязняющего вещества принимается соответствующее значение совокупной номинальной тепловой мощности всего завода в соответствии с </w:t>
      </w:r>
      <w:hyperlink w:history="0" w:anchor="P1510" w:tooltip="Часть 1">
        <w:r>
          <w:rPr>
            <w:sz w:val="20"/>
            <w:color w:val="0000ff"/>
          </w:rPr>
          <w:t xml:space="preserve">частями 1</w:t>
        </w:r>
      </w:hyperlink>
      <w:r>
        <w:rPr>
          <w:sz w:val="20"/>
        </w:rPr>
        <w:t xml:space="preserve"> и </w:t>
      </w:r>
      <w:hyperlink w:history="0" w:anchor="P1771" w:tooltip="Часть 2">
        <w:r>
          <w:rPr>
            <w:sz w:val="20"/>
            <w:color w:val="0000ff"/>
          </w:rPr>
          <w:t xml:space="preserve">2</w:t>
        </w:r>
      </w:hyperlink>
      <w:r>
        <w:rPr>
          <w:sz w:val="20"/>
        </w:rPr>
        <w:t xml:space="preserve"> Приложения V к настоящей Директиве;</w:t>
      </w:r>
    </w:p>
    <w:p>
      <w:pPr>
        <w:pStyle w:val="0"/>
        <w:spacing w:before="200" w:line-rule="auto"/>
        <w:ind w:firstLine="540"/>
        <w:jc w:val="both"/>
      </w:pPr>
      <w:r>
        <w:rPr>
          <w:sz w:val="20"/>
        </w:rPr>
        <w:t xml:space="preserve">b) средневзвешенные пороговые значения выбросов для топлива определяются путем умножения отдельных пороговых значений выбросов, указанных в пункте "a" настоящего параграфа, на тепловую мощность каждого топлива и делением результата умножения на сумму тепловых мощностей всех видов топлива;</w:t>
      </w:r>
    </w:p>
    <w:p>
      <w:pPr>
        <w:pStyle w:val="0"/>
        <w:spacing w:before="200" w:line-rule="auto"/>
        <w:ind w:firstLine="540"/>
        <w:jc w:val="both"/>
      </w:pPr>
      <w:r>
        <w:rPr>
          <w:sz w:val="20"/>
        </w:rPr>
        <w:t xml:space="preserve">c) исчисляются средневзвешенные пороговые значение выбросов для топлива.</w:t>
      </w:r>
    </w:p>
    <w:bookmarkStart w:id="748" w:name="P748"/>
    <w:bookmarkEnd w:id="748"/>
    <w:p>
      <w:pPr>
        <w:pStyle w:val="0"/>
        <w:spacing w:before="200" w:line-rule="auto"/>
        <w:ind w:firstLine="540"/>
        <w:jc w:val="both"/>
      </w:pPr>
      <w:r>
        <w:rPr>
          <w:sz w:val="20"/>
        </w:rPr>
        <w:t xml:space="preserve">2. В отношении многотопливных заводов по сжиганию, подпадающих под действие </w:t>
      </w:r>
      <w:hyperlink w:history="0" w:anchor="P606" w:tooltip="2. Все разрешения на установки, содержащие заводы по сжиганию, разрешение на которые были выданы до 7 января 2013 г., или операторы которых подали полностью оформленное заявление на выдачу разрешения до указанной даты, при условии, что такие заводы введены в эксплуатацию не позднее 7 января 2014 г., должны содержать условия, гарантирующие, что выбросы в воздух от таких заводов не превышают пороговые значения выбросов, установленные в части 1 Приложения V к настоящей Директиве.">
        <w:r>
          <w:rPr>
            <w:sz w:val="20"/>
            <w:color w:val="0000ff"/>
          </w:rPr>
          <w:t xml:space="preserve">статьи 30 (2)</w:t>
        </w:r>
      </w:hyperlink>
      <w:r>
        <w:rPr>
          <w:sz w:val="20"/>
        </w:rPr>
        <w:t xml:space="preserve"> настоящей Директивы и использующих дистилляцию и конверсию остатков перегонки сырой нефти для собственных нужд отдельно или совместно с другими видами топлива, применяются следующие пороговые значения выбросов, установленные в соответствии с </w:t>
      </w:r>
      <w:hyperlink w:history="0" w:anchor="P744" w:tooltip="1. В отношении многотопливных заводов по сжиганию, использующих одновременно два или более видов топлива, компетентный орган устанавливает пороговые значения выбросов в следующем порядке:">
        <w:r>
          <w:rPr>
            <w:sz w:val="20"/>
            <w:color w:val="0000ff"/>
          </w:rPr>
          <w:t xml:space="preserve">параграфом 1 настоящей статьи</w:t>
        </w:r>
      </w:hyperlink>
      <w:r>
        <w:rPr>
          <w:sz w:val="20"/>
        </w:rPr>
        <w:t xml:space="preserve">:</w:t>
      </w:r>
    </w:p>
    <w:bookmarkStart w:id="749" w:name="P749"/>
    <w:bookmarkEnd w:id="749"/>
    <w:p>
      <w:pPr>
        <w:pStyle w:val="0"/>
        <w:spacing w:before="200" w:line-rule="auto"/>
        <w:ind w:firstLine="540"/>
        <w:jc w:val="both"/>
      </w:pPr>
      <w:r>
        <w:rPr>
          <w:sz w:val="20"/>
        </w:rPr>
        <w:t xml:space="preserve">a) если при эксплуатации завода по сжиганию отношение определенного топлива к сумме тепловых мощностей всех видов топлива составляет 50% или более, - пороговые значения выбросов, установленные в </w:t>
      </w:r>
      <w:hyperlink w:history="0" w:anchor="P1510" w:tooltip="Часть 1">
        <w:r>
          <w:rPr>
            <w:sz w:val="20"/>
            <w:color w:val="0000ff"/>
          </w:rPr>
          <w:t xml:space="preserve">части 1</w:t>
        </w:r>
      </w:hyperlink>
      <w:r>
        <w:rPr>
          <w:sz w:val="20"/>
        </w:rPr>
        <w:t xml:space="preserve"> Приложения V к настоящей Директиве для определенного топлива;</w:t>
      </w:r>
    </w:p>
    <w:p>
      <w:pPr>
        <w:pStyle w:val="0"/>
        <w:spacing w:before="200" w:line-rule="auto"/>
        <w:ind w:firstLine="540"/>
        <w:jc w:val="both"/>
      </w:pPr>
      <w:r>
        <w:rPr>
          <w:sz w:val="20"/>
        </w:rPr>
        <w:t xml:space="preserve">b) если отношение определенного топлива к сумме тепловых мощностей всех видов топлива ниже 50%, - пороговые значения выбросов, установленные следующим образом:</w:t>
      </w:r>
    </w:p>
    <w:bookmarkStart w:id="751" w:name="P751"/>
    <w:bookmarkEnd w:id="751"/>
    <w:p>
      <w:pPr>
        <w:pStyle w:val="0"/>
        <w:spacing w:before="200" w:line-rule="auto"/>
        <w:ind w:firstLine="540"/>
        <w:jc w:val="both"/>
      </w:pPr>
      <w:r>
        <w:rPr>
          <w:sz w:val="20"/>
        </w:rPr>
        <w:t xml:space="preserve">i) за пороговое значение выбросов, установленное в части 1 Приложения V к настоящей Директиве для каждого отдельного топлива, принимается соответствующее значение совокупной номинальной тепловой мощности завода по сжиганию;</w:t>
      </w:r>
    </w:p>
    <w:bookmarkStart w:id="752" w:name="P752"/>
    <w:bookmarkEnd w:id="752"/>
    <w:p>
      <w:pPr>
        <w:pStyle w:val="0"/>
        <w:spacing w:before="200" w:line-rule="auto"/>
        <w:ind w:firstLine="540"/>
        <w:jc w:val="both"/>
      </w:pPr>
      <w:r>
        <w:rPr>
          <w:sz w:val="20"/>
        </w:rPr>
        <w:t xml:space="preserve">ii) пороговые значения выбросов для определенного топлива исчисляются путем умножения пороговых значений выбросов, определенных для данного топлива в соответствии с </w:t>
      </w:r>
      <w:hyperlink w:history="0" w:anchor="P751" w:tooltip="i) за пороговое значение выбросов, установленное в части 1 Приложения V к настоящей Директиве для каждого отдельного топлива, принимается соответствующее значение совокупной номинальной тепловой мощности завода по сжиганию;">
        <w:r>
          <w:rPr>
            <w:sz w:val="20"/>
            <w:color w:val="0000ff"/>
          </w:rPr>
          <w:t xml:space="preserve">пунктом "i"</w:t>
        </w:r>
      </w:hyperlink>
      <w:r>
        <w:rPr>
          <w:sz w:val="20"/>
        </w:rPr>
        <w:t xml:space="preserve">, на коэффициент два и вычитанием из результата порогового значения выбросов топлива с наименьшим пороговым значением выбросов, как указано в </w:t>
      </w:r>
      <w:hyperlink w:history="0" w:anchor="P1510" w:tooltip="Часть 1">
        <w:r>
          <w:rPr>
            <w:sz w:val="20"/>
            <w:color w:val="0000ff"/>
          </w:rPr>
          <w:t xml:space="preserve">части 1</w:t>
        </w:r>
      </w:hyperlink>
      <w:r>
        <w:rPr>
          <w:sz w:val="20"/>
        </w:rPr>
        <w:t xml:space="preserve"> Приложения V к настоящей Директиве, соответствующего совокупной номинальной тепловой мощности завода по сжиганию;</w:t>
      </w:r>
    </w:p>
    <w:bookmarkStart w:id="753" w:name="P753"/>
    <w:bookmarkEnd w:id="753"/>
    <w:p>
      <w:pPr>
        <w:pStyle w:val="0"/>
        <w:spacing w:before="200" w:line-rule="auto"/>
        <w:ind w:firstLine="540"/>
        <w:jc w:val="both"/>
      </w:pPr>
      <w:r>
        <w:rPr>
          <w:sz w:val="20"/>
        </w:rPr>
        <w:t xml:space="preserve">iii) средневзвешенные пороговые значения выбросов для каждого вида топлива определяются путем умножения пороговых значений выбросов, определенных в соответствии с </w:t>
      </w:r>
      <w:hyperlink w:history="0" w:anchor="P751" w:tooltip="i) за пороговое значение выбросов, установленное в части 1 Приложения V к настоящей Директиве для каждого отдельного топлива, принимается соответствующее значение совокупной номинальной тепловой мощности завода по сжиганию;">
        <w:r>
          <w:rPr>
            <w:sz w:val="20"/>
            <w:color w:val="0000ff"/>
          </w:rPr>
          <w:t xml:space="preserve">пунктами "i"</w:t>
        </w:r>
      </w:hyperlink>
      <w:r>
        <w:rPr>
          <w:sz w:val="20"/>
        </w:rPr>
        <w:t xml:space="preserve"> и </w:t>
      </w:r>
      <w:hyperlink w:history="0" w:anchor="P752" w:tooltip="ii) пороговые значения выбросов для определенного топлива исчисляются путем умножения пороговых значений выбросов, определенных для данного топлива в соответствии с пунктом &quot;i&quot;, на коэффициент два и вычитанием из результата порогового значения выбросов топлива с наименьшим пороговым значением выбросов, как указано в части 1 Приложения V к настоящей Директиве, соответствующего совокупной номинальной тепловой мощности завода по сжиганию;">
        <w:r>
          <w:rPr>
            <w:sz w:val="20"/>
            <w:color w:val="0000ff"/>
          </w:rPr>
          <w:t xml:space="preserve">"ii"</w:t>
        </w:r>
      </w:hyperlink>
      <w:r>
        <w:rPr>
          <w:sz w:val="20"/>
        </w:rPr>
        <w:t xml:space="preserve">, на тепловую мощность соответствующего топлива и делением результата умножения на сумму тепловых мощностей всех видов топлива;</w:t>
      </w:r>
    </w:p>
    <w:p>
      <w:pPr>
        <w:pStyle w:val="0"/>
        <w:spacing w:before="200" w:line-rule="auto"/>
        <w:ind w:firstLine="540"/>
        <w:jc w:val="both"/>
      </w:pPr>
      <w:r>
        <w:rPr>
          <w:sz w:val="20"/>
        </w:rPr>
        <w:t xml:space="preserve">iv) исчисляются средневзвешенные пороговые значения выбросов, определенные в соответствии с </w:t>
      </w:r>
      <w:hyperlink w:history="0" w:anchor="P753" w:tooltip="iii) средневзвешенные пороговые значения выбросов для каждого вида топлива определяются путем умножения пороговых значений выбросов, определенных в соответствии с пунктами &quot;i&quot; и &quot;ii&quot;, на тепловую мощность соответствующего топлива и делением результата умножения на сумму тепловых мощностей всех видов топлива;">
        <w:r>
          <w:rPr>
            <w:sz w:val="20"/>
            <w:color w:val="0000ff"/>
          </w:rPr>
          <w:t xml:space="preserve">пунктом "iii" настоящего пункта</w:t>
        </w:r>
      </w:hyperlink>
      <w:r>
        <w:rPr>
          <w:sz w:val="20"/>
        </w:rPr>
        <w:t xml:space="preserve">, для топлива.</w:t>
      </w:r>
    </w:p>
    <w:bookmarkStart w:id="755" w:name="P755"/>
    <w:bookmarkEnd w:id="755"/>
    <w:p>
      <w:pPr>
        <w:pStyle w:val="0"/>
        <w:spacing w:before="200" w:line-rule="auto"/>
        <w:ind w:firstLine="540"/>
        <w:jc w:val="both"/>
      </w:pPr>
      <w:r>
        <w:rPr>
          <w:sz w:val="20"/>
        </w:rPr>
        <w:t xml:space="preserve">3. В отношении многотопливных заводов по сжиганию, подпадающих под действие </w:t>
      </w:r>
      <w:hyperlink w:history="0" w:anchor="P606" w:tooltip="2. Все разрешения на установки, содержащие заводы по сжиганию, разрешение на которые были выданы до 7 января 2013 г., или операторы которых подали полностью оформленное заявление на выдачу разрешения до указанной даты, при условии, что такие заводы введены в эксплуатацию не позднее 7 января 2014 г., должны содержать условия, гарантирующие, что выбросы в воздух от таких заводов не превышают пороговые значения выбросов, установленные в части 1 Приложения V к настоящей Директиве.">
        <w:r>
          <w:rPr>
            <w:sz w:val="20"/>
            <w:color w:val="0000ff"/>
          </w:rPr>
          <w:t xml:space="preserve">статьи 30 (2)</w:t>
        </w:r>
      </w:hyperlink>
      <w:r>
        <w:rPr>
          <w:sz w:val="20"/>
        </w:rPr>
        <w:t xml:space="preserve"> настоящей Директивы и использующих дистилляцию и конверсию остатков перегонки сырой нефти для собственных нужд отдельно или совместно с другими видами топлива, вместо пороговых значений выбросов, определенных в соответствии с </w:t>
      </w:r>
      <w:hyperlink w:history="0" w:anchor="P744" w:tooltip="1. В отношении многотопливных заводов по сжиганию, использующих одновременно два или более видов топлива, компетентный орган устанавливает пороговые значения выбросов в следующем порядке:">
        <w:r>
          <w:rPr>
            <w:sz w:val="20"/>
            <w:color w:val="0000ff"/>
          </w:rPr>
          <w:t xml:space="preserve">параграфами 1</w:t>
        </w:r>
      </w:hyperlink>
      <w:r>
        <w:rPr>
          <w:sz w:val="20"/>
        </w:rPr>
        <w:t xml:space="preserve"> и </w:t>
      </w:r>
      <w:hyperlink w:history="0" w:anchor="P748" w:tooltip="2. В отношении многотопливных заводов по сжиганию, подпадающих под действие статьи 30 (2) настоящей Директивы и использующих дистилляцию и конверсию остатков перегонки сырой нефти для собственных нужд отдельно или совместно с другими видами топлива, применяются следующие пороговые значения выбросов, установленные в соответствии с параграфом 1 настоящей статьи:">
        <w:r>
          <w:rPr>
            <w:sz w:val="20"/>
            <w:color w:val="0000ff"/>
          </w:rPr>
          <w:t xml:space="preserve">2 настоящей статьи</w:t>
        </w:r>
      </w:hyperlink>
      <w:r>
        <w:rPr>
          <w:sz w:val="20"/>
        </w:rPr>
        <w:t xml:space="preserve">, могут применяться средние пороговые значения выбросов для диоксида серы, указанные в </w:t>
      </w:r>
      <w:hyperlink w:history="0" w:anchor="P2042" w:tooltip="Часть 7">
        <w:r>
          <w:rPr>
            <w:sz w:val="20"/>
            <w:color w:val="0000ff"/>
          </w:rPr>
          <w:t xml:space="preserve">части 7</w:t>
        </w:r>
      </w:hyperlink>
      <w:r>
        <w:rPr>
          <w:sz w:val="20"/>
        </w:rPr>
        <w:t xml:space="preserve"> Приложения V к настоящей Директиве.</w:t>
      </w:r>
    </w:p>
    <w:p>
      <w:pPr>
        <w:pStyle w:val="0"/>
        <w:ind w:firstLine="540"/>
        <w:jc w:val="both"/>
      </w:pPr>
      <w:r>
        <w:rPr>
          <w:sz w:val="20"/>
        </w:rPr>
      </w:r>
    </w:p>
    <w:bookmarkStart w:id="757" w:name="P757"/>
    <w:bookmarkEnd w:id="757"/>
    <w:p>
      <w:pPr>
        <w:pStyle w:val="0"/>
        <w:outlineLvl w:val="2"/>
        <w:jc w:val="center"/>
      </w:pPr>
      <w:r>
        <w:rPr>
          <w:sz w:val="20"/>
        </w:rPr>
        <w:t xml:space="preserve">Статья 41</w:t>
      </w:r>
    </w:p>
    <w:p>
      <w:pPr>
        <w:pStyle w:val="0"/>
        <w:jc w:val="center"/>
      </w:pPr>
      <w:r>
        <w:rPr>
          <w:sz w:val="20"/>
        </w:rPr>
      </w:r>
    </w:p>
    <w:p>
      <w:pPr>
        <w:pStyle w:val="0"/>
        <w:jc w:val="center"/>
      </w:pPr>
      <w:r>
        <w:rPr>
          <w:sz w:val="20"/>
        </w:rPr>
        <w:t xml:space="preserve">Имплементирующие нормы</w:t>
      </w:r>
    </w:p>
    <w:p>
      <w:pPr>
        <w:pStyle w:val="0"/>
        <w:jc w:val="center"/>
      </w:pPr>
      <w:r>
        <w:rPr>
          <w:sz w:val="20"/>
        </w:rPr>
      </w:r>
    </w:p>
    <w:p>
      <w:pPr>
        <w:pStyle w:val="0"/>
        <w:ind w:firstLine="540"/>
        <w:jc w:val="both"/>
      </w:pPr>
      <w:r>
        <w:rPr>
          <w:sz w:val="20"/>
        </w:rPr>
        <w:t xml:space="preserve">Имплементирующие нормы принимаются в отношении:</w:t>
      </w:r>
    </w:p>
    <w:p>
      <w:pPr>
        <w:pStyle w:val="0"/>
        <w:spacing w:before="200" w:line-rule="auto"/>
        <w:ind w:firstLine="540"/>
        <w:jc w:val="both"/>
      </w:pPr>
      <w:r>
        <w:rPr>
          <w:sz w:val="20"/>
        </w:rPr>
        <w:t xml:space="preserve">a) определения периодов включения и отключения, указанных в </w:t>
      </w:r>
      <w:hyperlink w:history="0" w:anchor="P191" w:tooltip="27) под &quot;часами эксплуатации&quot; понимается время, выраженное в часах, в течение которого завод по сжиганию в целом или его отдельные части функционирует и осуществляет выбросы в воздух, за исключением периодов включения и отключения;">
        <w:r>
          <w:rPr>
            <w:sz w:val="20"/>
            <w:color w:val="0000ff"/>
          </w:rPr>
          <w:t xml:space="preserve">пункте 27 статьи 3</w:t>
        </w:r>
      </w:hyperlink>
      <w:r>
        <w:rPr>
          <w:sz w:val="20"/>
        </w:rPr>
        <w:t xml:space="preserve"> и в </w:t>
      </w:r>
      <w:hyperlink w:history="0" w:anchor="P1986" w:tooltip="1. При проведении непрерывных измерений пороговые значения выбросов, установленные частями 1 и 2 настоящего Приложения, считаются соблюденными, если оценка результатов измерений показывает, что все нижеперечисленные условия соблюдены с учетом часов эксплуатации в календарном году:">
        <w:r>
          <w:rPr>
            <w:sz w:val="20"/>
            <w:color w:val="0000ff"/>
          </w:rPr>
          <w:t xml:space="preserve">пункте 1 части 4</w:t>
        </w:r>
      </w:hyperlink>
      <w:r>
        <w:rPr>
          <w:sz w:val="20"/>
        </w:rPr>
        <w:t xml:space="preserve"> Приложения V к настоящей Директиве;</w:t>
      </w:r>
    </w:p>
    <w:bookmarkStart w:id="763" w:name="P763"/>
    <w:bookmarkEnd w:id="763"/>
    <w:p>
      <w:pPr>
        <w:pStyle w:val="0"/>
        <w:spacing w:before="200" w:line-rule="auto"/>
        <w:ind w:firstLine="540"/>
        <w:jc w:val="both"/>
      </w:pPr>
      <w:r>
        <w:rPr>
          <w:sz w:val="20"/>
        </w:rPr>
        <w:t xml:space="preserve">b) переходных национальных планов, указанных в </w:t>
      </w:r>
      <w:hyperlink w:history="0" w:anchor="P645" w:tooltip="Статья 32">
        <w:r>
          <w:rPr>
            <w:sz w:val="20"/>
            <w:color w:val="0000ff"/>
          </w:rPr>
          <w:t xml:space="preserve">статье 32</w:t>
        </w:r>
      </w:hyperlink>
      <w:r>
        <w:rPr>
          <w:sz w:val="20"/>
        </w:rPr>
        <w:t xml:space="preserve"> настоящей Директивы, и, в частности, в отношении установления пределов выбросов, соответствующего мониторинга и системы отчетности.</w:t>
      </w:r>
    </w:p>
    <w:p>
      <w:pPr>
        <w:pStyle w:val="0"/>
        <w:spacing w:before="200" w:line-rule="auto"/>
        <w:ind w:firstLine="540"/>
        <w:jc w:val="both"/>
      </w:pPr>
      <w:r>
        <w:rPr>
          <w:sz w:val="20"/>
        </w:rPr>
        <w:t xml:space="preserve">Такие имплементирующие нормы принимаются в соответствии с регулятивной процедурой, предусмотренной </w:t>
      </w:r>
      <w:hyperlink w:history="0" w:anchor="P1150" w:tooltip="2. При любых ссылках на настоящий параграф применяются положения статьи 5 и 7 Решения 1999/468/ЕС с учетом положений статьи 8 названного Решения.">
        <w:r>
          <w:rPr>
            <w:sz w:val="20"/>
            <w:color w:val="0000ff"/>
          </w:rPr>
          <w:t xml:space="preserve">статьей 75 (2)</w:t>
        </w:r>
      </w:hyperlink>
      <w:r>
        <w:rPr>
          <w:sz w:val="20"/>
        </w:rPr>
        <w:t xml:space="preserve"> настоящей Директивы. Европейская комиссия вносит соответствующие предложения не позднее 7 июля 2011 г.</w:t>
      </w:r>
    </w:p>
    <w:p>
      <w:pPr>
        <w:pStyle w:val="0"/>
        <w:ind w:firstLine="540"/>
        <w:jc w:val="both"/>
      </w:pPr>
      <w:r>
        <w:rPr>
          <w:sz w:val="20"/>
        </w:rPr>
      </w:r>
    </w:p>
    <w:bookmarkStart w:id="766" w:name="P766"/>
    <w:bookmarkEnd w:id="766"/>
    <w:p>
      <w:pPr>
        <w:pStyle w:val="0"/>
        <w:outlineLvl w:val="1"/>
        <w:jc w:val="center"/>
      </w:pPr>
      <w:r>
        <w:rPr>
          <w:sz w:val="20"/>
        </w:rPr>
        <w:t xml:space="preserve">Глава IV. СПЕЦИАЛЬНЫЕ ПОЛОЖЕНИЯ ДЛЯ ЗАВОДОВ ПО СЖИГАНИЮ</w:t>
      </w:r>
    </w:p>
    <w:p>
      <w:pPr>
        <w:pStyle w:val="0"/>
        <w:jc w:val="center"/>
      </w:pPr>
      <w:r>
        <w:rPr>
          <w:sz w:val="20"/>
        </w:rPr>
        <w:t xml:space="preserve">ОТХОДОВ И СОВМЕСТНОМУ СЖИГАНИЮ ОТХОДОВ</w:t>
      </w:r>
    </w:p>
    <w:p>
      <w:pPr>
        <w:pStyle w:val="0"/>
        <w:jc w:val="center"/>
      </w:pPr>
      <w:r>
        <w:rPr>
          <w:sz w:val="20"/>
        </w:rPr>
      </w:r>
    </w:p>
    <w:bookmarkStart w:id="769" w:name="P769"/>
    <w:bookmarkEnd w:id="769"/>
    <w:p>
      <w:pPr>
        <w:pStyle w:val="0"/>
        <w:outlineLvl w:val="2"/>
        <w:jc w:val="center"/>
      </w:pPr>
      <w:r>
        <w:rPr>
          <w:sz w:val="20"/>
        </w:rPr>
        <w:t xml:space="preserve">Статья 42</w:t>
      </w:r>
    </w:p>
    <w:p>
      <w:pPr>
        <w:pStyle w:val="0"/>
        <w:jc w:val="center"/>
      </w:pPr>
      <w:r>
        <w:rPr>
          <w:sz w:val="20"/>
        </w:rPr>
      </w:r>
    </w:p>
    <w:p>
      <w:pPr>
        <w:pStyle w:val="0"/>
        <w:jc w:val="center"/>
      </w:pPr>
      <w:r>
        <w:rPr>
          <w:sz w:val="20"/>
        </w:rPr>
        <w:t xml:space="preserve">Сфера применения</w:t>
      </w:r>
    </w:p>
    <w:p>
      <w:pPr>
        <w:pStyle w:val="0"/>
        <w:jc w:val="center"/>
      </w:pPr>
      <w:r>
        <w:rPr>
          <w:sz w:val="20"/>
        </w:rPr>
      </w:r>
    </w:p>
    <w:bookmarkStart w:id="773" w:name="P773"/>
    <w:bookmarkEnd w:id="773"/>
    <w:p>
      <w:pPr>
        <w:pStyle w:val="0"/>
        <w:ind w:firstLine="540"/>
        <w:jc w:val="both"/>
      </w:pPr>
      <w:r>
        <w:rPr>
          <w:sz w:val="20"/>
        </w:rPr>
        <w:t xml:space="preserve">1. Настоящая глава применяется по отношению к заводам по сжиганию отходов и заводам по совместному сжиганию отходов, которые осуществляют сжигание или совместное сжигание твердых или жидких отходов.</w:t>
      </w:r>
    </w:p>
    <w:bookmarkStart w:id="774" w:name="P774"/>
    <w:bookmarkEnd w:id="774"/>
    <w:p>
      <w:pPr>
        <w:pStyle w:val="0"/>
        <w:spacing w:before="200" w:line-rule="auto"/>
        <w:ind w:firstLine="540"/>
        <w:jc w:val="both"/>
      </w:pPr>
      <w:r>
        <w:rPr>
          <w:sz w:val="20"/>
        </w:rPr>
        <w:t xml:space="preserve">Настоящая глава не применяется по отношению к заводам, осуществляющим газификацию или пиролиз, если газы, образующиеся в результате применения таких видов тепловой обработки, перед сжиганием очищаются до такой степени, что больше не относятся к отходам, а выбросы, образующиеся в результате их сжигания, не выше, чем выбросы от сжигания природного газа.</w:t>
      </w:r>
    </w:p>
    <w:bookmarkStart w:id="775" w:name="P775"/>
    <w:bookmarkEnd w:id="775"/>
    <w:p>
      <w:pPr>
        <w:pStyle w:val="0"/>
        <w:spacing w:before="200" w:line-rule="auto"/>
        <w:ind w:firstLine="540"/>
        <w:jc w:val="both"/>
      </w:pPr>
      <w:r>
        <w:rPr>
          <w:sz w:val="20"/>
        </w:rPr>
        <w:t xml:space="preserve">В целях настоящей главы к заводам по сжиганию отходов и заводам по совместному сжиганию отходов относятся все установки сжигания или совместного сжигания, прием отходов, хранение, оборудование для предварительной обработки, расположенное на участке, системы поставки отходов, топлива и воздуха, котлы, оборудование для переработки отработанных газов, расположенное на участке оборудование для обработки и хранения остатков и сточных вод, дымовые трубы, приборы и системы для контроля действий по сжиганию или совместному сжиганию, фиксирующие и осуществляющие мониторинг условий сжигания или совместного сжигания.</w:t>
      </w:r>
    </w:p>
    <w:bookmarkStart w:id="776" w:name="P776"/>
    <w:bookmarkEnd w:id="776"/>
    <w:p>
      <w:pPr>
        <w:pStyle w:val="0"/>
        <w:spacing w:before="200" w:line-rule="auto"/>
        <w:ind w:firstLine="540"/>
        <w:jc w:val="both"/>
      </w:pPr>
      <w:r>
        <w:rPr>
          <w:sz w:val="20"/>
        </w:rPr>
        <w:t xml:space="preserve">Если для тепловой обработки отходов применяются процессы, отличные от пиролиза, газификации или плазменной обработки, заводы по сжиганию отходов или по совместному сжиганию отходов должны включать как процессы тепловой обработки, так и процессы последующего сжигания.</w:t>
      </w:r>
    </w:p>
    <w:bookmarkStart w:id="777" w:name="P777"/>
    <w:bookmarkEnd w:id="777"/>
    <w:p>
      <w:pPr>
        <w:pStyle w:val="0"/>
        <w:spacing w:before="200" w:line-rule="auto"/>
        <w:ind w:firstLine="540"/>
        <w:jc w:val="both"/>
      </w:pPr>
      <w:r>
        <w:rPr>
          <w:sz w:val="20"/>
        </w:rPr>
        <w:t xml:space="preserve">Если совместное сжигание отходов осуществляется таким образом, что основной задачей завода не является производство энергии или производство продукции, но тепловая обработка отходов, завод считается заводом по сжиганию отходов.</w:t>
      </w:r>
    </w:p>
    <w:bookmarkStart w:id="778" w:name="P778"/>
    <w:bookmarkEnd w:id="778"/>
    <w:p>
      <w:pPr>
        <w:pStyle w:val="0"/>
        <w:spacing w:before="200" w:line-rule="auto"/>
        <w:ind w:firstLine="540"/>
        <w:jc w:val="both"/>
      </w:pPr>
      <w:r>
        <w:rPr>
          <w:sz w:val="20"/>
        </w:rPr>
        <w:t xml:space="preserve">2. Настоящая глава не применяется по отношению к следующим видам заводов:</w:t>
      </w:r>
    </w:p>
    <w:bookmarkStart w:id="779" w:name="P779"/>
    <w:bookmarkEnd w:id="779"/>
    <w:p>
      <w:pPr>
        <w:pStyle w:val="0"/>
        <w:spacing w:before="200" w:line-rule="auto"/>
        <w:ind w:firstLine="540"/>
        <w:jc w:val="both"/>
      </w:pPr>
      <w:r>
        <w:rPr>
          <w:sz w:val="20"/>
        </w:rPr>
        <w:t xml:space="preserve">a) заводам, обрабатывающим только следующие виды отходов:</w:t>
      </w:r>
    </w:p>
    <w:bookmarkStart w:id="780" w:name="P780"/>
    <w:bookmarkEnd w:id="780"/>
    <w:p>
      <w:pPr>
        <w:pStyle w:val="0"/>
        <w:spacing w:before="200" w:line-rule="auto"/>
        <w:ind w:firstLine="540"/>
        <w:jc w:val="both"/>
      </w:pPr>
      <w:r>
        <w:rPr>
          <w:sz w:val="20"/>
        </w:rPr>
        <w:t xml:space="preserve">i) отходы, перечисленные в </w:t>
      </w:r>
      <w:hyperlink w:history="0" w:anchor="P197" w:tooltip="b) следующие отходы:">
        <w:r>
          <w:rPr>
            <w:sz w:val="20"/>
            <w:color w:val="0000ff"/>
          </w:rPr>
          <w:t xml:space="preserve">подпункте "b" пункта 31 статьи 3</w:t>
        </w:r>
      </w:hyperlink>
      <w:r>
        <w:rPr>
          <w:sz w:val="20"/>
        </w:rPr>
        <w:t xml:space="preserve"> настоящей Директивы;</w:t>
      </w:r>
    </w:p>
    <w:bookmarkStart w:id="781" w:name="P781"/>
    <w:bookmarkEnd w:id="781"/>
    <w:p>
      <w:pPr>
        <w:pStyle w:val="0"/>
        <w:spacing w:before="200" w:line-rule="auto"/>
        <w:ind w:firstLine="540"/>
        <w:jc w:val="both"/>
      </w:pPr>
      <w:r>
        <w:rPr>
          <w:sz w:val="20"/>
        </w:rPr>
        <w:t xml:space="preserve">ii) радиоактивные отходы;</w:t>
      </w:r>
    </w:p>
    <w:bookmarkStart w:id="782" w:name="P782"/>
    <w:bookmarkEnd w:id="782"/>
    <w:p>
      <w:pPr>
        <w:pStyle w:val="0"/>
        <w:spacing w:before="200" w:line-rule="auto"/>
        <w:ind w:firstLine="540"/>
        <w:jc w:val="both"/>
      </w:pPr>
      <w:r>
        <w:rPr>
          <w:sz w:val="20"/>
        </w:rPr>
        <w:t xml:space="preserve">iii) останки животных, как предусмотрено Регламентом (ЕС) 1774/2002 Европейского парламента и Совета ЕС от 3 октября 2002 г., устанавливающим правила в отношении субпродуктов животного происхождения, не предназначенных для употребления человеком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ОЖ N L 273, 10.10.2002, стр. 1</w:t>
      </w:r>
    </w:p>
    <w:p>
      <w:pPr>
        <w:pStyle w:val="0"/>
        <w:ind w:firstLine="540"/>
        <w:jc w:val="both"/>
      </w:pPr>
      <w:r>
        <w:rPr>
          <w:sz w:val="20"/>
        </w:rPr>
      </w:r>
    </w:p>
    <w:bookmarkStart w:id="786" w:name="P786"/>
    <w:bookmarkEnd w:id="786"/>
    <w:p>
      <w:pPr>
        <w:pStyle w:val="0"/>
        <w:ind w:firstLine="540"/>
        <w:jc w:val="both"/>
      </w:pPr>
      <w:r>
        <w:rPr>
          <w:sz w:val="20"/>
        </w:rPr>
        <w:t xml:space="preserve">iv) отходы, образующиеся в результате разведывания и разработки запасов нефти и газа с помощью морских установок и сжигаемые на таких установках;</w:t>
      </w:r>
    </w:p>
    <w:bookmarkStart w:id="787" w:name="P787"/>
    <w:bookmarkEnd w:id="787"/>
    <w:p>
      <w:pPr>
        <w:pStyle w:val="0"/>
        <w:spacing w:before="200" w:line-rule="auto"/>
        <w:ind w:firstLine="540"/>
        <w:jc w:val="both"/>
      </w:pPr>
      <w:r>
        <w:rPr>
          <w:sz w:val="20"/>
        </w:rPr>
        <w:t xml:space="preserve">b) экспериментальным заводам, занимающимся научно-исследовательскими и опытно-конструкторскими работами, а также тестированием в целях повышения качества процесса сжигания, которые обрабатывают менее 50 тонн отходов в год.</w:t>
      </w:r>
    </w:p>
    <w:p>
      <w:pPr>
        <w:pStyle w:val="0"/>
        <w:ind w:firstLine="540"/>
        <w:jc w:val="both"/>
      </w:pPr>
      <w:r>
        <w:rPr>
          <w:sz w:val="20"/>
        </w:rPr>
      </w:r>
    </w:p>
    <w:bookmarkStart w:id="789" w:name="P789"/>
    <w:bookmarkEnd w:id="789"/>
    <w:p>
      <w:pPr>
        <w:pStyle w:val="0"/>
        <w:outlineLvl w:val="2"/>
        <w:jc w:val="center"/>
      </w:pPr>
      <w:r>
        <w:rPr>
          <w:sz w:val="20"/>
        </w:rPr>
        <w:t xml:space="preserve">Статья 43</w:t>
      </w:r>
    </w:p>
    <w:p>
      <w:pPr>
        <w:pStyle w:val="0"/>
        <w:jc w:val="center"/>
      </w:pPr>
      <w:r>
        <w:rPr>
          <w:sz w:val="20"/>
        </w:rPr>
      </w:r>
    </w:p>
    <w:p>
      <w:pPr>
        <w:pStyle w:val="0"/>
        <w:jc w:val="center"/>
      </w:pPr>
      <w:r>
        <w:rPr>
          <w:sz w:val="20"/>
        </w:rPr>
        <w:t xml:space="preserve">Определение остатков</w:t>
      </w:r>
    </w:p>
    <w:p>
      <w:pPr>
        <w:pStyle w:val="0"/>
        <w:jc w:val="center"/>
      </w:pPr>
      <w:r>
        <w:rPr>
          <w:sz w:val="20"/>
        </w:rPr>
      </w:r>
    </w:p>
    <w:p>
      <w:pPr>
        <w:pStyle w:val="0"/>
        <w:ind w:firstLine="540"/>
        <w:jc w:val="both"/>
      </w:pPr>
      <w:r>
        <w:rPr>
          <w:sz w:val="20"/>
        </w:rPr>
        <w:t xml:space="preserve">В целях настоящей главы под "остатками" понимаются любые жидкие или твердые отходы, произведенные заводом по сжиганию или заводом по совместному сжиганию отходов.</w:t>
      </w:r>
    </w:p>
    <w:p>
      <w:pPr>
        <w:pStyle w:val="0"/>
        <w:ind w:firstLine="540"/>
        <w:jc w:val="both"/>
      </w:pPr>
      <w:r>
        <w:rPr>
          <w:sz w:val="20"/>
        </w:rPr>
      </w:r>
    </w:p>
    <w:bookmarkStart w:id="795" w:name="P795"/>
    <w:bookmarkEnd w:id="795"/>
    <w:p>
      <w:pPr>
        <w:pStyle w:val="0"/>
        <w:outlineLvl w:val="2"/>
        <w:jc w:val="center"/>
      </w:pPr>
      <w:r>
        <w:rPr>
          <w:sz w:val="20"/>
        </w:rPr>
        <w:t xml:space="preserve">Статья 44</w:t>
      </w:r>
    </w:p>
    <w:p>
      <w:pPr>
        <w:pStyle w:val="0"/>
        <w:jc w:val="center"/>
      </w:pPr>
      <w:r>
        <w:rPr>
          <w:sz w:val="20"/>
        </w:rPr>
      </w:r>
    </w:p>
    <w:p>
      <w:pPr>
        <w:pStyle w:val="0"/>
        <w:jc w:val="center"/>
      </w:pPr>
      <w:r>
        <w:rPr>
          <w:sz w:val="20"/>
        </w:rPr>
        <w:t xml:space="preserve">Заявления на выдачу разрешений</w:t>
      </w:r>
    </w:p>
    <w:p>
      <w:pPr>
        <w:pStyle w:val="0"/>
        <w:jc w:val="center"/>
      </w:pPr>
      <w:r>
        <w:rPr>
          <w:sz w:val="20"/>
        </w:rPr>
      </w:r>
    </w:p>
    <w:p>
      <w:pPr>
        <w:pStyle w:val="0"/>
        <w:ind w:firstLine="540"/>
        <w:jc w:val="both"/>
      </w:pPr>
      <w:r>
        <w:rPr>
          <w:sz w:val="20"/>
        </w:rPr>
        <w:t xml:space="preserve">Заявление на выдачу разрешения для завода по сжиганию или завода по совместному сжиганию отходов должно содержать описание мер, направленных на обеспечение соблюдения следующих требований:</w:t>
      </w:r>
    </w:p>
    <w:p>
      <w:pPr>
        <w:pStyle w:val="0"/>
        <w:spacing w:before="200" w:line-rule="auto"/>
        <w:ind w:firstLine="540"/>
        <w:jc w:val="both"/>
      </w:pPr>
      <w:r>
        <w:rPr>
          <w:sz w:val="20"/>
        </w:rPr>
        <w:t xml:space="preserve">a) завод сконструирован, оборудован, будет обслуживаться и эксплуатироваться с соблюдением требований настоящей главы с учетом категорий отходов, подлежащих сжиганию или совместному сжиганию;</w:t>
      </w:r>
    </w:p>
    <w:p>
      <w:pPr>
        <w:pStyle w:val="0"/>
        <w:spacing w:before="200" w:line-rule="auto"/>
        <w:ind w:firstLine="540"/>
        <w:jc w:val="both"/>
      </w:pPr>
      <w:r>
        <w:rPr>
          <w:sz w:val="20"/>
        </w:rPr>
        <w:t xml:space="preserve">b) тепло, генерируемое в процессе сжигания или совместного сжигания, извлекается, насколько это достижимо, посредством образования тепла, теплого воздуха или мощности;</w:t>
      </w:r>
    </w:p>
    <w:p>
      <w:pPr>
        <w:pStyle w:val="0"/>
        <w:spacing w:before="200" w:line-rule="auto"/>
        <w:ind w:firstLine="540"/>
        <w:jc w:val="both"/>
      </w:pPr>
      <w:r>
        <w:rPr>
          <w:sz w:val="20"/>
        </w:rPr>
        <w:t xml:space="preserve">c) количество и вредность остатков сведены к минимуму; при необходимости осуществляется переработка остатков;</w:t>
      </w:r>
    </w:p>
    <w:p>
      <w:pPr>
        <w:pStyle w:val="0"/>
        <w:spacing w:before="200" w:line-rule="auto"/>
        <w:ind w:firstLine="540"/>
        <w:jc w:val="both"/>
      </w:pPr>
      <w:r>
        <w:rPr>
          <w:sz w:val="20"/>
        </w:rPr>
        <w:t xml:space="preserve">d) захоронение остатков, образование которых невозможно предотвратить, а также остатков, которые невозможно сократить или переработать, осуществляется в соответствии с национальным законодательством и законодательством Европейского Союза.</w:t>
      </w:r>
    </w:p>
    <w:p>
      <w:pPr>
        <w:pStyle w:val="0"/>
        <w:ind w:firstLine="540"/>
        <w:jc w:val="both"/>
      </w:pPr>
      <w:r>
        <w:rPr>
          <w:sz w:val="20"/>
        </w:rPr>
      </w:r>
    </w:p>
    <w:p>
      <w:pPr>
        <w:pStyle w:val="0"/>
        <w:outlineLvl w:val="2"/>
        <w:jc w:val="center"/>
      </w:pPr>
      <w:r>
        <w:rPr>
          <w:sz w:val="20"/>
        </w:rPr>
        <w:t xml:space="preserve">Статья 45</w:t>
      </w:r>
    </w:p>
    <w:p>
      <w:pPr>
        <w:pStyle w:val="0"/>
        <w:jc w:val="center"/>
      </w:pPr>
      <w:r>
        <w:rPr>
          <w:sz w:val="20"/>
        </w:rPr>
      </w:r>
    </w:p>
    <w:p>
      <w:pPr>
        <w:pStyle w:val="0"/>
        <w:jc w:val="center"/>
      </w:pPr>
      <w:r>
        <w:rPr>
          <w:sz w:val="20"/>
        </w:rPr>
        <w:t xml:space="preserve">Условия разрешения</w:t>
      </w:r>
    </w:p>
    <w:p>
      <w:pPr>
        <w:pStyle w:val="0"/>
        <w:jc w:val="center"/>
      </w:pPr>
      <w:r>
        <w:rPr>
          <w:sz w:val="20"/>
        </w:rPr>
      </w:r>
    </w:p>
    <w:bookmarkStart w:id="809" w:name="P809"/>
    <w:bookmarkEnd w:id="809"/>
    <w:p>
      <w:pPr>
        <w:pStyle w:val="0"/>
        <w:ind w:firstLine="540"/>
        <w:jc w:val="both"/>
      </w:pPr>
      <w:r>
        <w:rPr>
          <w:sz w:val="20"/>
        </w:rPr>
        <w:t xml:space="preserve">1. Разрешение включает следующие сведения:</w:t>
      </w:r>
    </w:p>
    <w:bookmarkStart w:id="810" w:name="P810"/>
    <w:bookmarkEnd w:id="810"/>
    <w:p>
      <w:pPr>
        <w:pStyle w:val="0"/>
        <w:spacing w:before="200" w:line-rule="auto"/>
        <w:ind w:firstLine="540"/>
        <w:jc w:val="both"/>
      </w:pPr>
      <w:r>
        <w:rPr>
          <w:sz w:val="20"/>
        </w:rPr>
        <w:t xml:space="preserve">a) перечень всех видов отходов, которые могут подвергаться обработке, с использованием по возможности видов отходов, установленных в Европейском перечне отходов, утвержденном </w:t>
      </w:r>
      <w:hyperlink w:history="0" r:id="rId64" w:tooltip="Решение N 2000/532/ЕС Комиссии Европейских сообществ &quot;О замене Решения 94/3/ЕС, устанавливающего список отходов согласно Статье 1(а) Директивы 75/442/ЕЭС Совета ЕС об отходах, и замене Решения 94/904/ЕС Совета ЕС, устанавливающего список опасных отходов согласно Статье 1(4) Директивы 91/689/ЕЭС Совета ЕС об опасных отходах&quot; (С(2000) 1147) [рус., англ.] (Вместе со &quot;Списком отходов, указанным в статье 7 Директивы 2008/98/ЕС&quot;) (Принято в г. Брюсселе 03.05.2000) (с изм. и доп. от 18.12.2014) {КонсультантПлюс}">
        <w:r>
          <w:rPr>
            <w:sz w:val="20"/>
            <w:color w:val="0000ff"/>
          </w:rPr>
          <w:t xml:space="preserve">Решением</w:t>
        </w:r>
      </w:hyperlink>
      <w:r>
        <w:rPr>
          <w:sz w:val="20"/>
        </w:rPr>
        <w:t xml:space="preserve"> 2000/532/ЕС, и указанием на количество каждого вида отходов при необходимости;</w:t>
      </w:r>
    </w:p>
    <w:bookmarkStart w:id="811" w:name="P811"/>
    <w:bookmarkEnd w:id="811"/>
    <w:p>
      <w:pPr>
        <w:pStyle w:val="0"/>
        <w:spacing w:before="200" w:line-rule="auto"/>
        <w:ind w:firstLine="540"/>
        <w:jc w:val="both"/>
      </w:pPr>
      <w:r>
        <w:rPr>
          <w:sz w:val="20"/>
        </w:rPr>
        <w:t xml:space="preserve">b) совокупная мощность завода по сжиганию или совместному сжиганию отходов;</w:t>
      </w:r>
    </w:p>
    <w:bookmarkStart w:id="812" w:name="P812"/>
    <w:bookmarkEnd w:id="812"/>
    <w:p>
      <w:pPr>
        <w:pStyle w:val="0"/>
        <w:spacing w:before="200" w:line-rule="auto"/>
        <w:ind w:firstLine="540"/>
        <w:jc w:val="both"/>
      </w:pPr>
      <w:r>
        <w:rPr>
          <w:sz w:val="20"/>
        </w:rPr>
        <w:t xml:space="preserve">c) пороговые значения выбросов в воздух и воду;</w:t>
      </w:r>
    </w:p>
    <w:bookmarkStart w:id="813" w:name="P813"/>
    <w:bookmarkEnd w:id="813"/>
    <w:p>
      <w:pPr>
        <w:pStyle w:val="0"/>
        <w:spacing w:before="200" w:line-rule="auto"/>
        <w:ind w:firstLine="540"/>
        <w:jc w:val="both"/>
      </w:pPr>
      <w:r>
        <w:rPr>
          <w:sz w:val="20"/>
        </w:rPr>
        <w:t xml:space="preserve">d) требования к величине pH, температуре и скорости потока при сливе сточных вод;</w:t>
      </w:r>
    </w:p>
    <w:bookmarkStart w:id="814" w:name="P814"/>
    <w:bookmarkEnd w:id="814"/>
    <w:p>
      <w:pPr>
        <w:pStyle w:val="0"/>
        <w:spacing w:before="200" w:line-rule="auto"/>
        <w:ind w:firstLine="540"/>
        <w:jc w:val="both"/>
      </w:pPr>
      <w:r>
        <w:rPr>
          <w:sz w:val="20"/>
        </w:rPr>
        <w:t xml:space="preserve">e) порядок и частота взятия образцов и проведения измерений с учетом условий, установленных для мониторинга выбросов;</w:t>
      </w:r>
    </w:p>
    <w:bookmarkStart w:id="815" w:name="P815"/>
    <w:bookmarkEnd w:id="815"/>
    <w:p>
      <w:pPr>
        <w:pStyle w:val="0"/>
        <w:spacing w:before="200" w:line-rule="auto"/>
        <w:ind w:firstLine="540"/>
        <w:jc w:val="both"/>
      </w:pPr>
      <w:r>
        <w:rPr>
          <w:sz w:val="20"/>
        </w:rPr>
        <w:t xml:space="preserve">f) максимально допустимый период технически неизбежных перебоев, помех или нарушений функционирования очистительных или измерительных приборов, в течение которого выбросы в воздух или сливы сточных вод могут превышать установленные пороговые значения выбросов.</w:t>
      </w:r>
    </w:p>
    <w:bookmarkStart w:id="816" w:name="P816"/>
    <w:bookmarkEnd w:id="816"/>
    <w:p>
      <w:pPr>
        <w:pStyle w:val="0"/>
        <w:spacing w:before="200" w:line-rule="auto"/>
        <w:ind w:firstLine="540"/>
        <w:jc w:val="both"/>
      </w:pPr>
      <w:r>
        <w:rPr>
          <w:sz w:val="20"/>
        </w:rPr>
        <w:t xml:space="preserve">2. В дополнение к требованиям, установленным в </w:t>
      </w:r>
      <w:hyperlink w:history="0" w:anchor="P809" w:tooltip="1. Разрешение включает следующие сведения:">
        <w:r>
          <w:rPr>
            <w:sz w:val="20"/>
            <w:color w:val="0000ff"/>
          </w:rPr>
          <w:t xml:space="preserve">параграфе 1 настоящей статьи</w:t>
        </w:r>
      </w:hyperlink>
      <w:r>
        <w:rPr>
          <w:sz w:val="20"/>
        </w:rPr>
        <w:t xml:space="preserve">, разрешение, выданное заводу по сжиганию или совместному сжиганию отходов, где сжигаются опасные отходы, должно включать следующие сведения:</w:t>
      </w:r>
    </w:p>
    <w:p>
      <w:pPr>
        <w:pStyle w:val="0"/>
        <w:spacing w:before="200" w:line-rule="auto"/>
        <w:ind w:firstLine="540"/>
        <w:jc w:val="both"/>
      </w:pPr>
      <w:r>
        <w:rPr>
          <w:sz w:val="20"/>
        </w:rPr>
        <w:t xml:space="preserve">a) перечень и количество различных категорий опасных отходов, которые могут подвергаться обработке;</w:t>
      </w:r>
    </w:p>
    <w:p>
      <w:pPr>
        <w:pStyle w:val="0"/>
        <w:spacing w:before="200" w:line-rule="auto"/>
        <w:ind w:firstLine="540"/>
        <w:jc w:val="both"/>
      </w:pPr>
      <w:r>
        <w:rPr>
          <w:sz w:val="20"/>
        </w:rPr>
        <w:t xml:space="preserve">b) минимальный и максимальный расход массы таких опасных отходов, их минимальная и максимальная теплота сгорания, а также максимальное содержание в них полихлорированных бифенилов, пентахлорфенола, хлора, фтора, серы, тяжелых металлов и других загрязняющих веществ.</w:t>
      </w:r>
    </w:p>
    <w:bookmarkStart w:id="819" w:name="P819"/>
    <w:bookmarkEnd w:id="819"/>
    <w:p>
      <w:pPr>
        <w:pStyle w:val="0"/>
        <w:spacing w:before="200" w:line-rule="auto"/>
        <w:ind w:firstLine="540"/>
        <w:jc w:val="both"/>
      </w:pPr>
      <w:r>
        <w:rPr>
          <w:sz w:val="20"/>
        </w:rPr>
        <w:t xml:space="preserve">3. Государства-члены ЕС вправе определять категории отходов, подлежащих включению в разрешение, которые могут быть подвержены совместному сжиганию на определенных заводах по совместному сжиганию отходов.</w:t>
      </w:r>
    </w:p>
    <w:bookmarkStart w:id="820" w:name="P820"/>
    <w:bookmarkEnd w:id="820"/>
    <w:p>
      <w:pPr>
        <w:pStyle w:val="0"/>
        <w:spacing w:before="200" w:line-rule="auto"/>
        <w:ind w:firstLine="540"/>
        <w:jc w:val="both"/>
      </w:pPr>
      <w:r>
        <w:rPr>
          <w:sz w:val="20"/>
        </w:rPr>
        <w:t xml:space="preserve">4. Компетентный орган периодически пересматривает и при необходимости изменяет условия разрешения.</w:t>
      </w:r>
    </w:p>
    <w:p>
      <w:pPr>
        <w:pStyle w:val="0"/>
        <w:ind w:firstLine="540"/>
        <w:jc w:val="both"/>
      </w:pPr>
      <w:r>
        <w:rPr>
          <w:sz w:val="20"/>
        </w:rPr>
      </w:r>
    </w:p>
    <w:p>
      <w:pPr>
        <w:pStyle w:val="0"/>
        <w:outlineLvl w:val="2"/>
        <w:jc w:val="center"/>
      </w:pPr>
      <w:r>
        <w:rPr>
          <w:sz w:val="20"/>
        </w:rPr>
        <w:t xml:space="preserve">Статья 46</w:t>
      </w:r>
    </w:p>
    <w:p>
      <w:pPr>
        <w:pStyle w:val="0"/>
        <w:jc w:val="center"/>
      </w:pPr>
      <w:r>
        <w:rPr>
          <w:sz w:val="20"/>
        </w:rPr>
      </w:r>
    </w:p>
    <w:p>
      <w:pPr>
        <w:pStyle w:val="0"/>
        <w:jc w:val="center"/>
      </w:pPr>
      <w:r>
        <w:rPr>
          <w:sz w:val="20"/>
        </w:rPr>
        <w:t xml:space="preserve">Контроль выбросов</w:t>
      </w:r>
    </w:p>
    <w:p>
      <w:pPr>
        <w:pStyle w:val="0"/>
        <w:jc w:val="center"/>
      </w:pPr>
      <w:r>
        <w:rPr>
          <w:sz w:val="20"/>
        </w:rPr>
      </w:r>
    </w:p>
    <w:bookmarkStart w:id="826" w:name="P826"/>
    <w:bookmarkEnd w:id="826"/>
    <w:p>
      <w:pPr>
        <w:pStyle w:val="0"/>
        <w:ind w:firstLine="540"/>
        <w:jc w:val="both"/>
      </w:pPr>
      <w:r>
        <w:rPr>
          <w:sz w:val="20"/>
        </w:rPr>
        <w:t xml:space="preserve">1. Выброс газообразных отходов от заводов по сжиганию отходов и от заводов по совместному сжиганию отходов осуществляется под контролем через дымовую трубу, высота которой исчисляется таким образом, чтобы обеспечить защиту здоровья человека и окружающей среды.</w:t>
      </w:r>
    </w:p>
    <w:bookmarkStart w:id="827" w:name="P827"/>
    <w:bookmarkEnd w:id="827"/>
    <w:p>
      <w:pPr>
        <w:pStyle w:val="0"/>
        <w:spacing w:before="200" w:line-rule="auto"/>
        <w:ind w:firstLine="540"/>
        <w:jc w:val="both"/>
      </w:pPr>
      <w:r>
        <w:rPr>
          <w:sz w:val="20"/>
        </w:rPr>
        <w:t xml:space="preserve">2. Выбросы в воздух от заводов по сжиганию отходов и от заводов по совместному сжиганию отходов не должны превышать пороговые значения выбросов, установленные </w:t>
      </w:r>
      <w:hyperlink w:history="0" w:anchor="P2135" w:tooltip="Часть 3">
        <w:r>
          <w:rPr>
            <w:sz w:val="20"/>
            <w:color w:val="0000ff"/>
          </w:rPr>
          <w:t xml:space="preserve">частями 3</w:t>
        </w:r>
      </w:hyperlink>
      <w:r>
        <w:rPr>
          <w:sz w:val="20"/>
        </w:rPr>
        <w:t xml:space="preserve"> и </w:t>
      </w:r>
      <w:hyperlink w:history="0" w:anchor="P2262" w:tooltip="Часть 4">
        <w:r>
          <w:rPr>
            <w:sz w:val="20"/>
            <w:color w:val="0000ff"/>
          </w:rPr>
          <w:t xml:space="preserve">4</w:t>
        </w:r>
      </w:hyperlink>
      <w:r>
        <w:rPr>
          <w:sz w:val="20"/>
        </w:rPr>
        <w:t xml:space="preserve"> Приложения VI к настоящей Директиве, или определенные в соответствии с частью 4 указанного Приложения.</w:t>
      </w:r>
    </w:p>
    <w:bookmarkStart w:id="828" w:name="P828"/>
    <w:bookmarkEnd w:id="828"/>
    <w:p>
      <w:pPr>
        <w:pStyle w:val="0"/>
        <w:spacing w:before="200" w:line-rule="auto"/>
        <w:ind w:firstLine="540"/>
        <w:jc w:val="both"/>
      </w:pPr>
      <w:r>
        <w:rPr>
          <w:sz w:val="20"/>
        </w:rPr>
        <w:t xml:space="preserve">В случае если на заводе по совместному сжиганию отходов более 40% тепла выделяется при сжигании опасных отходов либо завод осуществляет совместное сжигание необработанных смешанных бытовых отходов, применяются пороговые значения выбросов, установленные частью 3 Приложения VI к настоящей Директиве.</w:t>
      </w:r>
    </w:p>
    <w:bookmarkStart w:id="829" w:name="P829"/>
    <w:bookmarkEnd w:id="829"/>
    <w:p>
      <w:pPr>
        <w:pStyle w:val="0"/>
        <w:spacing w:before="200" w:line-rule="auto"/>
        <w:ind w:firstLine="540"/>
        <w:jc w:val="both"/>
      </w:pPr>
      <w:r>
        <w:rPr>
          <w:sz w:val="20"/>
        </w:rPr>
        <w:t xml:space="preserve">3. Слив в водную среду сточных вод, образующихся вследствие очистки газообразных отходов, должен быть ограничен, насколько это возможно. При этом концентрация загрязняющих веществ не должна превышать пороговые значения выбросов, установленные </w:t>
      </w:r>
      <w:hyperlink w:history="0" w:anchor="P2620" w:tooltip="Часть 5">
        <w:r>
          <w:rPr>
            <w:sz w:val="20"/>
            <w:color w:val="0000ff"/>
          </w:rPr>
          <w:t xml:space="preserve">частью 5</w:t>
        </w:r>
      </w:hyperlink>
      <w:r>
        <w:rPr>
          <w:sz w:val="20"/>
        </w:rPr>
        <w:t xml:space="preserve"> Приложения VI к настоящей Директиве.</w:t>
      </w:r>
    </w:p>
    <w:bookmarkStart w:id="830" w:name="P830"/>
    <w:bookmarkEnd w:id="830"/>
    <w:p>
      <w:pPr>
        <w:pStyle w:val="0"/>
        <w:spacing w:before="200" w:line-rule="auto"/>
        <w:ind w:firstLine="540"/>
        <w:jc w:val="both"/>
      </w:pPr>
      <w:r>
        <w:rPr>
          <w:sz w:val="20"/>
        </w:rPr>
        <w:t xml:space="preserve">4. Пороговые значения выбросов применяются в месте слива сточных вод, образуемых вследствие очистки газообразных отходов заводами по сжиганию отходов или заводами по совместному сжиганию отходов.</w:t>
      </w:r>
    </w:p>
    <w:bookmarkStart w:id="831" w:name="P831"/>
    <w:bookmarkEnd w:id="831"/>
    <w:p>
      <w:pPr>
        <w:pStyle w:val="0"/>
        <w:spacing w:before="200" w:line-rule="auto"/>
        <w:ind w:firstLine="540"/>
        <w:jc w:val="both"/>
      </w:pPr>
      <w:r>
        <w:rPr>
          <w:sz w:val="20"/>
        </w:rPr>
        <w:t xml:space="preserve">При обработке сточных вод, образуемых вследствие очистки газообразных отходов, за пределами завода по сжиганию отходов или завода по совместному сжиганию отходов на водоочистной станции, предназначенной исключительно для обработки такого рода сточных вод, применяются пороговые значения выбросов, установленные </w:t>
      </w:r>
      <w:hyperlink w:history="0" w:anchor="P2620" w:tooltip="Часть 5">
        <w:r>
          <w:rPr>
            <w:sz w:val="20"/>
            <w:color w:val="0000ff"/>
          </w:rPr>
          <w:t xml:space="preserve">частью 5</w:t>
        </w:r>
      </w:hyperlink>
      <w:r>
        <w:rPr>
          <w:sz w:val="20"/>
        </w:rPr>
        <w:t xml:space="preserve"> Приложения VI к настоящей Директиве, в месте выхода сточных вод с водоочистной станции. При обработке сточных вод, образуемых вследствие очистки газообразных отходов, совместно с другими источниками сточных вод, находящихся на территории или за пределами завода, оператор производит подсчет объемов производства, используя результаты измерений, предусмотренных </w:t>
      </w:r>
      <w:hyperlink w:history="0" w:anchor="P2691" w:tooltip="2. Измерения загрязняющих воздух веществ">
        <w:r>
          <w:rPr>
            <w:sz w:val="20"/>
            <w:color w:val="0000ff"/>
          </w:rPr>
          <w:t xml:space="preserve">пунктом 2 части 6</w:t>
        </w:r>
      </w:hyperlink>
      <w:r>
        <w:rPr>
          <w:sz w:val="20"/>
        </w:rPr>
        <w:t xml:space="preserve"> Приложения VI к настоящей Директиве, чтобы определить уровни выбросов для окончательного слива сточных вод, которые могут применяться к сточным водам, образуемым вследствие очистки газообразных отходов.</w:t>
      </w:r>
    </w:p>
    <w:bookmarkStart w:id="832" w:name="P832"/>
    <w:bookmarkEnd w:id="832"/>
    <w:p>
      <w:pPr>
        <w:pStyle w:val="0"/>
        <w:spacing w:before="200" w:line-rule="auto"/>
        <w:ind w:firstLine="540"/>
        <w:jc w:val="both"/>
      </w:pPr>
      <w:r>
        <w:rPr>
          <w:sz w:val="20"/>
        </w:rPr>
        <w:t xml:space="preserve">Разжижение сточных вод ни при каких обстоятельствах не должно иметь место в целях соблюдения пороговых значений выбросов, установленных </w:t>
      </w:r>
      <w:hyperlink w:history="0" w:anchor="P2620" w:tooltip="Часть 5">
        <w:r>
          <w:rPr>
            <w:sz w:val="20"/>
            <w:color w:val="0000ff"/>
          </w:rPr>
          <w:t xml:space="preserve">частью 5</w:t>
        </w:r>
      </w:hyperlink>
      <w:r>
        <w:rPr>
          <w:sz w:val="20"/>
        </w:rPr>
        <w:t xml:space="preserve"> Приложения VI к настоящей Директиве.</w:t>
      </w:r>
    </w:p>
    <w:bookmarkStart w:id="833" w:name="P833"/>
    <w:bookmarkEnd w:id="833"/>
    <w:p>
      <w:pPr>
        <w:pStyle w:val="0"/>
        <w:spacing w:before="200" w:line-rule="auto"/>
        <w:ind w:firstLine="540"/>
        <w:jc w:val="both"/>
      </w:pPr>
      <w:r>
        <w:rPr>
          <w:sz w:val="20"/>
        </w:rPr>
        <w:t xml:space="preserve">5. Участки, на которых расположены заводы по сжиганию отходов или заводы по совместному сжиганию отходов, в том числе соответствующие места для хранения отходов, проектируются и эксплуатируются таким образом, чтобы предотвратить несанкционированное и аварийное выделение загрязняющих веществ в почву, поверхностные воды и грунтовые воды.</w:t>
      </w:r>
    </w:p>
    <w:p>
      <w:pPr>
        <w:pStyle w:val="0"/>
        <w:spacing w:before="200" w:line-rule="auto"/>
        <w:ind w:firstLine="540"/>
        <w:jc w:val="both"/>
      </w:pPr>
      <w:r>
        <w:rPr>
          <w:sz w:val="20"/>
        </w:rPr>
        <w:t xml:space="preserve">Необходимо предоставить водохранилище для загрязненной дождевой воды, образующейся на участках, на которых расположены заводы по сжиганию отходов или заводы по совместному сжиганию отходов вследствие разбрызгивания или операций по пожаротушению. Водохранилище должно быть достаточным, чтобы обеспечить возможность исследования таких вод и обработки перед сливом при необходимости.</w:t>
      </w:r>
    </w:p>
    <w:bookmarkStart w:id="835" w:name="P835"/>
    <w:bookmarkEnd w:id="835"/>
    <w:p>
      <w:pPr>
        <w:pStyle w:val="0"/>
        <w:spacing w:before="200" w:line-rule="auto"/>
        <w:ind w:firstLine="540"/>
        <w:jc w:val="both"/>
      </w:pPr>
      <w:r>
        <w:rPr>
          <w:sz w:val="20"/>
        </w:rPr>
        <w:t xml:space="preserve">6. Без ущерба действию </w:t>
      </w:r>
      <w:hyperlink w:history="0" w:anchor="P878" w:tooltip="c) во всех случаях, когда непрерывные измерения показывают, что любое пороговое значение выбросов превышено вследствие неисправностей или сбоя в работе приборов по очистке отработанных газов.">
        <w:r>
          <w:rPr>
            <w:sz w:val="20"/>
            <w:color w:val="0000ff"/>
          </w:rPr>
          <w:t xml:space="preserve">статьи 50 (4) "c"</w:t>
        </w:r>
      </w:hyperlink>
      <w:r>
        <w:rPr>
          <w:sz w:val="20"/>
        </w:rPr>
        <w:t xml:space="preserve"> настоящей Директивы заводы по сжиганию отходов или заводы по совместному сжиганию отходов либо отдельные печи, входящие в состав таких заводов, ни при каких обстоятельствах не должны сжигать отходы более 4 часов подряд при превышении пороговых значений выбросов.</w:t>
      </w:r>
    </w:p>
    <w:p>
      <w:pPr>
        <w:pStyle w:val="0"/>
        <w:spacing w:before="200" w:line-rule="auto"/>
        <w:ind w:firstLine="540"/>
        <w:jc w:val="both"/>
      </w:pPr>
      <w:r>
        <w:rPr>
          <w:sz w:val="20"/>
        </w:rPr>
        <w:t xml:space="preserve">Общая продолжительность операций при таких условиях за 1 год не должна превышать 60 часов.</w:t>
      </w:r>
    </w:p>
    <w:p>
      <w:pPr>
        <w:pStyle w:val="0"/>
        <w:spacing w:before="200" w:line-rule="auto"/>
        <w:ind w:firstLine="540"/>
        <w:jc w:val="both"/>
      </w:pPr>
      <w:r>
        <w:rPr>
          <w:sz w:val="20"/>
        </w:rPr>
        <w:t xml:space="preserve">Срок, установленный во втором подпараграфе, применяется к печам, которые связаны с единственным прибором по очистке газообразных отходов.</w:t>
      </w:r>
    </w:p>
    <w:p>
      <w:pPr>
        <w:pStyle w:val="0"/>
        <w:ind w:firstLine="540"/>
        <w:jc w:val="both"/>
      </w:pPr>
      <w:r>
        <w:rPr>
          <w:sz w:val="20"/>
        </w:rPr>
      </w:r>
    </w:p>
    <w:bookmarkStart w:id="839" w:name="P839"/>
    <w:bookmarkEnd w:id="839"/>
    <w:p>
      <w:pPr>
        <w:pStyle w:val="0"/>
        <w:outlineLvl w:val="2"/>
        <w:jc w:val="center"/>
      </w:pPr>
      <w:r>
        <w:rPr>
          <w:sz w:val="20"/>
        </w:rPr>
        <w:t xml:space="preserve">Статья 47</w:t>
      </w:r>
    </w:p>
    <w:p>
      <w:pPr>
        <w:pStyle w:val="0"/>
        <w:jc w:val="center"/>
      </w:pPr>
      <w:r>
        <w:rPr>
          <w:sz w:val="20"/>
        </w:rPr>
      </w:r>
    </w:p>
    <w:p>
      <w:pPr>
        <w:pStyle w:val="0"/>
        <w:jc w:val="center"/>
      </w:pPr>
      <w:r>
        <w:rPr>
          <w:sz w:val="20"/>
        </w:rPr>
        <w:t xml:space="preserve">Выход из строя</w:t>
      </w:r>
    </w:p>
    <w:p>
      <w:pPr>
        <w:pStyle w:val="0"/>
        <w:jc w:val="center"/>
      </w:pPr>
      <w:r>
        <w:rPr>
          <w:sz w:val="20"/>
        </w:rPr>
      </w:r>
    </w:p>
    <w:p>
      <w:pPr>
        <w:pStyle w:val="0"/>
        <w:ind w:firstLine="540"/>
        <w:jc w:val="both"/>
      </w:pPr>
      <w:r>
        <w:rPr>
          <w:sz w:val="20"/>
        </w:rPr>
        <w:t xml:space="preserve">При выходе из строя оборудования оператор сокращает или прекращает все виды деятельности в короткие сроки, насколько это возможно, до восстановления нормального функционирования.</w:t>
      </w:r>
    </w:p>
    <w:p>
      <w:pPr>
        <w:pStyle w:val="0"/>
        <w:ind w:firstLine="540"/>
        <w:jc w:val="both"/>
      </w:pPr>
      <w:r>
        <w:rPr>
          <w:sz w:val="20"/>
        </w:rPr>
      </w:r>
    </w:p>
    <w:p>
      <w:pPr>
        <w:pStyle w:val="0"/>
        <w:outlineLvl w:val="2"/>
        <w:jc w:val="center"/>
      </w:pPr>
      <w:r>
        <w:rPr>
          <w:sz w:val="20"/>
        </w:rPr>
        <w:t xml:space="preserve">Статья 48</w:t>
      </w:r>
    </w:p>
    <w:p>
      <w:pPr>
        <w:pStyle w:val="0"/>
        <w:jc w:val="center"/>
      </w:pPr>
      <w:r>
        <w:rPr>
          <w:sz w:val="20"/>
        </w:rPr>
      </w:r>
    </w:p>
    <w:p>
      <w:pPr>
        <w:pStyle w:val="0"/>
        <w:jc w:val="center"/>
      </w:pPr>
      <w:r>
        <w:rPr>
          <w:sz w:val="20"/>
        </w:rPr>
        <w:t xml:space="preserve">Мониторинг выбросов</w:t>
      </w:r>
    </w:p>
    <w:p>
      <w:pPr>
        <w:pStyle w:val="0"/>
        <w:jc w:val="center"/>
      </w:pPr>
      <w:r>
        <w:rPr>
          <w:sz w:val="20"/>
        </w:rPr>
      </w:r>
    </w:p>
    <w:bookmarkStart w:id="849" w:name="P849"/>
    <w:bookmarkEnd w:id="849"/>
    <w:p>
      <w:pPr>
        <w:pStyle w:val="0"/>
        <w:ind w:firstLine="540"/>
        <w:jc w:val="both"/>
      </w:pPr>
      <w:r>
        <w:rPr>
          <w:sz w:val="20"/>
        </w:rPr>
        <w:t xml:space="preserve">1. Государства-члены ЕС гарантируют, что мониторинг выбросов осуществляется в соответствии с </w:t>
      </w:r>
      <w:hyperlink w:history="0" w:anchor="P2665" w:tooltip="Часть 6">
        <w:r>
          <w:rPr>
            <w:sz w:val="20"/>
            <w:color w:val="0000ff"/>
          </w:rPr>
          <w:t xml:space="preserve">частями 6</w:t>
        </w:r>
      </w:hyperlink>
      <w:r>
        <w:rPr>
          <w:sz w:val="20"/>
        </w:rPr>
        <w:t xml:space="preserve"> и </w:t>
      </w:r>
      <w:hyperlink w:history="0" w:anchor="P2739" w:tooltip="Часть 7">
        <w:r>
          <w:rPr>
            <w:sz w:val="20"/>
            <w:color w:val="0000ff"/>
          </w:rPr>
          <w:t xml:space="preserve">7</w:t>
        </w:r>
      </w:hyperlink>
      <w:r>
        <w:rPr>
          <w:sz w:val="20"/>
        </w:rPr>
        <w:t xml:space="preserve"> Приложения VI к настоящей Директиве.</w:t>
      </w:r>
    </w:p>
    <w:bookmarkStart w:id="850" w:name="P850"/>
    <w:bookmarkEnd w:id="850"/>
    <w:p>
      <w:pPr>
        <w:pStyle w:val="0"/>
        <w:spacing w:before="200" w:line-rule="auto"/>
        <w:ind w:firstLine="540"/>
        <w:jc w:val="both"/>
      </w:pPr>
      <w:r>
        <w:rPr>
          <w:sz w:val="20"/>
        </w:rPr>
        <w:t xml:space="preserve">2. Контроль за установкой и функционированием системы автоматического мониторинга, а также ежегодные контрольные испытания такой системы проводятся в соответствии с </w:t>
      </w:r>
      <w:hyperlink w:history="0" w:anchor="P2669" w:tooltip="1. Технологии измерения">
        <w:r>
          <w:rPr>
            <w:sz w:val="20"/>
            <w:color w:val="0000ff"/>
          </w:rPr>
          <w:t xml:space="preserve">пунктом 1 части 6</w:t>
        </w:r>
      </w:hyperlink>
      <w:r>
        <w:rPr>
          <w:sz w:val="20"/>
        </w:rPr>
        <w:t xml:space="preserve"> Приложения VI к настоящей Директиве.</w:t>
      </w:r>
    </w:p>
    <w:bookmarkStart w:id="851" w:name="P851"/>
    <w:bookmarkEnd w:id="851"/>
    <w:p>
      <w:pPr>
        <w:pStyle w:val="0"/>
        <w:spacing w:before="200" w:line-rule="auto"/>
        <w:ind w:firstLine="540"/>
        <w:jc w:val="both"/>
      </w:pPr>
      <w:r>
        <w:rPr>
          <w:sz w:val="20"/>
        </w:rPr>
        <w:t xml:space="preserve">3. Компетентный орган определяет расположение мест взятия образцов или контрольно-измерительных точек, используемых при мониторинге выбросов.</w:t>
      </w:r>
    </w:p>
    <w:bookmarkStart w:id="852" w:name="P852"/>
    <w:bookmarkEnd w:id="852"/>
    <w:p>
      <w:pPr>
        <w:pStyle w:val="0"/>
        <w:spacing w:before="200" w:line-rule="auto"/>
        <w:ind w:firstLine="540"/>
        <w:jc w:val="both"/>
      </w:pPr>
      <w:r>
        <w:rPr>
          <w:sz w:val="20"/>
        </w:rPr>
        <w:t xml:space="preserve">4. Результаты мониторинга фиксируются, обрабатываются и представляются таким образом, чтобы компетентный орган мог проверить соответствие условиям эксплуатации и пороговым значениям выбросов, установленным в разрешении.</w:t>
      </w:r>
    </w:p>
    <w:bookmarkStart w:id="853" w:name="P853"/>
    <w:bookmarkEnd w:id="853"/>
    <w:p>
      <w:pPr>
        <w:pStyle w:val="0"/>
        <w:spacing w:before="200" w:line-rule="auto"/>
        <w:ind w:firstLine="540"/>
        <w:jc w:val="both"/>
      </w:pPr>
      <w:r>
        <w:rPr>
          <w:sz w:val="20"/>
        </w:rPr>
        <w:t xml:space="preserve">5. Как только Европейский Союз будет располагать соответствующими технологиями измерений, Европейская комиссия посредством актов делегированного законодательства в соответствии со </w:t>
      </w:r>
      <w:hyperlink w:history="0" w:anchor="P1153" w:tooltip="Статья 76">
        <w:r>
          <w:rPr>
            <w:sz w:val="20"/>
            <w:color w:val="0000ff"/>
          </w:rPr>
          <w:t xml:space="preserve">статьей 76</w:t>
        </w:r>
      </w:hyperlink>
      <w:r>
        <w:rPr>
          <w:sz w:val="20"/>
        </w:rPr>
        <w:t xml:space="preserve"> настоящей Директивы, а также в соответствии с условиями, предусмотренными </w:t>
      </w:r>
      <w:hyperlink w:history="0" w:anchor="P1161" w:tooltip="Статья 77">
        <w:r>
          <w:rPr>
            <w:sz w:val="20"/>
            <w:color w:val="0000ff"/>
          </w:rPr>
          <w:t xml:space="preserve">статьями 77</w:t>
        </w:r>
      </w:hyperlink>
      <w:r>
        <w:rPr>
          <w:sz w:val="20"/>
        </w:rPr>
        <w:t xml:space="preserve"> и </w:t>
      </w:r>
      <w:hyperlink w:history="0" w:anchor="P1169" w:tooltip="Статья 78">
        <w:r>
          <w:rPr>
            <w:sz w:val="20"/>
            <w:color w:val="0000ff"/>
          </w:rPr>
          <w:t xml:space="preserve">78</w:t>
        </w:r>
      </w:hyperlink>
      <w:r>
        <w:rPr>
          <w:sz w:val="20"/>
        </w:rPr>
        <w:t xml:space="preserve"> настоящей Директивы, определяет дату, с которой должны проводиться непрерывные измерения выбросов в воздух тяжелых металлов, диоксинов и фуранов.</w:t>
      </w:r>
    </w:p>
    <w:p>
      <w:pPr>
        <w:pStyle w:val="0"/>
        <w:ind w:firstLine="540"/>
        <w:jc w:val="both"/>
      </w:pPr>
      <w:r>
        <w:rPr>
          <w:sz w:val="20"/>
        </w:rPr>
      </w:r>
    </w:p>
    <w:bookmarkStart w:id="855" w:name="P855"/>
    <w:bookmarkEnd w:id="855"/>
    <w:p>
      <w:pPr>
        <w:pStyle w:val="0"/>
        <w:outlineLvl w:val="2"/>
        <w:jc w:val="center"/>
      </w:pPr>
      <w:r>
        <w:rPr>
          <w:sz w:val="20"/>
        </w:rPr>
        <w:t xml:space="preserve">Статья 49</w:t>
      </w:r>
    </w:p>
    <w:p>
      <w:pPr>
        <w:pStyle w:val="0"/>
        <w:jc w:val="center"/>
      </w:pPr>
      <w:r>
        <w:rPr>
          <w:sz w:val="20"/>
        </w:rPr>
      </w:r>
    </w:p>
    <w:p>
      <w:pPr>
        <w:pStyle w:val="0"/>
        <w:jc w:val="center"/>
      </w:pPr>
      <w:r>
        <w:rPr>
          <w:sz w:val="20"/>
        </w:rPr>
        <w:t xml:space="preserve">Соблюдение пороговых значений выбросов</w:t>
      </w:r>
    </w:p>
    <w:p>
      <w:pPr>
        <w:pStyle w:val="0"/>
        <w:jc w:val="center"/>
      </w:pPr>
      <w:r>
        <w:rPr>
          <w:sz w:val="20"/>
        </w:rPr>
      </w:r>
    </w:p>
    <w:p>
      <w:pPr>
        <w:pStyle w:val="0"/>
        <w:ind w:firstLine="540"/>
        <w:jc w:val="both"/>
      </w:pPr>
      <w:r>
        <w:rPr>
          <w:sz w:val="20"/>
        </w:rPr>
        <w:t xml:space="preserve">Пороговые значения выбросов для воздуха и воды считаются соблюденными при выполнении условий, предусмотренных </w:t>
      </w:r>
      <w:hyperlink w:history="0" w:anchor="P2762" w:tooltip="Часть 8">
        <w:r>
          <w:rPr>
            <w:sz w:val="20"/>
            <w:color w:val="0000ff"/>
          </w:rPr>
          <w:t xml:space="preserve">частью 8</w:t>
        </w:r>
      </w:hyperlink>
      <w:r>
        <w:rPr>
          <w:sz w:val="20"/>
        </w:rPr>
        <w:t xml:space="preserve"> Приложения VI к настоящей Директиве.</w:t>
      </w:r>
    </w:p>
    <w:p>
      <w:pPr>
        <w:pStyle w:val="0"/>
        <w:ind w:firstLine="540"/>
        <w:jc w:val="both"/>
      </w:pPr>
      <w:r>
        <w:rPr>
          <w:sz w:val="20"/>
        </w:rPr>
      </w:r>
    </w:p>
    <w:p>
      <w:pPr>
        <w:pStyle w:val="0"/>
        <w:outlineLvl w:val="2"/>
        <w:jc w:val="center"/>
      </w:pPr>
      <w:r>
        <w:rPr>
          <w:sz w:val="20"/>
        </w:rPr>
        <w:t xml:space="preserve">Статья 50</w:t>
      </w:r>
    </w:p>
    <w:p>
      <w:pPr>
        <w:pStyle w:val="0"/>
        <w:jc w:val="center"/>
      </w:pPr>
      <w:r>
        <w:rPr>
          <w:sz w:val="20"/>
        </w:rPr>
      </w:r>
    </w:p>
    <w:p>
      <w:pPr>
        <w:pStyle w:val="0"/>
        <w:jc w:val="center"/>
      </w:pPr>
      <w:r>
        <w:rPr>
          <w:sz w:val="20"/>
        </w:rPr>
        <w:t xml:space="preserve">Условия эксплуатации</w:t>
      </w:r>
    </w:p>
    <w:p>
      <w:pPr>
        <w:pStyle w:val="0"/>
        <w:jc w:val="center"/>
      </w:pPr>
      <w:r>
        <w:rPr>
          <w:sz w:val="20"/>
        </w:rPr>
      </w:r>
    </w:p>
    <w:bookmarkStart w:id="865" w:name="P865"/>
    <w:bookmarkEnd w:id="865"/>
    <w:p>
      <w:pPr>
        <w:pStyle w:val="0"/>
        <w:ind w:firstLine="540"/>
        <w:jc w:val="both"/>
      </w:pPr>
      <w:r>
        <w:rPr>
          <w:sz w:val="20"/>
        </w:rPr>
        <w:t xml:space="preserve">1. Заводы по сжиганию отходов эксплуатируются таким образом, чтобы достичь уровня сжигания, при котором общее содержание органического углерода в шлаках и зольных остатках составляет менее 3% либо при котором их потери от сжигания составляют менее 5% массы сухого вещества. При необходимости могут быть использованы технологии по предварительной обработке отходов.</w:t>
      </w:r>
    </w:p>
    <w:bookmarkStart w:id="866" w:name="P866"/>
    <w:bookmarkEnd w:id="866"/>
    <w:p>
      <w:pPr>
        <w:pStyle w:val="0"/>
        <w:spacing w:before="200" w:line-rule="auto"/>
        <w:ind w:firstLine="540"/>
        <w:jc w:val="both"/>
      </w:pPr>
      <w:r>
        <w:rPr>
          <w:sz w:val="20"/>
        </w:rPr>
        <w:t xml:space="preserve">2. Заводы по сжиганию отходов проектируются, оснащаются, конструируются и функционируют таким образом, что газ, образующийся в результате сжигания отходов, нагревается после последнего введения воздуха в камеру сгорания при контролируемой и однородной реакции и даже при наиболее неблагоприятных условиях до температуры не менее 850 °C, которая достигается в течение как минимум двух секунд.</w:t>
      </w:r>
    </w:p>
    <w:bookmarkStart w:id="867" w:name="P867"/>
    <w:bookmarkEnd w:id="867"/>
    <w:p>
      <w:pPr>
        <w:pStyle w:val="0"/>
        <w:spacing w:before="200" w:line-rule="auto"/>
        <w:ind w:firstLine="540"/>
        <w:jc w:val="both"/>
      </w:pPr>
      <w:r>
        <w:rPr>
          <w:sz w:val="20"/>
        </w:rPr>
        <w:t xml:space="preserve">Заводы по совместному сжиганию отходов проектируются, оснащаются, конструируются и функционируют таким образом, что газ, образующийся в результате совместного сжигания отходов, нагревается при контролируемой и однородной реакции и даже при наиболее неблагоприятных условиях до температуры не менее 850 °C, которая достигается в течение как минимум двух секунд.</w:t>
      </w:r>
    </w:p>
    <w:p>
      <w:pPr>
        <w:pStyle w:val="0"/>
        <w:spacing w:before="200" w:line-rule="auto"/>
        <w:ind w:firstLine="540"/>
        <w:jc w:val="both"/>
      </w:pPr>
      <w:r>
        <w:rPr>
          <w:sz w:val="20"/>
        </w:rPr>
        <w:t xml:space="preserve">При сжигании или совместном сжигании опасных отходов с содержанием более чем 1% галогенных органических соединений, выраженных как хлорин, температура, требуемая для соблюдения </w:t>
      </w:r>
      <w:hyperlink w:history="0" w:anchor="P866" w:tooltip="2. Заводы по сжиганию отходов проектируются, оснащаются, конструируются и функционируют таким образом, что газ, образующийся в результате сжигания отходов, нагревается после последнего введения воздуха в камеру сгорания при контролируемой и однородной реакции и даже при наиболее неблагоприятных условиях до температуры не менее 850 °C, которая достигается в течение как минимум двух секунд.">
        <w:r>
          <w:rPr>
            <w:sz w:val="20"/>
            <w:color w:val="0000ff"/>
          </w:rPr>
          <w:t xml:space="preserve">первого</w:t>
        </w:r>
      </w:hyperlink>
      <w:r>
        <w:rPr>
          <w:sz w:val="20"/>
        </w:rPr>
        <w:t xml:space="preserve"> и </w:t>
      </w:r>
      <w:hyperlink w:history="0" w:anchor="P867" w:tooltip="Заводы по совместному сжиганию отходов проектируются, оснащаются, конструируются и функционируют таким образом, что газ, образующийся в результате совместного сжигания отходов, нагревается при контролируемой и однородной реакции и даже при наиболее неблагоприятных условиях до температуры не менее 850 °C, которая достигается в течение как минимум двух секунд.">
        <w:r>
          <w:rPr>
            <w:sz w:val="20"/>
            <w:color w:val="0000ff"/>
          </w:rPr>
          <w:t xml:space="preserve">второго подпараграфов</w:t>
        </w:r>
      </w:hyperlink>
      <w:r>
        <w:rPr>
          <w:sz w:val="20"/>
        </w:rPr>
        <w:t xml:space="preserve">, должна быть как минимум 1100 °C.</w:t>
      </w:r>
    </w:p>
    <w:p>
      <w:pPr>
        <w:pStyle w:val="0"/>
        <w:spacing w:before="200" w:line-rule="auto"/>
        <w:ind w:firstLine="540"/>
        <w:jc w:val="both"/>
      </w:pPr>
      <w:r>
        <w:rPr>
          <w:sz w:val="20"/>
        </w:rPr>
        <w:t xml:space="preserve">В отношении заводов по сжиганию отходов температура, установленная первым и третьим подпараграфами, измеряется возле внутренней стены камеры сгорания. Компетентный орган вправе санкционировать измерения на иных представительных участках камеры сгорания.</w:t>
      </w:r>
    </w:p>
    <w:bookmarkStart w:id="870" w:name="P870"/>
    <w:bookmarkEnd w:id="870"/>
    <w:p>
      <w:pPr>
        <w:pStyle w:val="0"/>
        <w:spacing w:before="200" w:line-rule="auto"/>
        <w:ind w:firstLine="540"/>
        <w:jc w:val="both"/>
      </w:pPr>
      <w:r>
        <w:rPr>
          <w:sz w:val="20"/>
        </w:rPr>
        <w:t xml:space="preserve">3. Все камеры сгорания заводов по сжиганию оснащаются как минимум одной вспомогательной горелкой. Такая горелка должна включаться автоматически, если температура газов, выделяемых при сжигании после последнего введения воздуха в камеру сгорания, падает ниже температур, установленных </w:t>
      </w:r>
      <w:hyperlink w:history="0" w:anchor="P866" w:tooltip="2. Заводы по сжиганию отходов проектируются, оснащаются, конструируются и функционируют таким образом, что газ, образующийся в результате сжигания отходов, нагревается после последнего введения воздуха в камеру сгорания при контролируемой и однородной реакции и даже при наиболее неблагоприятных условиях до температуры не менее 850 °C, которая достигается в течение как минимум двух секунд.">
        <w:r>
          <w:rPr>
            <w:sz w:val="20"/>
            <w:color w:val="0000ff"/>
          </w:rPr>
          <w:t xml:space="preserve">параграфом 2 настоящей статьи</w:t>
        </w:r>
      </w:hyperlink>
      <w:r>
        <w:rPr>
          <w:sz w:val="20"/>
        </w:rPr>
        <w:t xml:space="preserve">. Такая горелка также используется при процессах включения и отключения завода в целях обеспечения сохранения указанных температур в течение того времени, пока проводятся эти операции, а также в течение всего времени, пока несгоревшие отходы находятся в камере сгорания.</w:t>
      </w:r>
    </w:p>
    <w:bookmarkStart w:id="871" w:name="P871"/>
    <w:bookmarkEnd w:id="871"/>
    <w:p>
      <w:pPr>
        <w:pStyle w:val="0"/>
        <w:spacing w:before="200" w:line-rule="auto"/>
        <w:ind w:firstLine="540"/>
        <w:jc w:val="both"/>
      </w:pPr>
      <w:r>
        <w:rPr>
          <w:sz w:val="20"/>
        </w:rPr>
        <w:t xml:space="preserve">Вспомогательная горелка не должна снабжаться топливом, сжигание которого может привести к образованию более высоких уровней выбросов по сравнению с уровнями выбросов вследствие сжигания газойля, как определено </w:t>
      </w:r>
      <w:hyperlink w:history="0" r:id="rId65" w:tooltip="Директива N 1999/32/ЕС Совета Европейского Союза &quot;О сокращении содержания серы в некоторых видах жидкого топлива и об изменении Директивы 93/12/ЕЭС&quot; [рус., англ.] (Вместе с &lt;Эквивалентными значениями в соответствии со статьей 4c (2)&gt;, &quot;Критериями применения методов сокращения выбросов согласно статье 4c (3)&quot;) (Принята в г. Люксембурге 26.04.1999) (с изм. и доп. от 21.11.2012) ------------ Утратил силу или отменен {КонсультантПлюс}">
        <w:r>
          <w:rPr>
            <w:sz w:val="20"/>
            <w:color w:val="0000ff"/>
          </w:rPr>
          <w:t xml:space="preserve">статьей 2 (2)</w:t>
        </w:r>
      </w:hyperlink>
      <w:r>
        <w:rPr>
          <w:sz w:val="20"/>
        </w:rPr>
        <w:t xml:space="preserve"> Директивы 1999/32/ЕС Совета ЕС от 26 апреля 1999 г. о сокращении содержания серы в некоторых видах жидкого топлива &lt;*&gt;, сжиженного газа или природного газа.</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ОЖ N L 121, 11.5.1999, стр. 13.</w:t>
      </w:r>
    </w:p>
    <w:p>
      <w:pPr>
        <w:pStyle w:val="0"/>
        <w:ind w:firstLine="540"/>
        <w:jc w:val="both"/>
      </w:pPr>
      <w:r>
        <w:rPr>
          <w:sz w:val="20"/>
        </w:rPr>
      </w:r>
    </w:p>
    <w:bookmarkStart w:id="875" w:name="P875"/>
    <w:bookmarkEnd w:id="875"/>
    <w:p>
      <w:pPr>
        <w:pStyle w:val="0"/>
        <w:ind w:firstLine="540"/>
        <w:jc w:val="both"/>
      </w:pPr>
      <w:r>
        <w:rPr>
          <w:sz w:val="20"/>
        </w:rPr>
        <w:t xml:space="preserve">4. Заводы по сжиганию отходов и заводы по совместному сжиганию отходов используют автоматическую систему предотвращения подачи отходов в следующих случаях:</w:t>
      </w:r>
    </w:p>
    <w:p>
      <w:pPr>
        <w:pStyle w:val="0"/>
        <w:spacing w:before="200" w:line-rule="auto"/>
        <w:ind w:firstLine="540"/>
        <w:jc w:val="both"/>
      </w:pPr>
      <w:r>
        <w:rPr>
          <w:sz w:val="20"/>
        </w:rPr>
        <w:t xml:space="preserve">a) при включении до достижения температуры, установленной в </w:t>
      </w:r>
      <w:hyperlink w:history="0" w:anchor="P866" w:tooltip="2. Заводы по сжиганию отходов проектируются, оснащаются, конструируются и функционируют таким образом, что газ, образующийся в результате сжигания отходов, нагревается после последнего введения воздуха в камеру сгорания при контролируемой и однородной реакции и даже при наиболее неблагоприятных условиях до температуры не менее 850 °C, которая достигается в течение как минимум двух секунд.">
        <w:r>
          <w:rPr>
            <w:sz w:val="20"/>
            <w:color w:val="0000ff"/>
          </w:rPr>
          <w:t xml:space="preserve">параграфе 2 настоящей статьи</w:t>
        </w:r>
      </w:hyperlink>
      <w:r>
        <w:rPr>
          <w:sz w:val="20"/>
        </w:rPr>
        <w:t xml:space="preserve">, или температуры, установленной в соответствии со </w:t>
      </w:r>
      <w:hyperlink w:history="0" w:anchor="P887" w:tooltip="1. Условия, отличные от условий, установленных статьей 50 (1), (2) и (3) настоящей Директивы, а также, в отношении температур, параграфом 4 указанной статьи и определенные в разрешениях для некоторых категорий отходов или для некоторых термических процессов, могут быть санкционированы компетентным органом при условии соблюдения иных требований настоящей главы. Государства-члены ЕС вправе установить нормы, регулирующие порядок авторизации.">
        <w:r>
          <w:rPr>
            <w:sz w:val="20"/>
            <w:color w:val="0000ff"/>
          </w:rPr>
          <w:t xml:space="preserve">статьей 51 (1)</w:t>
        </w:r>
      </w:hyperlink>
      <w:r>
        <w:rPr>
          <w:sz w:val="20"/>
        </w:rPr>
        <w:t xml:space="preserve"> настоящей Директивы;</w:t>
      </w:r>
    </w:p>
    <w:p>
      <w:pPr>
        <w:pStyle w:val="0"/>
        <w:spacing w:before="200" w:line-rule="auto"/>
        <w:ind w:firstLine="540"/>
        <w:jc w:val="both"/>
      </w:pPr>
      <w:r>
        <w:rPr>
          <w:sz w:val="20"/>
        </w:rPr>
        <w:t xml:space="preserve">b) во всех случаях, когда температура, установленная в параграфе 2 настоящей статьи, или температура, установленная в соответствии со статьей 51 (1) настоящей Директивы, не поддерживается;</w:t>
      </w:r>
    </w:p>
    <w:bookmarkStart w:id="878" w:name="P878"/>
    <w:bookmarkEnd w:id="878"/>
    <w:p>
      <w:pPr>
        <w:pStyle w:val="0"/>
        <w:spacing w:before="200" w:line-rule="auto"/>
        <w:ind w:firstLine="540"/>
        <w:jc w:val="both"/>
      </w:pPr>
      <w:r>
        <w:rPr>
          <w:sz w:val="20"/>
        </w:rPr>
        <w:t xml:space="preserve">c) во всех случаях, когда непрерывные измерения показывают, что любое пороговое значение выбросов превышено вследствие неисправностей или сбоя в работе приборов по очистке отработанных газов.</w:t>
      </w:r>
    </w:p>
    <w:bookmarkStart w:id="879" w:name="P879"/>
    <w:bookmarkEnd w:id="879"/>
    <w:p>
      <w:pPr>
        <w:pStyle w:val="0"/>
        <w:spacing w:before="200" w:line-rule="auto"/>
        <w:ind w:firstLine="540"/>
        <w:jc w:val="both"/>
      </w:pPr>
      <w:r>
        <w:rPr>
          <w:sz w:val="20"/>
        </w:rPr>
        <w:t xml:space="preserve">5. Тепло, генерируемое заводами по сжиганию отходов или заводами по совместному сжиганию отходов, извлекается, насколько это достижимо.</w:t>
      </w:r>
    </w:p>
    <w:bookmarkStart w:id="880" w:name="P880"/>
    <w:bookmarkEnd w:id="880"/>
    <w:p>
      <w:pPr>
        <w:pStyle w:val="0"/>
        <w:spacing w:before="200" w:line-rule="auto"/>
        <w:ind w:firstLine="540"/>
        <w:jc w:val="both"/>
      </w:pPr>
      <w:r>
        <w:rPr>
          <w:sz w:val="20"/>
        </w:rPr>
        <w:t xml:space="preserve">6. Зараженные медицинские отходы загружаются прямо в печь без предварительного смешения с другими категориями отходов, а также без непосредственной обработки.</w:t>
      </w:r>
    </w:p>
    <w:bookmarkStart w:id="881" w:name="P881"/>
    <w:bookmarkEnd w:id="881"/>
    <w:p>
      <w:pPr>
        <w:pStyle w:val="0"/>
        <w:spacing w:before="200" w:line-rule="auto"/>
        <w:ind w:firstLine="540"/>
        <w:jc w:val="both"/>
      </w:pPr>
      <w:r>
        <w:rPr>
          <w:sz w:val="20"/>
        </w:rPr>
        <w:t xml:space="preserve">7. Государства-члены ЕС гарантируют, что управление и контроль за деятельностью заводов по сжиганию отходов или заводов по совместному сжиганию отходов осуществляется физическим лицом, компетентным в управлении такими заводами.</w:t>
      </w:r>
    </w:p>
    <w:p>
      <w:pPr>
        <w:pStyle w:val="0"/>
        <w:ind w:firstLine="540"/>
        <w:jc w:val="both"/>
      </w:pPr>
      <w:r>
        <w:rPr>
          <w:sz w:val="20"/>
        </w:rPr>
      </w:r>
    </w:p>
    <w:p>
      <w:pPr>
        <w:pStyle w:val="0"/>
        <w:outlineLvl w:val="2"/>
        <w:jc w:val="center"/>
      </w:pPr>
      <w:r>
        <w:rPr>
          <w:sz w:val="20"/>
        </w:rPr>
        <w:t xml:space="preserve">Статья 51</w:t>
      </w:r>
    </w:p>
    <w:p>
      <w:pPr>
        <w:pStyle w:val="0"/>
        <w:jc w:val="center"/>
      </w:pPr>
      <w:r>
        <w:rPr>
          <w:sz w:val="20"/>
        </w:rPr>
      </w:r>
    </w:p>
    <w:p>
      <w:pPr>
        <w:pStyle w:val="0"/>
        <w:jc w:val="center"/>
      </w:pPr>
      <w:r>
        <w:rPr>
          <w:sz w:val="20"/>
        </w:rPr>
        <w:t xml:space="preserve">Авторизация на изменение операционных условий</w:t>
      </w:r>
    </w:p>
    <w:p>
      <w:pPr>
        <w:pStyle w:val="0"/>
        <w:jc w:val="center"/>
      </w:pPr>
      <w:r>
        <w:rPr>
          <w:sz w:val="20"/>
        </w:rPr>
      </w:r>
    </w:p>
    <w:bookmarkStart w:id="887" w:name="P887"/>
    <w:bookmarkEnd w:id="887"/>
    <w:p>
      <w:pPr>
        <w:pStyle w:val="0"/>
        <w:ind w:firstLine="540"/>
        <w:jc w:val="both"/>
      </w:pPr>
      <w:r>
        <w:rPr>
          <w:sz w:val="20"/>
        </w:rPr>
        <w:t xml:space="preserve">1. Условия, отличные от условий, установленных </w:t>
      </w:r>
      <w:hyperlink w:history="0" w:anchor="P865" w:tooltip="1. Заводы по сжиганию отходов эксплуатируются таким образом, чтобы достичь уровня сжигания, при котором общее содержание органического углерода в шлаках и зольных остатках составляет менее 3% либо при котором их потери от сжигания составляют менее 5% массы сухого вещества. При необходимости могут быть использованы технологии по предварительной обработке отходов.">
        <w:r>
          <w:rPr>
            <w:sz w:val="20"/>
            <w:color w:val="0000ff"/>
          </w:rPr>
          <w:t xml:space="preserve">статьей 50 (1)</w:t>
        </w:r>
      </w:hyperlink>
      <w:r>
        <w:rPr>
          <w:sz w:val="20"/>
        </w:rPr>
        <w:t xml:space="preserve">, </w:t>
      </w:r>
      <w:hyperlink w:history="0" w:anchor="P866" w:tooltip="2. Заводы по сжиганию отходов проектируются, оснащаются, конструируются и функционируют таким образом, что газ, образующийся в результате сжигания отходов, нагревается после последнего введения воздуха в камеру сгорания при контролируемой и однородной реакции и даже при наиболее неблагоприятных условиях до температуры не менее 850 °C, которая достигается в течение как минимум двух секунд.">
        <w:r>
          <w:rPr>
            <w:sz w:val="20"/>
            <w:color w:val="0000ff"/>
          </w:rPr>
          <w:t xml:space="preserve">(2)</w:t>
        </w:r>
      </w:hyperlink>
      <w:r>
        <w:rPr>
          <w:sz w:val="20"/>
        </w:rPr>
        <w:t xml:space="preserve"> и </w:t>
      </w:r>
      <w:hyperlink w:history="0" w:anchor="P870" w:tooltip="3. Все камеры сгорания заводов по сжиганию оснащаются как минимум одной вспомогательной горелкой. Такая горелка должна включаться автоматически, если температура газов, выделяемых при сжигании после последнего введения воздуха в камеру сгорания, падает ниже температур, установленных параграфом 2 настоящей статьи. Такая горелка также используется при процессах включения и отключения завода в целях обеспечения сохранения указанных температур в течение того времени, пока проводятся эти операции, а также в т...">
        <w:r>
          <w:rPr>
            <w:sz w:val="20"/>
            <w:color w:val="0000ff"/>
          </w:rPr>
          <w:t xml:space="preserve">(3)</w:t>
        </w:r>
      </w:hyperlink>
      <w:r>
        <w:rPr>
          <w:sz w:val="20"/>
        </w:rPr>
        <w:t xml:space="preserve"> настоящей Директивы, а также, в отношении температур, </w:t>
      </w:r>
      <w:hyperlink w:history="0" w:anchor="P875" w:tooltip="4. Заводы по сжиганию отходов и заводы по совместному сжиганию отходов используют автоматическую систему предотвращения подачи отходов в следующих случаях:">
        <w:r>
          <w:rPr>
            <w:sz w:val="20"/>
            <w:color w:val="0000ff"/>
          </w:rPr>
          <w:t xml:space="preserve">параграфом 4 указанной статьи</w:t>
        </w:r>
      </w:hyperlink>
      <w:r>
        <w:rPr>
          <w:sz w:val="20"/>
        </w:rPr>
        <w:t xml:space="preserve"> и определенные в разрешениях для некоторых категорий отходов или для некоторых термических процессов, могут быть санкционированы компетентным органом при условии соблюдения иных требований настоящей главы. Государства-члены ЕС вправе установить нормы, регулирующие порядок авторизации.</w:t>
      </w:r>
    </w:p>
    <w:bookmarkStart w:id="888" w:name="P888"/>
    <w:bookmarkEnd w:id="888"/>
    <w:p>
      <w:pPr>
        <w:pStyle w:val="0"/>
        <w:spacing w:before="200" w:line-rule="auto"/>
        <w:ind w:firstLine="540"/>
        <w:jc w:val="both"/>
      </w:pPr>
      <w:r>
        <w:rPr>
          <w:sz w:val="20"/>
        </w:rPr>
        <w:t xml:space="preserve">2. В отношении заводов по сжиганию отходов изменение условий эксплуатации не должно приводить к образованию большего количества остатков или остатков с большим содержанием органических загрязняющих веществ по сравнению с количеством остатков, образование которых ожидается при соблюдении условий, предусмотренных </w:t>
      </w:r>
      <w:hyperlink w:history="0" w:anchor="P865" w:tooltip="1. Заводы по сжиганию отходов эксплуатируются таким образом, чтобы достичь уровня сжигания, при котором общее содержание органического углерода в шлаках и зольных остатках составляет менее 3% либо при котором их потери от сжигания составляют менее 5% массы сухого вещества. При необходимости могут быть использованы технологии по предварительной обработке отходов.">
        <w:r>
          <w:rPr>
            <w:sz w:val="20"/>
            <w:color w:val="0000ff"/>
          </w:rPr>
          <w:t xml:space="preserve">статьей 50 (1)</w:t>
        </w:r>
      </w:hyperlink>
      <w:r>
        <w:rPr>
          <w:sz w:val="20"/>
        </w:rPr>
        <w:t xml:space="preserve">, </w:t>
      </w:r>
      <w:hyperlink w:history="0" w:anchor="P866" w:tooltip="2. Заводы по сжиганию отходов проектируются, оснащаются, конструируются и функционируют таким образом, что газ, образующийся в результате сжигания отходов, нагревается после последнего введения воздуха в камеру сгорания при контролируемой и однородной реакции и даже при наиболее неблагоприятных условиях до температуры не менее 850 °C, которая достигается в течение как минимум двух секунд.">
        <w:r>
          <w:rPr>
            <w:sz w:val="20"/>
            <w:color w:val="0000ff"/>
          </w:rPr>
          <w:t xml:space="preserve">(2)</w:t>
        </w:r>
      </w:hyperlink>
      <w:r>
        <w:rPr>
          <w:sz w:val="20"/>
        </w:rPr>
        <w:t xml:space="preserve"> и </w:t>
      </w:r>
      <w:hyperlink w:history="0" w:anchor="P870" w:tooltip="3. Все камеры сгорания заводов по сжиганию оснащаются как минимум одной вспомогательной горелкой. Такая горелка должна включаться автоматически, если температура газов, выделяемых при сжигании после последнего введения воздуха в камеру сгорания, падает ниже температур, установленных параграфом 2 настоящей статьи. Такая горелка также используется при процессах включения и отключения завода в целях обеспечения сохранения указанных температур в течение того времени, пока проводятся эти операции, а также в т...">
        <w:r>
          <w:rPr>
            <w:sz w:val="20"/>
            <w:color w:val="0000ff"/>
          </w:rPr>
          <w:t xml:space="preserve">(3)</w:t>
        </w:r>
      </w:hyperlink>
      <w:r>
        <w:rPr>
          <w:sz w:val="20"/>
        </w:rPr>
        <w:t xml:space="preserve"> настоящей Директивы.</w:t>
      </w:r>
    </w:p>
    <w:bookmarkStart w:id="889" w:name="P889"/>
    <w:bookmarkEnd w:id="889"/>
    <w:p>
      <w:pPr>
        <w:pStyle w:val="0"/>
        <w:spacing w:before="200" w:line-rule="auto"/>
        <w:ind w:firstLine="540"/>
        <w:jc w:val="both"/>
      </w:pPr>
      <w:r>
        <w:rPr>
          <w:sz w:val="20"/>
        </w:rPr>
        <w:t xml:space="preserve">3. Выбросы общего количества органического углерода и угарного газа заводами по совместному сжиганию отходов, авторизованные с целью изменения условий эксплуатации в соответствии с </w:t>
      </w:r>
      <w:hyperlink w:history="0" w:anchor="P887" w:tooltip="1. Условия, отличные от условий, установленных статьей 50 (1), (2) и (3) настоящей Директивы, а также, в отношении температур, параграфом 4 указанной статьи и определенные в разрешениях для некоторых категорий отходов или для некоторых термических процессов, могут быть санкционированы компетентным органом при условии соблюдения иных требований настоящей главы. Государства-члены ЕС вправе установить нормы, регулирующие порядок авторизации.">
        <w:r>
          <w:rPr>
            <w:sz w:val="20"/>
            <w:color w:val="0000ff"/>
          </w:rPr>
          <w:t xml:space="preserve">параграфом 1 настоящей статьи</w:t>
        </w:r>
      </w:hyperlink>
      <w:r>
        <w:rPr>
          <w:sz w:val="20"/>
        </w:rPr>
        <w:t xml:space="preserve">, должны соответствовать пороговым значениям выбросов, установленным в </w:t>
      </w:r>
      <w:hyperlink w:history="0" w:anchor="P2135" w:tooltip="Часть 3">
        <w:r>
          <w:rPr>
            <w:sz w:val="20"/>
            <w:color w:val="0000ff"/>
          </w:rPr>
          <w:t xml:space="preserve">части 3</w:t>
        </w:r>
      </w:hyperlink>
      <w:r>
        <w:rPr>
          <w:sz w:val="20"/>
        </w:rPr>
        <w:t xml:space="preserve"> Приложения VI к настоящей Директиве.</w:t>
      </w:r>
    </w:p>
    <w:bookmarkStart w:id="890" w:name="P890"/>
    <w:bookmarkEnd w:id="890"/>
    <w:p>
      <w:pPr>
        <w:pStyle w:val="0"/>
        <w:spacing w:before="200" w:line-rule="auto"/>
        <w:ind w:firstLine="540"/>
        <w:jc w:val="both"/>
      </w:pPr>
      <w:r>
        <w:rPr>
          <w:sz w:val="20"/>
        </w:rPr>
        <w:t xml:space="preserve">Выбросы общего количества органического углерода от корьевых котлов, используемых в целлюлозно-бумажной промышленности, где осуществляется совместное сжигание отходов в месте их производства, которые находились в эксплуатации и получили разрешение до 28 декабря 2002 г. и которым разрешено изменить условия эксплуатации в соответствии с </w:t>
      </w:r>
      <w:hyperlink w:history="0" w:anchor="P887" w:tooltip="1. Условия, отличные от условий, установленных статьей 50 (1), (2) и (3) настоящей Директивы, а также, в отношении температур, параграфом 4 указанной статьи и определенные в разрешениях для некоторых категорий отходов или для некоторых термических процессов, могут быть санкционированы компетентным органом при условии соблюдения иных требований настоящей главы. Государства-члены ЕС вправе установить нормы, регулирующие порядок авторизации.">
        <w:r>
          <w:rPr>
            <w:sz w:val="20"/>
            <w:color w:val="0000ff"/>
          </w:rPr>
          <w:t xml:space="preserve">параграфом 1 настоящей статьи</w:t>
        </w:r>
      </w:hyperlink>
      <w:r>
        <w:rPr>
          <w:sz w:val="20"/>
        </w:rPr>
        <w:t xml:space="preserve">, также должны соответствовать пороговым значениям выбросов, установленным в </w:t>
      </w:r>
      <w:hyperlink w:history="0" w:anchor="P2135" w:tooltip="Часть 3">
        <w:r>
          <w:rPr>
            <w:sz w:val="20"/>
            <w:color w:val="0000ff"/>
          </w:rPr>
          <w:t xml:space="preserve">части 3</w:t>
        </w:r>
      </w:hyperlink>
      <w:r>
        <w:rPr>
          <w:sz w:val="20"/>
        </w:rPr>
        <w:t xml:space="preserve"> Приложения VI к настоящей Директиве.</w:t>
      </w:r>
    </w:p>
    <w:bookmarkStart w:id="891" w:name="P891"/>
    <w:bookmarkEnd w:id="891"/>
    <w:p>
      <w:pPr>
        <w:pStyle w:val="0"/>
        <w:spacing w:before="200" w:line-rule="auto"/>
        <w:ind w:firstLine="540"/>
        <w:jc w:val="both"/>
      </w:pPr>
      <w:r>
        <w:rPr>
          <w:sz w:val="20"/>
        </w:rPr>
        <w:t xml:space="preserve">4. Государства-члены ЕС направляют Европейской комиссии сведения об условиях эксплуатации, авторизованных в соответствии с параграфами 1, </w:t>
      </w:r>
      <w:hyperlink w:history="0" w:anchor="P888" w:tooltip="2. В отношении заводов по сжиганию отходов изменение условий эксплуатации не должно приводить к образованию большего количества остатков или остатков с большим содержанием органических загрязняющих веществ по сравнению с количеством остатков, образование которых ожидается при соблюдении условий, предусмотренных статьей 50 (1), (2) и (3) настоящей Директивы.">
        <w:r>
          <w:rPr>
            <w:sz w:val="20"/>
            <w:color w:val="0000ff"/>
          </w:rPr>
          <w:t xml:space="preserve">2</w:t>
        </w:r>
      </w:hyperlink>
      <w:r>
        <w:rPr>
          <w:sz w:val="20"/>
        </w:rPr>
        <w:t xml:space="preserve"> и </w:t>
      </w:r>
      <w:hyperlink w:history="0" w:anchor="P889" w:tooltip="3. Выбросы общего количества органического углерода и угарного газа заводами по совместному сжиганию отходов, авторизованные с целью изменения условий эксплуатации в соответствии с параграфом 1 настоящей статьи, должны соответствовать пороговым значениям выбросов, установленным в части 3 Приложения VI к настоящей Директиве.">
        <w:r>
          <w:rPr>
            <w:sz w:val="20"/>
            <w:color w:val="0000ff"/>
          </w:rPr>
          <w:t xml:space="preserve">3 настоящей статьи</w:t>
        </w:r>
      </w:hyperlink>
      <w:r>
        <w:rPr>
          <w:sz w:val="20"/>
        </w:rPr>
        <w:t xml:space="preserve">, а также результаты проведенных проверок в составе информации, предоставляемой согласно требованиям системы отчетности в соответствии со </w:t>
      </w:r>
      <w:hyperlink w:history="0" w:anchor="P1097" w:tooltip="Статья 72">
        <w:r>
          <w:rPr>
            <w:sz w:val="20"/>
            <w:color w:val="0000ff"/>
          </w:rPr>
          <w:t xml:space="preserve">статьей 72</w:t>
        </w:r>
      </w:hyperlink>
      <w:r>
        <w:rPr>
          <w:sz w:val="20"/>
        </w:rPr>
        <w:t xml:space="preserve"> настоящей Директивы.</w:t>
      </w:r>
    </w:p>
    <w:p>
      <w:pPr>
        <w:pStyle w:val="0"/>
        <w:ind w:firstLine="540"/>
        <w:jc w:val="both"/>
      </w:pPr>
      <w:r>
        <w:rPr>
          <w:sz w:val="20"/>
        </w:rPr>
      </w:r>
    </w:p>
    <w:bookmarkStart w:id="893" w:name="P893"/>
    <w:bookmarkEnd w:id="893"/>
    <w:p>
      <w:pPr>
        <w:pStyle w:val="0"/>
        <w:outlineLvl w:val="2"/>
        <w:jc w:val="center"/>
      </w:pPr>
      <w:r>
        <w:rPr>
          <w:sz w:val="20"/>
        </w:rPr>
        <w:t xml:space="preserve">Статья 52</w:t>
      </w:r>
    </w:p>
    <w:p>
      <w:pPr>
        <w:pStyle w:val="0"/>
        <w:jc w:val="center"/>
      </w:pPr>
      <w:r>
        <w:rPr>
          <w:sz w:val="20"/>
        </w:rPr>
      </w:r>
    </w:p>
    <w:p>
      <w:pPr>
        <w:pStyle w:val="0"/>
        <w:jc w:val="center"/>
      </w:pPr>
      <w:r>
        <w:rPr>
          <w:sz w:val="20"/>
        </w:rPr>
        <w:t xml:space="preserve">Доставка и принятие отходов</w:t>
      </w:r>
    </w:p>
    <w:p>
      <w:pPr>
        <w:pStyle w:val="0"/>
        <w:jc w:val="center"/>
      </w:pPr>
      <w:r>
        <w:rPr>
          <w:sz w:val="20"/>
        </w:rPr>
      </w:r>
    </w:p>
    <w:p>
      <w:pPr>
        <w:pStyle w:val="0"/>
        <w:ind w:firstLine="540"/>
        <w:jc w:val="both"/>
      </w:pPr>
      <w:r>
        <w:rPr>
          <w:sz w:val="20"/>
        </w:rPr>
        <w:t xml:space="preserve">1. Оператор завода по сжиганию отходов или завода по совместному сжиганию отходов принимает все необходимые меры предосторожности относительно доставки и принятия отходов в целях предупреждения или ограничения, насколько это возможно, загрязнения воздуха, почвы, поверхностных и грунтовых вод, а также иных негативных последствий для окружающей среды, запахов, шума и прямых рисков для здоровья человека.</w:t>
      </w:r>
    </w:p>
    <w:bookmarkStart w:id="898" w:name="P898"/>
    <w:bookmarkEnd w:id="898"/>
    <w:p>
      <w:pPr>
        <w:pStyle w:val="0"/>
        <w:spacing w:before="200" w:line-rule="auto"/>
        <w:ind w:firstLine="540"/>
        <w:jc w:val="both"/>
      </w:pPr>
      <w:r>
        <w:rPr>
          <w:sz w:val="20"/>
        </w:rPr>
        <w:t xml:space="preserve">2. Перед принятием отходов на завод по сжиганию отходов или завод по совместному сжиганию отходов оператор определяет массу каждого вида отходов, если это возможно, в соответствии с Европейским перечнем отходов, утвержденным </w:t>
      </w:r>
      <w:hyperlink w:history="0" r:id="rId66" w:tooltip="Решение N 2000/532/ЕС Комиссии Европейских сообществ &quot;О замене Решения 94/3/ЕС, устанавливающего список отходов согласно Статье 1(а) Директивы 75/442/ЕЭС Совета ЕС об отходах, и замене Решения 94/904/ЕС Совета ЕС, устанавливающего список опасных отходов согласно Статье 1(4) Директивы 91/689/ЕЭС Совета ЕС об опасных отходах&quot; (С(2000) 1147) [рус., англ.] (Вместе со &quot;Списком отходов, указанным в статье 7 Директивы 2008/98/ЕС&quot;) (Принято в г. Брюсселе 03.05.2000) (с изм. и доп. от 18.12.2014) {КонсультантПлюс}">
        <w:r>
          <w:rPr>
            <w:sz w:val="20"/>
            <w:color w:val="0000ff"/>
          </w:rPr>
          <w:t xml:space="preserve">Решением</w:t>
        </w:r>
      </w:hyperlink>
      <w:r>
        <w:rPr>
          <w:sz w:val="20"/>
        </w:rPr>
        <w:t xml:space="preserve"> 2000/532/ЕС.</w:t>
      </w:r>
    </w:p>
    <w:bookmarkStart w:id="899" w:name="P899"/>
    <w:bookmarkEnd w:id="899"/>
    <w:p>
      <w:pPr>
        <w:pStyle w:val="0"/>
        <w:spacing w:before="200" w:line-rule="auto"/>
        <w:ind w:firstLine="540"/>
        <w:jc w:val="both"/>
      </w:pPr>
      <w:r>
        <w:rPr>
          <w:sz w:val="20"/>
        </w:rPr>
        <w:t xml:space="preserve">3. Перед принятием опасных отходов на завод по сжиганию отходов или завод по совместному сжиганию отходов оператор собирает доступную информацию об отходах в целях проверки соответствия разрешения требованиям, указанным в </w:t>
      </w:r>
      <w:hyperlink w:history="0" w:anchor="P816" w:tooltip="2. В дополнение к требованиям, установленным в параграфе 1 настоящей статьи, разрешение, выданное заводу по сжиганию или совместному сжиганию отходов, где сжигаются опасные отходы, должно включать следующие сведения:">
        <w:r>
          <w:rPr>
            <w:sz w:val="20"/>
            <w:color w:val="0000ff"/>
          </w:rPr>
          <w:t xml:space="preserve">статье 45 (2)</w:t>
        </w:r>
      </w:hyperlink>
      <w:r>
        <w:rPr>
          <w:sz w:val="20"/>
        </w:rPr>
        <w:t xml:space="preserve"> настоящей Директивы.</w:t>
      </w:r>
    </w:p>
    <w:p>
      <w:pPr>
        <w:pStyle w:val="0"/>
        <w:spacing w:before="200" w:line-rule="auto"/>
        <w:ind w:firstLine="540"/>
        <w:jc w:val="both"/>
      </w:pPr>
      <w:r>
        <w:rPr>
          <w:sz w:val="20"/>
        </w:rPr>
        <w:t xml:space="preserve">Такая информация охватывает:</w:t>
      </w:r>
    </w:p>
    <w:p>
      <w:pPr>
        <w:pStyle w:val="0"/>
        <w:spacing w:before="200" w:line-rule="auto"/>
        <w:ind w:firstLine="540"/>
        <w:jc w:val="both"/>
      </w:pPr>
      <w:r>
        <w:rPr>
          <w:sz w:val="20"/>
        </w:rPr>
        <w:t xml:space="preserve">a) всю административную информацию о процессе образования отходов, содержащуюся в документах, указанных в </w:t>
      </w:r>
      <w:hyperlink w:history="0" w:anchor="P905" w:tooltip="a) проверку документов, требуемых в соответствии с Директивой 2008/98/ЕС и, если применимо, в соответствии с Регламентом (ЕС) 1013/2006 Европейского парламента и Совета ЕС от 14 июня 2006 г. о транспортировке отходов &lt;*&gt;, а также в соответствии с законодательством о транспортировке опасных грузов;">
        <w:r>
          <w:rPr>
            <w:sz w:val="20"/>
            <w:color w:val="0000ff"/>
          </w:rPr>
          <w:t xml:space="preserve">параграфе 4 "a" настоящей статьи</w:t>
        </w:r>
      </w:hyperlink>
      <w:r>
        <w:rPr>
          <w:sz w:val="20"/>
        </w:rPr>
        <w:t xml:space="preserve">;</w:t>
      </w:r>
    </w:p>
    <w:p>
      <w:pPr>
        <w:pStyle w:val="0"/>
        <w:spacing w:before="200" w:line-rule="auto"/>
        <w:ind w:firstLine="540"/>
        <w:jc w:val="both"/>
      </w:pPr>
      <w:r>
        <w:rPr>
          <w:sz w:val="20"/>
        </w:rPr>
        <w:t xml:space="preserve">b) физический и, насколько это возможно, химический состав отходов, а также иную информацию, необходимую для оценки стабильности планируемого процесса сжигания;</w:t>
      </w:r>
    </w:p>
    <w:p>
      <w:pPr>
        <w:pStyle w:val="0"/>
        <w:spacing w:before="200" w:line-rule="auto"/>
        <w:ind w:firstLine="540"/>
        <w:jc w:val="both"/>
      </w:pPr>
      <w:r>
        <w:rPr>
          <w:sz w:val="20"/>
        </w:rPr>
        <w:t xml:space="preserve">c) характеристики опасности отходов, вещества, с которыми они не могут быть смешаны, а также меры предосторожности, необходимые при обработке отходов.</w:t>
      </w:r>
    </w:p>
    <w:bookmarkStart w:id="904" w:name="P904"/>
    <w:bookmarkEnd w:id="904"/>
    <w:p>
      <w:pPr>
        <w:pStyle w:val="0"/>
        <w:spacing w:before="200" w:line-rule="auto"/>
        <w:ind w:firstLine="540"/>
        <w:jc w:val="both"/>
      </w:pPr>
      <w:r>
        <w:rPr>
          <w:sz w:val="20"/>
        </w:rPr>
        <w:t xml:space="preserve">4. Перед принятием опасных отходов на завод по сжиганию отходов или завод по совместному сжиганию отходов оператор осуществляет как минимум следующие действия:</w:t>
      </w:r>
    </w:p>
    <w:bookmarkStart w:id="905" w:name="P905"/>
    <w:bookmarkEnd w:id="905"/>
    <w:p>
      <w:pPr>
        <w:pStyle w:val="0"/>
        <w:spacing w:before="200" w:line-rule="auto"/>
        <w:ind w:firstLine="540"/>
        <w:jc w:val="both"/>
      </w:pPr>
      <w:r>
        <w:rPr>
          <w:sz w:val="20"/>
        </w:rPr>
        <w:t xml:space="preserve">a) проверку документов, требуемых в соответствии с </w:t>
      </w:r>
      <w:hyperlink w:history="0" r:id="rId67" w:tooltip="Директива N 2008/98/ЕС Европейского парламента и Совета Европейского Союза &quot;Об отходах и отмене ряда Директив&quot; [рус., англ.] (Вместе с &lt;Операциями по уничтожению, утилизации&gt;, &quot;Свойствами отходов, которые превращают их в опасные&quot;, &lt;Примерами мер по предотвращению образования отходов, экономических инструментов, предоставляющих льготы при применении иерархии&gt;, &lt;Планом реализации&gt;, &quot;Корреляционной таблицей&quot;) (Принята в г. Страсбурге 19.11.2008) (с изм. и доп. от 30.05.2018) {КонсультантПлюс}">
        <w:r>
          <w:rPr>
            <w:sz w:val="20"/>
            <w:color w:val="0000ff"/>
          </w:rPr>
          <w:t xml:space="preserve">Директивой</w:t>
        </w:r>
      </w:hyperlink>
      <w:r>
        <w:rPr>
          <w:sz w:val="20"/>
        </w:rPr>
        <w:t xml:space="preserve"> 2008/98/ЕС и, если применимо, в соответствии с </w:t>
      </w:r>
      <w:hyperlink w:history="0" r:id="rId68" w:tooltip="Регламент N 1013/2006 Европейского парламента и Совета Европейского Союза &quot;О транспортировке отходов&quot; [рус., англ.] (Вместе с &lt;Уведомительным, транспортным документом для трансграничных перевозок отходов&gt;, &quot;Специальной инструкцией по заполнению...&quot;, &lt;Информацией и документацией, относящейся к уведомлению, сопровождающими перевозку&gt;, &lt;&quot;Зеленым&quot; и &quot;янтарным&quot; списками отходов&gt;, &quot;Смесями двух или более отходов...&quot;, &quot;Отходами, подлежащими запрету на экспорт...&quot;, &quot;Формой для предварительно согласованного производ {КонсультантПлюс}">
        <w:r>
          <w:rPr>
            <w:sz w:val="20"/>
            <w:color w:val="0000ff"/>
          </w:rPr>
          <w:t xml:space="preserve">Регламентом</w:t>
        </w:r>
      </w:hyperlink>
      <w:r>
        <w:rPr>
          <w:sz w:val="20"/>
        </w:rPr>
        <w:t xml:space="preserve"> (ЕС) 1013/2006 Европейского парламента и Совета ЕС от 14 июня 2006 г. о транспортировке отходов &lt;*&gt;, а также в соответствии с законодательством о транспортировке опасных грузов;</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ОЖ N L 190, 12.7.2006, стр. 1.</w:t>
      </w:r>
    </w:p>
    <w:p>
      <w:pPr>
        <w:pStyle w:val="0"/>
        <w:ind w:firstLine="540"/>
        <w:jc w:val="both"/>
      </w:pPr>
      <w:r>
        <w:rPr>
          <w:sz w:val="20"/>
        </w:rPr>
      </w:r>
    </w:p>
    <w:p>
      <w:pPr>
        <w:pStyle w:val="0"/>
        <w:ind w:firstLine="540"/>
        <w:jc w:val="both"/>
      </w:pPr>
      <w:r>
        <w:rPr>
          <w:sz w:val="20"/>
        </w:rPr>
        <w:t xml:space="preserve">b) взятие репрезентативных проб, если это целесообразно и возможно, до разгрузки в целях проверки соответствия информации, предусмотренной в </w:t>
      </w:r>
      <w:hyperlink w:history="0" w:anchor="P899" w:tooltip="3. Перед принятием опасных отходов на завод по сжиганию отходов или завод по совместному сжиганию отходов оператор собирает доступную информацию об отходах в целях проверки соответствия разрешения требованиям, указанным в статье 45 (2) настоящей Директивы.">
        <w:r>
          <w:rPr>
            <w:sz w:val="20"/>
            <w:color w:val="0000ff"/>
          </w:rPr>
          <w:t xml:space="preserve">параграфе 3 настоящей статьи</w:t>
        </w:r>
      </w:hyperlink>
      <w:r>
        <w:rPr>
          <w:sz w:val="20"/>
        </w:rPr>
        <w:t xml:space="preserve">, путем контроля, а также в целях предоставления компетентным органам возможности определить природу обрабатываемых отходов.</w:t>
      </w:r>
    </w:p>
    <w:p>
      <w:pPr>
        <w:pStyle w:val="0"/>
        <w:spacing w:before="200" w:line-rule="auto"/>
        <w:ind w:firstLine="540"/>
        <w:jc w:val="both"/>
      </w:pPr>
      <w:r>
        <w:rPr>
          <w:sz w:val="20"/>
        </w:rPr>
        <w:t xml:space="preserve">Пробы, предусмотренные пунктом "b" настоящего параграфа, сохраняются как минимум месяц после сжигания или совместного сжигания соответствующих отходов.</w:t>
      </w:r>
    </w:p>
    <w:p>
      <w:pPr>
        <w:pStyle w:val="0"/>
        <w:spacing w:before="200" w:line-rule="auto"/>
        <w:ind w:firstLine="540"/>
        <w:jc w:val="both"/>
      </w:pPr>
      <w:r>
        <w:rPr>
          <w:sz w:val="20"/>
        </w:rPr>
        <w:t xml:space="preserve">5. Компетентный орган вправе предоставить исключения от положений </w:t>
      </w:r>
      <w:hyperlink w:history="0" w:anchor="P898" w:tooltip="2. Перед принятием отходов на завод по сжиганию отходов или завод по совместному сжиганию отходов оператор определяет массу каждого вида отходов, если это возможно, в соответствии с Европейским перечнем отходов, утвержденным Решением 2000/532/ЕС.">
        <w:r>
          <w:rPr>
            <w:sz w:val="20"/>
            <w:color w:val="0000ff"/>
          </w:rPr>
          <w:t xml:space="preserve">параграфов 2</w:t>
        </w:r>
      </w:hyperlink>
      <w:r>
        <w:rPr>
          <w:sz w:val="20"/>
        </w:rPr>
        <w:t xml:space="preserve">, </w:t>
      </w:r>
      <w:hyperlink w:history="0" w:anchor="P899" w:tooltip="3. Перед принятием опасных отходов на завод по сжиганию отходов или завод по совместному сжиганию отходов оператор собирает доступную информацию об отходах в целях проверки соответствия разрешения требованиям, указанным в статье 45 (2) настоящей Директивы.">
        <w:r>
          <w:rPr>
            <w:sz w:val="20"/>
            <w:color w:val="0000ff"/>
          </w:rPr>
          <w:t xml:space="preserve">3</w:t>
        </w:r>
      </w:hyperlink>
      <w:r>
        <w:rPr>
          <w:sz w:val="20"/>
        </w:rPr>
        <w:t xml:space="preserve"> и </w:t>
      </w:r>
      <w:hyperlink w:history="0" w:anchor="P904" w:tooltip="4. Перед принятием опасных отходов на завод по сжиганию отходов или завод по совместному сжиганию отходов оператор осуществляет как минимум следующие действия:">
        <w:r>
          <w:rPr>
            <w:sz w:val="20"/>
            <w:color w:val="0000ff"/>
          </w:rPr>
          <w:t xml:space="preserve">4 настоящей статьи</w:t>
        </w:r>
      </w:hyperlink>
      <w:r>
        <w:rPr>
          <w:sz w:val="20"/>
        </w:rPr>
        <w:t xml:space="preserve"> для заводов по сжиганию отходов или заводов по совместному сжиганию отходов, входящих в состав установки, как предусмотрено </w:t>
      </w:r>
      <w:hyperlink w:history="0" w:anchor="P297" w:tooltip="Глава II. ПОЛОЖЕНИЯ ДЛЯ ВИДОВ ДЕЯТЕЛЬНОСТИ, ПЕРЕЧИСЛЕННЫХ">
        <w:r>
          <w:rPr>
            <w:sz w:val="20"/>
            <w:color w:val="0000ff"/>
          </w:rPr>
          <w:t xml:space="preserve">главой II</w:t>
        </w:r>
      </w:hyperlink>
      <w:r>
        <w:rPr>
          <w:sz w:val="20"/>
        </w:rPr>
        <w:t xml:space="preserve"> настоящей Директивы, и осуществляющих сжигание или совместное сжигание отходов в пределах такой установки.</w:t>
      </w:r>
    </w:p>
    <w:p>
      <w:pPr>
        <w:pStyle w:val="0"/>
        <w:ind w:firstLine="540"/>
        <w:jc w:val="both"/>
      </w:pPr>
      <w:r>
        <w:rPr>
          <w:sz w:val="20"/>
        </w:rPr>
      </w:r>
    </w:p>
    <w:p>
      <w:pPr>
        <w:pStyle w:val="0"/>
        <w:outlineLvl w:val="2"/>
        <w:jc w:val="center"/>
      </w:pPr>
      <w:r>
        <w:rPr>
          <w:sz w:val="20"/>
        </w:rPr>
        <w:t xml:space="preserve">Статья 53</w:t>
      </w:r>
    </w:p>
    <w:p>
      <w:pPr>
        <w:pStyle w:val="0"/>
        <w:jc w:val="center"/>
      </w:pPr>
      <w:r>
        <w:rPr>
          <w:sz w:val="20"/>
        </w:rPr>
      </w:r>
    </w:p>
    <w:p>
      <w:pPr>
        <w:pStyle w:val="0"/>
        <w:jc w:val="center"/>
      </w:pPr>
      <w:r>
        <w:rPr>
          <w:sz w:val="20"/>
        </w:rPr>
        <w:t xml:space="preserve">Остатки</w:t>
      </w:r>
    </w:p>
    <w:p>
      <w:pPr>
        <w:pStyle w:val="0"/>
        <w:jc w:val="center"/>
      </w:pPr>
      <w:r>
        <w:rPr>
          <w:sz w:val="20"/>
        </w:rPr>
      </w:r>
    </w:p>
    <w:bookmarkStart w:id="917" w:name="P917"/>
    <w:bookmarkEnd w:id="917"/>
    <w:p>
      <w:pPr>
        <w:pStyle w:val="0"/>
        <w:ind w:firstLine="540"/>
        <w:jc w:val="both"/>
      </w:pPr>
      <w:r>
        <w:rPr>
          <w:sz w:val="20"/>
        </w:rPr>
        <w:t xml:space="preserve">1. Количество и вредность остатков должны быть сведены к минимуму; по необходимости осуществляется переработка остатков непосредственно на заводе или за его пределами.</w:t>
      </w:r>
    </w:p>
    <w:bookmarkStart w:id="918" w:name="P918"/>
    <w:bookmarkEnd w:id="918"/>
    <w:p>
      <w:pPr>
        <w:pStyle w:val="0"/>
        <w:spacing w:before="200" w:line-rule="auto"/>
        <w:ind w:firstLine="540"/>
        <w:jc w:val="both"/>
      </w:pPr>
      <w:r>
        <w:rPr>
          <w:sz w:val="20"/>
        </w:rPr>
        <w:t xml:space="preserve">2. Транспортировка и промежуточное хранение сухих остатков в форме пыли осуществляется таким образом, чтобы предотвратить их распыление в окружающую среду.</w:t>
      </w:r>
    </w:p>
    <w:bookmarkStart w:id="919" w:name="P919"/>
    <w:bookmarkEnd w:id="919"/>
    <w:p>
      <w:pPr>
        <w:pStyle w:val="0"/>
        <w:spacing w:before="200" w:line-rule="auto"/>
        <w:ind w:firstLine="540"/>
        <w:jc w:val="both"/>
      </w:pPr>
      <w:r>
        <w:rPr>
          <w:sz w:val="20"/>
        </w:rPr>
        <w:t xml:space="preserve">3. Перед определением способов захоронения или переработки остатков проводятся соответствующие тесты, чтобы установить физические и химические характеристики, а также способность к загрязнению таких остатков. Указанные тесты касаются суммарных растворимых фракций и растворимых фракций тяжелых металлов.</w:t>
      </w:r>
    </w:p>
    <w:p>
      <w:pPr>
        <w:pStyle w:val="0"/>
        <w:ind w:firstLine="540"/>
        <w:jc w:val="both"/>
      </w:pPr>
      <w:r>
        <w:rPr>
          <w:sz w:val="20"/>
        </w:rPr>
      </w:r>
    </w:p>
    <w:bookmarkStart w:id="921" w:name="P921"/>
    <w:bookmarkEnd w:id="921"/>
    <w:p>
      <w:pPr>
        <w:pStyle w:val="0"/>
        <w:outlineLvl w:val="2"/>
        <w:jc w:val="center"/>
      </w:pPr>
      <w:r>
        <w:rPr>
          <w:sz w:val="20"/>
        </w:rPr>
        <w:t xml:space="preserve">Статья 54</w:t>
      </w:r>
    </w:p>
    <w:p>
      <w:pPr>
        <w:pStyle w:val="0"/>
        <w:jc w:val="center"/>
      </w:pPr>
      <w:r>
        <w:rPr>
          <w:sz w:val="20"/>
        </w:rPr>
      </w:r>
    </w:p>
    <w:p>
      <w:pPr>
        <w:pStyle w:val="0"/>
        <w:jc w:val="center"/>
      </w:pPr>
      <w:r>
        <w:rPr>
          <w:sz w:val="20"/>
        </w:rPr>
        <w:t xml:space="preserve">Существенные изменения</w:t>
      </w:r>
    </w:p>
    <w:p>
      <w:pPr>
        <w:pStyle w:val="0"/>
        <w:jc w:val="center"/>
      </w:pPr>
      <w:r>
        <w:rPr>
          <w:sz w:val="20"/>
        </w:rPr>
      </w:r>
    </w:p>
    <w:p>
      <w:pPr>
        <w:pStyle w:val="0"/>
        <w:ind w:firstLine="540"/>
        <w:jc w:val="both"/>
      </w:pPr>
      <w:r>
        <w:rPr>
          <w:sz w:val="20"/>
        </w:rPr>
        <w:t xml:space="preserve">Изменение условий эксплуатации заводов по сжиганию отходов или заводов по совместному сжиганию отходов, осуществляющих обработку только неопасных отходов в установках, указанных в </w:t>
      </w:r>
      <w:hyperlink w:history="0" w:anchor="P297" w:tooltip="Глава II. ПОЛОЖЕНИЯ ДЛЯ ВИДОВ ДЕЯТЕЛЬНОСТИ, ПЕРЕЧИСЛЕННЫХ">
        <w:r>
          <w:rPr>
            <w:sz w:val="20"/>
            <w:color w:val="0000ff"/>
          </w:rPr>
          <w:t xml:space="preserve">главе II</w:t>
        </w:r>
      </w:hyperlink>
      <w:r>
        <w:rPr>
          <w:sz w:val="20"/>
        </w:rPr>
        <w:t xml:space="preserve"> настоящей Директивы, которое предусматривает сжигание или совместное сжигание опасных отходов, считается существенным.</w:t>
      </w:r>
    </w:p>
    <w:p>
      <w:pPr>
        <w:pStyle w:val="0"/>
        <w:ind w:firstLine="540"/>
        <w:jc w:val="both"/>
      </w:pPr>
      <w:r>
        <w:rPr>
          <w:sz w:val="20"/>
        </w:rPr>
      </w:r>
    </w:p>
    <w:p>
      <w:pPr>
        <w:pStyle w:val="0"/>
        <w:outlineLvl w:val="2"/>
        <w:jc w:val="center"/>
      </w:pPr>
      <w:r>
        <w:rPr>
          <w:sz w:val="20"/>
        </w:rPr>
        <w:t xml:space="preserve">Статья 55</w:t>
      </w:r>
    </w:p>
    <w:p>
      <w:pPr>
        <w:pStyle w:val="0"/>
        <w:jc w:val="center"/>
      </w:pPr>
      <w:r>
        <w:rPr>
          <w:sz w:val="20"/>
        </w:rPr>
      </w:r>
    </w:p>
    <w:p>
      <w:pPr>
        <w:pStyle w:val="0"/>
        <w:jc w:val="center"/>
      </w:pPr>
      <w:r>
        <w:rPr>
          <w:sz w:val="20"/>
        </w:rPr>
        <w:t xml:space="preserve">Система отчетности и общедоступная информация</w:t>
      </w:r>
    </w:p>
    <w:p>
      <w:pPr>
        <w:pStyle w:val="0"/>
        <w:jc w:val="center"/>
      </w:pPr>
      <w:r>
        <w:rPr>
          <w:sz w:val="20"/>
        </w:rPr>
        <w:t xml:space="preserve">о заводах по сжиганию отходов и о заводах по совместному</w:t>
      </w:r>
    </w:p>
    <w:p>
      <w:pPr>
        <w:pStyle w:val="0"/>
        <w:jc w:val="center"/>
      </w:pPr>
      <w:r>
        <w:rPr>
          <w:sz w:val="20"/>
        </w:rPr>
        <w:t xml:space="preserve">сжиганию отходов</w:t>
      </w:r>
    </w:p>
    <w:p>
      <w:pPr>
        <w:pStyle w:val="0"/>
        <w:jc w:val="center"/>
      </w:pPr>
      <w:r>
        <w:rPr>
          <w:sz w:val="20"/>
        </w:rPr>
      </w:r>
    </w:p>
    <w:bookmarkStart w:id="933" w:name="P933"/>
    <w:bookmarkEnd w:id="933"/>
    <w:p>
      <w:pPr>
        <w:pStyle w:val="0"/>
        <w:ind w:firstLine="540"/>
        <w:jc w:val="both"/>
      </w:pPr>
      <w:r>
        <w:rPr>
          <w:sz w:val="20"/>
        </w:rPr>
        <w:t xml:space="preserve">1. Заявления на выдачу новых разрешений для заводов по сжиганию отходов или заводов по совместному сжиганию отходов должно быть опубликовано в одном или нескольких местах в течение надлежащего периода, что позволит общественности оставлять свои комментарии относительно заявлений до принятия решений компетентными органами. Такое решение, в том числе копия разрешения и любые последующие изменения, также должны быть опубликованы.</w:t>
      </w:r>
    </w:p>
    <w:bookmarkStart w:id="934" w:name="P934"/>
    <w:bookmarkEnd w:id="934"/>
    <w:p>
      <w:pPr>
        <w:pStyle w:val="0"/>
        <w:spacing w:before="200" w:line-rule="auto"/>
        <w:ind w:firstLine="540"/>
        <w:jc w:val="both"/>
      </w:pPr>
      <w:r>
        <w:rPr>
          <w:sz w:val="20"/>
        </w:rPr>
        <w:t xml:space="preserve">2. В отношении заводов по сжиганию отходов или заводов по совместному сжиганию отходов с номинальной производительностью 2 тонны или более в час отчет, предусмотренный </w:t>
      </w:r>
      <w:hyperlink w:history="0" w:anchor="P1097" w:tooltip="Статья 72">
        <w:r>
          <w:rPr>
            <w:sz w:val="20"/>
            <w:color w:val="0000ff"/>
          </w:rPr>
          <w:t xml:space="preserve">статьей 72</w:t>
        </w:r>
      </w:hyperlink>
      <w:r>
        <w:rPr>
          <w:sz w:val="20"/>
        </w:rPr>
        <w:t xml:space="preserve"> настоящей Директивы, должен содержать информацию о функционировании и мониторинге завода, отчетность о ходе процессов сжигания и совместного сжигания отходов, а также об уровне выбросов в воздух и воду по сравнению с пороговыми значениями выбросов. Такая информация должна быть опубликована.</w:t>
      </w:r>
    </w:p>
    <w:bookmarkStart w:id="935" w:name="P935"/>
    <w:bookmarkEnd w:id="935"/>
    <w:p>
      <w:pPr>
        <w:pStyle w:val="0"/>
        <w:spacing w:before="200" w:line-rule="auto"/>
        <w:ind w:firstLine="540"/>
        <w:jc w:val="both"/>
      </w:pPr>
      <w:r>
        <w:rPr>
          <w:sz w:val="20"/>
        </w:rPr>
        <w:t xml:space="preserve">3. Перечень заводов по сжиганию отходов или заводов по совместному сжиганию отходов с номинальной производительностью менее 2 тонн в час составляется компетентным органом и подлежит опубликованию.</w:t>
      </w:r>
    </w:p>
    <w:p>
      <w:pPr>
        <w:pStyle w:val="0"/>
        <w:ind w:firstLine="540"/>
        <w:jc w:val="both"/>
      </w:pPr>
      <w:r>
        <w:rPr>
          <w:sz w:val="20"/>
        </w:rPr>
      </w:r>
    </w:p>
    <w:bookmarkStart w:id="937" w:name="P937"/>
    <w:bookmarkEnd w:id="937"/>
    <w:p>
      <w:pPr>
        <w:pStyle w:val="0"/>
        <w:outlineLvl w:val="1"/>
        <w:jc w:val="center"/>
      </w:pPr>
      <w:r>
        <w:rPr>
          <w:sz w:val="20"/>
        </w:rPr>
        <w:t xml:space="preserve">Глава V. СПЕЦИАЛЬНЫЕ ПОЛОЖЕНИЯ</w:t>
      </w:r>
    </w:p>
    <w:p>
      <w:pPr>
        <w:pStyle w:val="0"/>
        <w:jc w:val="center"/>
      </w:pPr>
      <w:r>
        <w:rPr>
          <w:sz w:val="20"/>
        </w:rPr>
        <w:t xml:space="preserve">ДЛЯ УСТАНОВОК И ВИДОВ ДЕЯТЕЛЬНОСТИ, В КОТОРЫХ</w:t>
      </w:r>
    </w:p>
    <w:p>
      <w:pPr>
        <w:pStyle w:val="0"/>
        <w:jc w:val="center"/>
      </w:pPr>
      <w:r>
        <w:rPr>
          <w:sz w:val="20"/>
        </w:rPr>
        <w:t xml:space="preserve">ИСПОЛЬЗУЮТСЯ ОРГАНИЧЕСКИЕ РАСТВОРИТЕЛИ</w:t>
      </w:r>
    </w:p>
    <w:p>
      <w:pPr>
        <w:pStyle w:val="0"/>
        <w:jc w:val="center"/>
      </w:pPr>
      <w:r>
        <w:rPr>
          <w:sz w:val="20"/>
        </w:rPr>
      </w:r>
    </w:p>
    <w:bookmarkStart w:id="941" w:name="P941"/>
    <w:bookmarkEnd w:id="941"/>
    <w:p>
      <w:pPr>
        <w:pStyle w:val="0"/>
        <w:outlineLvl w:val="2"/>
        <w:jc w:val="center"/>
      </w:pPr>
      <w:r>
        <w:rPr>
          <w:sz w:val="20"/>
        </w:rPr>
        <w:t xml:space="preserve">Статья 56</w:t>
      </w:r>
    </w:p>
    <w:p>
      <w:pPr>
        <w:pStyle w:val="0"/>
        <w:jc w:val="center"/>
      </w:pPr>
      <w:r>
        <w:rPr>
          <w:sz w:val="20"/>
        </w:rPr>
      </w:r>
    </w:p>
    <w:p>
      <w:pPr>
        <w:pStyle w:val="0"/>
        <w:jc w:val="center"/>
      </w:pPr>
      <w:r>
        <w:rPr>
          <w:sz w:val="20"/>
        </w:rPr>
        <w:t xml:space="preserve">Сфера применения</w:t>
      </w:r>
    </w:p>
    <w:p>
      <w:pPr>
        <w:pStyle w:val="0"/>
        <w:jc w:val="center"/>
      </w:pPr>
      <w:r>
        <w:rPr>
          <w:sz w:val="20"/>
        </w:rPr>
      </w:r>
    </w:p>
    <w:p>
      <w:pPr>
        <w:pStyle w:val="0"/>
        <w:ind w:firstLine="540"/>
        <w:jc w:val="both"/>
      </w:pPr>
      <w:r>
        <w:rPr>
          <w:sz w:val="20"/>
        </w:rPr>
        <w:t xml:space="preserve">Настоящая глава применяется к видам деятельности, перечисленным в </w:t>
      </w:r>
      <w:hyperlink w:history="0" w:anchor="P2799" w:tooltip="Часть 1">
        <w:r>
          <w:rPr>
            <w:sz w:val="20"/>
            <w:color w:val="0000ff"/>
          </w:rPr>
          <w:t xml:space="preserve">части 1</w:t>
        </w:r>
      </w:hyperlink>
      <w:r>
        <w:rPr>
          <w:sz w:val="20"/>
        </w:rPr>
        <w:t xml:space="preserve"> Приложения VII к настоящей Директиве и, если это применимо, достигающим пороговых величин потребления, установленных в </w:t>
      </w:r>
      <w:hyperlink w:history="0" w:anchor="P2858" w:tooltip="Часть 2">
        <w:r>
          <w:rPr>
            <w:sz w:val="20"/>
            <w:color w:val="0000ff"/>
          </w:rPr>
          <w:t xml:space="preserve">части 2</w:t>
        </w:r>
      </w:hyperlink>
      <w:r>
        <w:rPr>
          <w:sz w:val="20"/>
        </w:rPr>
        <w:t xml:space="preserve"> указанного Приложения.</w:t>
      </w:r>
    </w:p>
    <w:p>
      <w:pPr>
        <w:pStyle w:val="0"/>
        <w:ind w:firstLine="540"/>
        <w:jc w:val="both"/>
      </w:pPr>
      <w:r>
        <w:rPr>
          <w:sz w:val="20"/>
        </w:rPr>
      </w:r>
    </w:p>
    <w:p>
      <w:pPr>
        <w:pStyle w:val="0"/>
        <w:outlineLvl w:val="2"/>
        <w:jc w:val="center"/>
      </w:pPr>
      <w:r>
        <w:rPr>
          <w:sz w:val="20"/>
        </w:rPr>
        <w:t xml:space="preserve">Статья 57</w:t>
      </w:r>
    </w:p>
    <w:p>
      <w:pPr>
        <w:pStyle w:val="0"/>
        <w:jc w:val="center"/>
      </w:pPr>
      <w:r>
        <w:rPr>
          <w:sz w:val="20"/>
        </w:rPr>
      </w:r>
    </w:p>
    <w:p>
      <w:pPr>
        <w:pStyle w:val="0"/>
        <w:jc w:val="center"/>
      </w:pPr>
      <w:r>
        <w:rPr>
          <w:sz w:val="20"/>
        </w:rPr>
        <w:t xml:space="preserve">Определения</w:t>
      </w:r>
    </w:p>
    <w:p>
      <w:pPr>
        <w:pStyle w:val="0"/>
        <w:jc w:val="center"/>
      </w:pPr>
      <w:r>
        <w:rPr>
          <w:sz w:val="20"/>
        </w:rPr>
      </w:r>
    </w:p>
    <w:p>
      <w:pPr>
        <w:pStyle w:val="0"/>
        <w:ind w:firstLine="540"/>
        <w:jc w:val="both"/>
      </w:pPr>
      <w:r>
        <w:rPr>
          <w:sz w:val="20"/>
        </w:rPr>
        <w:t xml:space="preserve">В целях настоящей главы применяются следующие определения:</w:t>
      </w:r>
    </w:p>
    <w:bookmarkStart w:id="952" w:name="P952"/>
    <w:bookmarkEnd w:id="952"/>
    <w:p>
      <w:pPr>
        <w:pStyle w:val="0"/>
        <w:spacing w:before="200" w:line-rule="auto"/>
        <w:ind w:firstLine="540"/>
        <w:jc w:val="both"/>
      </w:pPr>
      <w:r>
        <w:rPr>
          <w:sz w:val="20"/>
        </w:rPr>
        <w:t xml:space="preserve">1) под "существующей установкой" понимается любая установка, функционировавшая на 29 марта 1999 г., а также установка, разрешение на которую было выдано или которая была зарегистрирована до 1 апреля 2001 г. либо оператор которой подал полностью оформленное заявление на выдачу разрешения до 1 апреля 2001 г. при условии, что такая установка введена в эксплуатацию не позднее 1 апреля 2002 г.;</w:t>
      </w:r>
    </w:p>
    <w:bookmarkStart w:id="953" w:name="P953"/>
    <w:bookmarkEnd w:id="953"/>
    <w:p>
      <w:pPr>
        <w:pStyle w:val="0"/>
        <w:spacing w:before="200" w:line-rule="auto"/>
        <w:ind w:firstLine="540"/>
        <w:jc w:val="both"/>
      </w:pPr>
      <w:r>
        <w:rPr>
          <w:sz w:val="20"/>
        </w:rPr>
        <w:t xml:space="preserve">2) под "отработанными газами" понимаются конечные газообразные выбросы в воздух, содержащие летучие органические соединения или другие загрязнители от дымовых труб или очистного оборудования;</w:t>
      </w:r>
    </w:p>
    <w:bookmarkStart w:id="954" w:name="P954"/>
    <w:bookmarkEnd w:id="954"/>
    <w:p>
      <w:pPr>
        <w:pStyle w:val="0"/>
        <w:spacing w:before="200" w:line-rule="auto"/>
        <w:ind w:firstLine="540"/>
        <w:jc w:val="both"/>
      </w:pPr>
      <w:r>
        <w:rPr>
          <w:sz w:val="20"/>
        </w:rPr>
        <w:t xml:space="preserve">3) под "неконтролируемыми выбросами" понимаются любые выбросы, за исключением выбросов в виде отработанных газов, летучих органических соединений в воздух, почву или воду, а также растворители, содержащиеся в продуктах, если иное не установлено </w:t>
      </w:r>
      <w:hyperlink w:history="0" w:anchor="P2858" w:tooltip="Часть 2">
        <w:r>
          <w:rPr>
            <w:sz w:val="20"/>
            <w:color w:val="0000ff"/>
          </w:rPr>
          <w:t xml:space="preserve">частью 2</w:t>
        </w:r>
      </w:hyperlink>
      <w:r>
        <w:rPr>
          <w:sz w:val="20"/>
        </w:rPr>
        <w:t xml:space="preserve"> Приложения VII к настоящей Директиве;</w:t>
      </w:r>
    </w:p>
    <w:bookmarkStart w:id="955" w:name="P955"/>
    <w:bookmarkEnd w:id="955"/>
    <w:p>
      <w:pPr>
        <w:pStyle w:val="0"/>
        <w:spacing w:before="200" w:line-rule="auto"/>
        <w:ind w:firstLine="540"/>
        <w:jc w:val="both"/>
      </w:pPr>
      <w:r>
        <w:rPr>
          <w:sz w:val="20"/>
        </w:rPr>
        <w:t xml:space="preserve">4) под "общим количеством выбросов" понимается сумма неконтролируемых выбросов и выбросов отработанных газов;</w:t>
      </w:r>
    </w:p>
    <w:bookmarkStart w:id="956" w:name="P956"/>
    <w:bookmarkEnd w:id="956"/>
    <w:p>
      <w:pPr>
        <w:pStyle w:val="0"/>
        <w:spacing w:before="200" w:line-rule="auto"/>
        <w:ind w:firstLine="540"/>
        <w:jc w:val="both"/>
      </w:pPr>
      <w:r>
        <w:rPr>
          <w:sz w:val="20"/>
        </w:rPr>
        <w:t xml:space="preserve">5) под "смесью" понимается смесь, как определено в </w:t>
      </w:r>
      <w:hyperlink w:history="0" r:id="rId69" w:tooltip="Регламент N 1907/2006 Европейского парламента и Совета Европейского Союза &quot;О регистрации, оценке, разрешении и ограничении химических веществ (Регламент REACH) и об учреждении Европейского агентства по химическим веществам, о внесении изменений в Директиву 1999/45/ЕС и об отмене Регламента (ЕЭС) 793/93 Совета ЕС и Регламента (ЕС) 1488/94 Европейской Комиссии, а также Директивы 76/769/ЕЭС Совета ЕС и Директив 91/155/ЕЭС, 93/67/ЕЭС, 93/105/ЕС и 2000/21/ЕС Европейской Комиссии&quot; [рус., англ.] (Вместе с &lt;Общими  {КонсультантПлюс}">
        <w:r>
          <w:rPr>
            <w:sz w:val="20"/>
            <w:color w:val="0000ff"/>
          </w:rPr>
          <w:t xml:space="preserve">статье 3 (2)</w:t>
        </w:r>
      </w:hyperlink>
      <w:r>
        <w:rPr>
          <w:sz w:val="20"/>
        </w:rPr>
        <w:t xml:space="preserve"> Регламента (ЕС) 1907/2006 Европейского парламента и Совета ЕС от 18 декабря 2006 г. относительно регистрации, оценки, разрешения и ограничения химических веществ (Регламент REACH) и об учреждении Европейского химического агентства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ОЖ N L 396, 30.12.2006, стр. 1.</w:t>
      </w:r>
    </w:p>
    <w:p>
      <w:pPr>
        <w:pStyle w:val="0"/>
        <w:ind w:firstLine="540"/>
        <w:jc w:val="both"/>
      </w:pPr>
      <w:r>
        <w:rPr>
          <w:sz w:val="20"/>
        </w:rPr>
      </w:r>
    </w:p>
    <w:bookmarkStart w:id="960" w:name="P960"/>
    <w:bookmarkEnd w:id="960"/>
    <w:p>
      <w:pPr>
        <w:pStyle w:val="0"/>
        <w:ind w:firstLine="540"/>
        <w:jc w:val="both"/>
      </w:pPr>
      <w:r>
        <w:rPr>
          <w:sz w:val="20"/>
        </w:rPr>
        <w:t xml:space="preserve">6) под "адгезивом" понимается любая смесь, в том числе все органические растворители или смеси, содержащие органические растворители, необходимые для их надлежащего применения, которые используются для склеивания отдельных частей предмета;</w:t>
      </w:r>
    </w:p>
    <w:bookmarkStart w:id="961" w:name="P961"/>
    <w:bookmarkEnd w:id="961"/>
    <w:p>
      <w:pPr>
        <w:pStyle w:val="0"/>
        <w:spacing w:before="200" w:line-rule="auto"/>
        <w:ind w:firstLine="540"/>
        <w:jc w:val="both"/>
      </w:pPr>
      <w:r>
        <w:rPr>
          <w:sz w:val="20"/>
        </w:rPr>
        <w:t xml:space="preserve">7) под "чернилами" понимается любая смесь, в том числе все органические растворители или смеси, содержащие органические растворители, необходимые для их надлежащего применения, которые используются в печати при нанесении текстов или изображений на поверхность;</w:t>
      </w:r>
    </w:p>
    <w:bookmarkStart w:id="962" w:name="P962"/>
    <w:bookmarkEnd w:id="962"/>
    <w:p>
      <w:pPr>
        <w:pStyle w:val="0"/>
        <w:spacing w:before="200" w:line-rule="auto"/>
        <w:ind w:firstLine="540"/>
        <w:jc w:val="both"/>
      </w:pPr>
      <w:r>
        <w:rPr>
          <w:sz w:val="20"/>
        </w:rPr>
        <w:t xml:space="preserve">8) под "лаком" понимается прозрачное покрытие;</w:t>
      </w:r>
    </w:p>
    <w:bookmarkStart w:id="963" w:name="P963"/>
    <w:bookmarkEnd w:id="963"/>
    <w:p>
      <w:pPr>
        <w:pStyle w:val="0"/>
        <w:spacing w:before="200" w:line-rule="auto"/>
        <w:ind w:firstLine="540"/>
        <w:jc w:val="both"/>
      </w:pPr>
      <w:r>
        <w:rPr>
          <w:sz w:val="20"/>
        </w:rPr>
        <w:t xml:space="preserve">9) под "потреблением" понимается общий объем органических растворителей, загружаемый в установку за календарный год или иной период, равный 12 месяцам, за вычетом летучих органических соединений, извлекаемых для повторного использования;</w:t>
      </w:r>
    </w:p>
    <w:bookmarkStart w:id="964" w:name="P964"/>
    <w:bookmarkEnd w:id="964"/>
    <w:p>
      <w:pPr>
        <w:pStyle w:val="0"/>
        <w:spacing w:before="200" w:line-rule="auto"/>
        <w:ind w:firstLine="540"/>
        <w:jc w:val="both"/>
      </w:pPr>
      <w:r>
        <w:rPr>
          <w:sz w:val="20"/>
        </w:rPr>
        <w:t xml:space="preserve">10) под "объемом" понимается количество органических растворителей, а также их количество в смесях, которое потребляется при осуществлении определенной деятельности, в том числе количество растворителей, перерабатываемых в пределах и за пределами установки; указанное количество подсчитывается каждый раз при осуществлении определенной деятельности;</w:t>
      </w:r>
    </w:p>
    <w:bookmarkStart w:id="965" w:name="P965"/>
    <w:bookmarkEnd w:id="965"/>
    <w:p>
      <w:pPr>
        <w:pStyle w:val="0"/>
        <w:spacing w:before="200" w:line-rule="auto"/>
        <w:ind w:firstLine="540"/>
        <w:jc w:val="both"/>
      </w:pPr>
      <w:r>
        <w:rPr>
          <w:sz w:val="20"/>
        </w:rPr>
        <w:t xml:space="preserve">11) под "повторным использованием" понимается использование органических растворителей, извлеченных из установок, в любых технических или коммерческих целях, в том числе для использования в качестве топлива, за исключением окончательного захоронения извлеченного органического растворителя в виде отходов;</w:t>
      </w:r>
    </w:p>
    <w:bookmarkStart w:id="966" w:name="P966"/>
    <w:bookmarkEnd w:id="966"/>
    <w:p>
      <w:pPr>
        <w:pStyle w:val="0"/>
        <w:spacing w:before="200" w:line-rule="auto"/>
        <w:ind w:firstLine="540"/>
        <w:jc w:val="both"/>
      </w:pPr>
      <w:r>
        <w:rPr>
          <w:sz w:val="20"/>
        </w:rPr>
        <w:t xml:space="preserve">12) под "условиями использования" понимаются условия, при которых установка функционирует таким образом, что сбор и выброс выделяемых летучих органических соединений, осуществляется под контролем через дымовую трубу или очистное оборудование; таким образом, указанные выбросы не относятся полностью к неконтролируемым;</w:t>
      </w:r>
    </w:p>
    <w:bookmarkStart w:id="967" w:name="P967"/>
    <w:bookmarkEnd w:id="967"/>
    <w:p>
      <w:pPr>
        <w:pStyle w:val="0"/>
        <w:spacing w:before="200" w:line-rule="auto"/>
        <w:ind w:firstLine="540"/>
        <w:jc w:val="both"/>
      </w:pPr>
      <w:r>
        <w:rPr>
          <w:sz w:val="20"/>
        </w:rPr>
        <w:t xml:space="preserve">13) под "операциями по включению и отключению" понимаются операции, за исключением регулярно изменяющихся фаз активности, по приведению деятельности, единиц оборудования или бака в рабочее или нерабочее состояние.</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Статья 58 применяется с 1 июня 2015 года (</w:t>
            </w:r>
            <w:hyperlink w:history="0" w:anchor="P1216" w:tooltip="7. Статья 58 настоящей Директивы применяется с 1 июня 2015 г. До указанной даты вещества или смеси, которые вследствие содержания летучих органических соединений, соответствующих критериям классификации как канцерогенные, мутагенные или токсичные для репродукции в соответствии с Регламентом (ЕС) 1272/2008, должны иметь обозначения опасности H340, H350, H350i, H360D или H360F или обозначения риска R45, R46, R49, R60 или R61, необходимо заменить, насколько это возможно, менее опасными веществами или смесям...">
              <w:r>
                <w:rPr>
                  <w:sz w:val="20"/>
                  <w:color w:val="0000ff"/>
                </w:rPr>
                <w:t xml:space="preserve">статья 82 (7)</w:t>
              </w:r>
            </w:hyperlink>
            <w:r>
              <w:rPr>
                <w:sz w:val="20"/>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70" w:name="P970"/>
    <w:bookmarkEnd w:id="970"/>
    <w:p>
      <w:pPr>
        <w:pStyle w:val="0"/>
        <w:spacing w:before="260" w:line-rule="auto"/>
        <w:outlineLvl w:val="2"/>
        <w:jc w:val="center"/>
      </w:pPr>
      <w:r>
        <w:rPr>
          <w:sz w:val="20"/>
        </w:rPr>
        <w:t xml:space="preserve">Статья 58</w:t>
      </w:r>
    </w:p>
    <w:p>
      <w:pPr>
        <w:pStyle w:val="0"/>
        <w:jc w:val="center"/>
      </w:pPr>
      <w:r>
        <w:rPr>
          <w:sz w:val="20"/>
        </w:rPr>
      </w:r>
    </w:p>
    <w:p>
      <w:pPr>
        <w:pStyle w:val="0"/>
        <w:jc w:val="center"/>
      </w:pPr>
      <w:r>
        <w:rPr>
          <w:sz w:val="20"/>
        </w:rPr>
        <w:t xml:space="preserve">Замена опасных веществ</w:t>
      </w:r>
    </w:p>
    <w:p>
      <w:pPr>
        <w:pStyle w:val="0"/>
        <w:jc w:val="center"/>
      </w:pPr>
      <w:r>
        <w:rPr>
          <w:sz w:val="20"/>
        </w:rPr>
      </w:r>
    </w:p>
    <w:p>
      <w:pPr>
        <w:pStyle w:val="0"/>
        <w:ind w:firstLine="540"/>
        <w:jc w:val="both"/>
      </w:pPr>
      <w:r>
        <w:rPr>
          <w:sz w:val="20"/>
        </w:rPr>
        <w:t xml:space="preserve">Вещества или смеси, которые вследствие содержания летучих органических соединений, соответствующих критериям классификации как канцерогенные, мутагенные или токсичные для репродукции в соответствии с </w:t>
      </w:r>
      <w:hyperlink w:history="0" r:id="rId70" w:tooltip="Регламент N 1272/2008 Европейского парламента и Совета Европейского Союза &quot;О классификации, маркировке и упаковке веществ и смесей, изменяющий и отменяющий Директивы 67/548/ЕЭС и 1999/45/ЕС и изменяющий Регламент (ЕС) 1907/2006&quot; [рус., англ.] (Вместе с Приложениями I, II) (Принят в г. Страсбурге 16.12.2008) (с изм. и доп. от 07.08.2013) {КонсультантПлюс}">
        <w:r>
          <w:rPr>
            <w:sz w:val="20"/>
            <w:color w:val="0000ff"/>
          </w:rPr>
          <w:t xml:space="preserve">Регламентом</w:t>
        </w:r>
      </w:hyperlink>
      <w:r>
        <w:rPr>
          <w:sz w:val="20"/>
        </w:rPr>
        <w:t xml:space="preserve"> (ЕС) 1272/2008, должны иметь обозначения опасности H340, H350, H350i, H360D или H360F, следует заменить, насколько это возможно, менее опасными веществами или смесями в течение максимально короткого периода.</w:t>
      </w:r>
    </w:p>
    <w:p>
      <w:pPr>
        <w:pStyle w:val="0"/>
        <w:ind w:firstLine="540"/>
        <w:jc w:val="both"/>
      </w:pPr>
      <w:r>
        <w:rPr>
          <w:sz w:val="20"/>
        </w:rPr>
      </w:r>
    </w:p>
    <w:p>
      <w:pPr>
        <w:pStyle w:val="0"/>
        <w:outlineLvl w:val="2"/>
        <w:jc w:val="center"/>
      </w:pPr>
      <w:r>
        <w:rPr>
          <w:sz w:val="20"/>
        </w:rPr>
        <w:t xml:space="preserve">Статья 59</w:t>
      </w:r>
    </w:p>
    <w:p>
      <w:pPr>
        <w:pStyle w:val="0"/>
        <w:jc w:val="center"/>
      </w:pPr>
      <w:r>
        <w:rPr>
          <w:sz w:val="20"/>
        </w:rPr>
      </w:r>
    </w:p>
    <w:p>
      <w:pPr>
        <w:pStyle w:val="0"/>
        <w:jc w:val="center"/>
      </w:pPr>
      <w:r>
        <w:rPr>
          <w:sz w:val="20"/>
        </w:rPr>
        <w:t xml:space="preserve">Контроль выбросов</w:t>
      </w:r>
    </w:p>
    <w:p>
      <w:pPr>
        <w:pStyle w:val="0"/>
        <w:jc w:val="center"/>
      </w:pPr>
      <w:r>
        <w:rPr>
          <w:sz w:val="20"/>
        </w:rPr>
      </w:r>
    </w:p>
    <w:bookmarkStart w:id="980" w:name="P980"/>
    <w:bookmarkEnd w:id="980"/>
    <w:p>
      <w:pPr>
        <w:pStyle w:val="0"/>
        <w:ind w:firstLine="540"/>
        <w:jc w:val="both"/>
      </w:pPr>
      <w:r>
        <w:rPr>
          <w:sz w:val="20"/>
        </w:rPr>
        <w:t xml:space="preserve">1. Государства-члены ЕС принимают необходимые меры, направленные на обеспечение соблюдения каждой установкой одного из следующих положений:</w:t>
      </w:r>
    </w:p>
    <w:bookmarkStart w:id="981" w:name="P981"/>
    <w:bookmarkEnd w:id="981"/>
    <w:p>
      <w:pPr>
        <w:pStyle w:val="0"/>
        <w:spacing w:before="200" w:line-rule="auto"/>
        <w:ind w:firstLine="540"/>
        <w:jc w:val="both"/>
      </w:pPr>
      <w:r>
        <w:rPr>
          <w:sz w:val="20"/>
        </w:rPr>
        <w:t xml:space="preserve">a) выбросы летучих органических соединений от установок не превышают пороговых значений выбросов отработанных газов и пороговых значений неконтролируемых выбросов либо соблюдены общие пороговые значения выбросов и другие требования, предусмотренные </w:t>
      </w:r>
      <w:hyperlink w:history="0" w:anchor="P2858" w:tooltip="Часть 2">
        <w:r>
          <w:rPr>
            <w:sz w:val="20"/>
            <w:color w:val="0000ff"/>
          </w:rPr>
          <w:t xml:space="preserve">частями 2</w:t>
        </w:r>
      </w:hyperlink>
      <w:r>
        <w:rPr>
          <w:sz w:val="20"/>
        </w:rPr>
        <w:t xml:space="preserve"> и </w:t>
      </w:r>
      <w:hyperlink w:history="0" w:anchor="P3196" w:tooltip="Часть 3">
        <w:r>
          <w:rPr>
            <w:sz w:val="20"/>
            <w:color w:val="0000ff"/>
          </w:rPr>
          <w:t xml:space="preserve">3</w:t>
        </w:r>
      </w:hyperlink>
      <w:r>
        <w:rPr>
          <w:sz w:val="20"/>
        </w:rPr>
        <w:t xml:space="preserve"> Приложения VII к настоящей Директиве;</w:t>
      </w:r>
    </w:p>
    <w:bookmarkStart w:id="982" w:name="P982"/>
    <w:bookmarkEnd w:id="982"/>
    <w:p>
      <w:pPr>
        <w:pStyle w:val="0"/>
        <w:spacing w:before="200" w:line-rule="auto"/>
        <w:ind w:firstLine="540"/>
        <w:jc w:val="both"/>
      </w:pPr>
      <w:r>
        <w:rPr>
          <w:sz w:val="20"/>
        </w:rPr>
        <w:t xml:space="preserve">b) соблюдены требования схемы сокращения выбросов, предусмотренной </w:t>
      </w:r>
      <w:hyperlink w:history="0" w:anchor="P3269" w:tooltip="Часть 5">
        <w:r>
          <w:rPr>
            <w:sz w:val="20"/>
            <w:color w:val="0000ff"/>
          </w:rPr>
          <w:t xml:space="preserve">частью 5</w:t>
        </w:r>
      </w:hyperlink>
      <w:r>
        <w:rPr>
          <w:sz w:val="20"/>
        </w:rPr>
        <w:t xml:space="preserve"> Приложения VII к настоящей Директиве, при условии, что достигнуто сокращение выбросов, эквивалентное сокращению, достижимому посредством применения пороговых значений выбросов, указанных в </w:t>
      </w:r>
      <w:hyperlink w:history="0" w:anchor="P981" w:tooltip="a) выбросы летучих органических соединений от установок не превышают пороговых значений выбросов отработанных газов и пороговых значений неконтролируемых выбросов либо соблюдены общие пороговые значения выбросов и другие требования, предусмотренные частями 2 и 3 Приложения VII к настоящей Директиве;">
        <w:r>
          <w:rPr>
            <w:sz w:val="20"/>
            <w:color w:val="0000ff"/>
          </w:rPr>
          <w:t xml:space="preserve">пункте "a" настоящего параграфа</w:t>
        </w:r>
      </w:hyperlink>
      <w:r>
        <w:rPr>
          <w:sz w:val="20"/>
        </w:rPr>
        <w:t xml:space="preserve">.</w:t>
      </w:r>
    </w:p>
    <w:bookmarkStart w:id="983" w:name="P983"/>
    <w:bookmarkEnd w:id="983"/>
    <w:p>
      <w:pPr>
        <w:pStyle w:val="0"/>
        <w:spacing w:before="200" w:line-rule="auto"/>
        <w:ind w:firstLine="540"/>
        <w:jc w:val="both"/>
      </w:pPr>
      <w:r>
        <w:rPr>
          <w:sz w:val="20"/>
        </w:rPr>
        <w:t xml:space="preserve">Государства-члены ЕС сообщают Европейской комиссии в соответствии со </w:t>
      </w:r>
      <w:hyperlink w:history="0" w:anchor="P1101" w:tooltip="1. Государства-члены ЕС обеспечивают предоставление Европейской комиссии информации об имплементации настоящей Директивы, репрезентативных данных о выбросах и иных формах загрязнения, о пороговых значениях выбросов, о применении наилучших доступных технологий в соответствии со статьями 14 и 15 настоящей Директивы, в частности, о предоставлении исключений в соответствии со статьей 15 (4) настоящей Директивы, а также об успехах, достигнутых в развитии и применении новых технологий в соответствии со статьей...">
        <w:r>
          <w:rPr>
            <w:sz w:val="20"/>
            <w:color w:val="0000ff"/>
          </w:rPr>
          <w:t xml:space="preserve">статьей 72 (1)</w:t>
        </w:r>
      </w:hyperlink>
      <w:r>
        <w:rPr>
          <w:sz w:val="20"/>
        </w:rPr>
        <w:t xml:space="preserve"> настоящей Директивы о достижении эквивалентного сокращения выбросов, указанного в </w:t>
      </w:r>
      <w:hyperlink w:history="0" w:anchor="P982" w:tooltip="b) соблюдены требования схемы сокращения выбросов, предусмотренной частью 5 Приложения VII к настоящей Директиве, при условии, что достигнуто сокращение выбросов, эквивалентное сокращению, достижимому посредством применения пороговых значений выбросов, указанных в пункте &quot;a&quot; настоящего параграфа.">
        <w:r>
          <w:rPr>
            <w:sz w:val="20"/>
            <w:color w:val="0000ff"/>
          </w:rPr>
          <w:t xml:space="preserve">пункте "b" настоящего параграфа</w:t>
        </w:r>
      </w:hyperlink>
      <w:r>
        <w:rPr>
          <w:sz w:val="20"/>
        </w:rPr>
        <w:t xml:space="preserve">.</w:t>
      </w:r>
    </w:p>
    <w:bookmarkStart w:id="984" w:name="P984"/>
    <w:bookmarkEnd w:id="984"/>
    <w:p>
      <w:pPr>
        <w:pStyle w:val="0"/>
        <w:spacing w:before="200" w:line-rule="auto"/>
        <w:ind w:firstLine="540"/>
        <w:jc w:val="both"/>
      </w:pPr>
      <w:r>
        <w:rPr>
          <w:sz w:val="20"/>
        </w:rPr>
        <w:t xml:space="preserve">2. В порядке частичного отступления от </w:t>
      </w:r>
      <w:hyperlink w:history="0" w:anchor="P981" w:tooltip="a) выбросы летучих органических соединений от установок не превышают пороговых значений выбросов отработанных газов и пороговых значений неконтролируемых выбросов либо соблюдены общие пороговые значения выбросов и другие требования, предусмотренные частями 2 и 3 Приложения VII к настоящей Директиве;">
        <w:r>
          <w:rPr>
            <w:sz w:val="20"/>
            <w:color w:val="0000ff"/>
          </w:rPr>
          <w:t xml:space="preserve">параграфа 1 "a" настоящей статьи</w:t>
        </w:r>
      </w:hyperlink>
      <w:r>
        <w:rPr>
          <w:sz w:val="20"/>
        </w:rPr>
        <w:t xml:space="preserve"> в случае, если оператор докажет компетентному органу отсутствие экономической и технической возможности для отдельной установки по соблюдению пороговых значений неконтролируемых выбросов, компетентный орган вправе санкционировать превышение пороговых значений выбросов при отсутствии существенных рисков для здоровья человека и окружающей среды, а также при условии, что оператор докажет использование наилучших доступных технологий.</w:t>
      </w:r>
    </w:p>
    <w:bookmarkStart w:id="985" w:name="P985"/>
    <w:bookmarkEnd w:id="985"/>
    <w:p>
      <w:pPr>
        <w:pStyle w:val="0"/>
        <w:spacing w:before="200" w:line-rule="auto"/>
        <w:ind w:firstLine="540"/>
        <w:jc w:val="both"/>
      </w:pPr>
      <w:r>
        <w:rPr>
          <w:sz w:val="20"/>
        </w:rPr>
        <w:t xml:space="preserve">3. В порядке частичного отступления от </w:t>
      </w:r>
      <w:hyperlink w:history="0" w:anchor="P980" w:tooltip="1. Государства-члены ЕС принимают необходимые меры, направленные на обеспечение соблюдения каждой установкой одного из следующих положений:">
        <w:r>
          <w:rPr>
            <w:sz w:val="20"/>
            <w:color w:val="0000ff"/>
          </w:rPr>
          <w:t xml:space="preserve">параграфа 1 настоящей статьи</w:t>
        </w:r>
      </w:hyperlink>
      <w:r>
        <w:rPr>
          <w:sz w:val="20"/>
        </w:rPr>
        <w:t xml:space="preserve"> для деятельности, связанной с покрытием, как предусмотрено </w:t>
      </w:r>
      <w:hyperlink w:history="0" w:anchor="P2950" w:tooltip="│8 │Иное покрытие, в│  5 - 15    │100 &lt;1&gt; &lt;4&gt; │25 &lt;4&gt;                │                         │&lt;1&gt; Пороговое    │">
        <w:r>
          <w:rPr>
            <w:sz w:val="20"/>
            <w:color w:val="0000ff"/>
          </w:rPr>
          <w:t xml:space="preserve">пунктом 8 таблицы в части 2</w:t>
        </w:r>
      </w:hyperlink>
      <w:r>
        <w:rPr>
          <w:sz w:val="20"/>
        </w:rPr>
        <w:t xml:space="preserve"> Приложения VII к настоящей Директиве, которая не может осуществляться в соответствии с условиями использования, компетентный орган вправе санкционировать несоблюдение установкой требований указанного </w:t>
      </w:r>
      <w:hyperlink w:history="0" w:anchor="P980" w:tooltip="1. Государства-члены ЕС принимают необходимые меры, направленные на обеспечение соблюдения каждой установкой одного из следующих положений:">
        <w:r>
          <w:rPr>
            <w:sz w:val="20"/>
            <w:color w:val="0000ff"/>
          </w:rPr>
          <w:t xml:space="preserve">параграфа</w:t>
        </w:r>
      </w:hyperlink>
      <w:r>
        <w:rPr>
          <w:sz w:val="20"/>
        </w:rPr>
        <w:t xml:space="preserve">, если оператор докажет компетентному органу отсутствие экономической и технической возможности по их соблюдению, а также использование наилучших доступных технологий.</w:t>
      </w:r>
    </w:p>
    <w:bookmarkStart w:id="986" w:name="P986"/>
    <w:bookmarkEnd w:id="986"/>
    <w:p>
      <w:pPr>
        <w:pStyle w:val="0"/>
        <w:spacing w:before="200" w:line-rule="auto"/>
        <w:ind w:firstLine="540"/>
        <w:jc w:val="both"/>
      </w:pPr>
      <w:r>
        <w:rPr>
          <w:sz w:val="20"/>
        </w:rPr>
        <w:t xml:space="preserve">4. В соответствии со </w:t>
      </w:r>
      <w:hyperlink w:history="0" w:anchor="P1102" w:tooltip="2. Вид, формат и частота предоставления информации, указанной в параграфе 1 настоящей статьи, устанавливается в соответствии с регулятивной процедурой, предусмотренной в статье 75 (2) настоящей Директивы. В том числе необходимо определить виды деятельности и загрязнители, в отношении которых требуется предоставление информации, указанной в параграфе 1 настоящей статьи.">
        <w:r>
          <w:rPr>
            <w:sz w:val="20"/>
            <w:color w:val="0000ff"/>
          </w:rPr>
          <w:t xml:space="preserve">статьей 72 (2)</w:t>
        </w:r>
      </w:hyperlink>
      <w:r>
        <w:rPr>
          <w:sz w:val="20"/>
        </w:rPr>
        <w:t xml:space="preserve"> настоящей Директивы государства-члены ЕС доводят до сведения Европейской комиссии информацию об отступлениях, предусмотренных </w:t>
      </w:r>
      <w:hyperlink w:history="0" w:anchor="P984" w:tooltip="2. В порядке частичного отступления от параграфа 1 &quot;a&quot; настоящей статьи в случае, если оператор докажет компетентному органу отсутствие экономической и технической возможности для отдельной установки по соблюдению пороговых значений неконтролируемых выбросов, компетентный орган вправе санкционировать превышение пороговых значений выбросов при отсутствии существенных рисков для здоровья человека и окружающей среды, а также при условии, что оператор докажет использование наилучших доступных технологий.">
        <w:r>
          <w:rPr>
            <w:sz w:val="20"/>
            <w:color w:val="0000ff"/>
          </w:rPr>
          <w:t xml:space="preserve">параграфами 2</w:t>
        </w:r>
      </w:hyperlink>
      <w:r>
        <w:rPr>
          <w:sz w:val="20"/>
        </w:rPr>
        <w:t xml:space="preserve"> и </w:t>
      </w:r>
      <w:hyperlink w:history="0" w:anchor="P985" w:tooltip="3. В порядке частичного отступления от параграфа 1 настоящей статьи для деятельности, связанной с покрытием, как предусмотрено пунктом 8 таблицы в части 2 Приложения VII к настоящей Директиве, которая не может осуществляться в соответствии с условиями использования, компетентный орган вправе санкционировать несоблюдение установкой требований указанного параграфа, если оператор докажет компетентному органу отсутствие экономической и технической возможности по их соблюдению, а также использование наилучших...">
        <w:r>
          <w:rPr>
            <w:sz w:val="20"/>
            <w:color w:val="0000ff"/>
          </w:rPr>
          <w:t xml:space="preserve">3 настоящей статьи</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Статья 59 (5) применяется с 1 июня 2015 года (</w:t>
            </w:r>
            <w:hyperlink w:history="0" w:anchor="P1217" w:tooltip="8. Статья 59 (5) настоящей Директивы применяется с 1 июня 2015 г. До указанной даты выбросы летучих органических соединений, которые должны иметь обозначения опасности H340, H350, H350i, H360D или H360F или обозначения риска R45, R46, R49, R60 или R61, либо выбросы галогенизированных летучих органических соединений, которые должны иметь обозначения опасности H341 или H351 или обозначения риска R40 или R68, осуществляются под контролем при условиях использования, насколько это экономически и технически во...">
              <w:r>
                <w:rPr>
                  <w:sz w:val="20"/>
                  <w:color w:val="0000ff"/>
                </w:rPr>
                <w:t xml:space="preserve">статья 82 (8)</w:t>
              </w:r>
            </w:hyperlink>
            <w:r>
              <w:rPr>
                <w:sz w:val="20"/>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88" w:name="P988"/>
    <w:bookmarkEnd w:id="988"/>
    <w:p>
      <w:pPr>
        <w:pStyle w:val="0"/>
        <w:spacing w:before="260" w:line-rule="auto"/>
        <w:ind w:firstLine="540"/>
        <w:jc w:val="both"/>
      </w:pPr>
      <w:r>
        <w:rPr>
          <w:sz w:val="20"/>
        </w:rPr>
        <w:t xml:space="preserve">5. Выбросы летучих органических соединений, которые должны иметь обозначения опасности H340, H350, H350i, H360D или H360F, либо галогенированные летучие органические соединения, которые должны иметь обозначения опасности H341 или H351, осуществляются под контролем при условиях использования, насколько это экономически и технически возможно, в целях охраны общественного здоровья и окружающей среды и не должны превышать соответствующие пороговые значения выбросов, установленные </w:t>
      </w:r>
      <w:hyperlink w:history="0" w:anchor="P3248" w:tooltip="Часть 4">
        <w:r>
          <w:rPr>
            <w:sz w:val="20"/>
            <w:color w:val="0000ff"/>
          </w:rPr>
          <w:t xml:space="preserve">частью 4</w:t>
        </w:r>
      </w:hyperlink>
      <w:r>
        <w:rPr>
          <w:sz w:val="20"/>
        </w:rPr>
        <w:t xml:space="preserve"> Приложения VII к настоящей Директиве.</w:t>
      </w:r>
    </w:p>
    <w:bookmarkStart w:id="989" w:name="P989"/>
    <w:bookmarkEnd w:id="989"/>
    <w:p>
      <w:pPr>
        <w:pStyle w:val="0"/>
        <w:spacing w:before="200" w:line-rule="auto"/>
        <w:ind w:firstLine="540"/>
        <w:jc w:val="both"/>
      </w:pPr>
      <w:r>
        <w:rPr>
          <w:sz w:val="20"/>
        </w:rPr>
        <w:t xml:space="preserve">6. Установки, на которых осуществляются два или более видов деятельности, каждый из которых превосходит пределы, установленные </w:t>
      </w:r>
      <w:hyperlink w:history="0" w:anchor="P2858" w:tooltip="Часть 2">
        <w:r>
          <w:rPr>
            <w:sz w:val="20"/>
            <w:color w:val="0000ff"/>
          </w:rPr>
          <w:t xml:space="preserve">частью 2</w:t>
        </w:r>
      </w:hyperlink>
      <w:r>
        <w:rPr>
          <w:sz w:val="20"/>
        </w:rPr>
        <w:t xml:space="preserve"> Приложения VII к настоящей Директиве, должны:</w:t>
      </w:r>
    </w:p>
    <w:p>
      <w:pPr>
        <w:pStyle w:val="0"/>
        <w:spacing w:before="200" w:line-rule="auto"/>
        <w:ind w:firstLine="540"/>
        <w:jc w:val="both"/>
      </w:pPr>
      <w:r>
        <w:rPr>
          <w:sz w:val="20"/>
        </w:rPr>
        <w:t xml:space="preserve">a) в отношении веществ, определенных </w:t>
      </w:r>
      <w:hyperlink w:history="0" w:anchor="P988" w:tooltip="5. Выбросы летучих органических соединений, которые должны иметь обозначения опасности H340, H350, H350i, H360D или H360F, либо галогенированные летучие органические соединения, которые должны иметь обозначения опасности H341 или H351, осуществляются под контролем при условиях использования, насколько это экономически и технически возможно, в целях охраны общественного здоровья и окружающей среды и не должны превышать соответствующие пороговые значения выбросов, установленные частью 4 Приложения VII к на...">
        <w:r>
          <w:rPr>
            <w:sz w:val="20"/>
            <w:color w:val="0000ff"/>
          </w:rPr>
          <w:t xml:space="preserve">параграфом 5 настоящей статьи</w:t>
        </w:r>
      </w:hyperlink>
      <w:r>
        <w:rPr>
          <w:sz w:val="20"/>
        </w:rPr>
        <w:t xml:space="preserve">, соблюдать требования указанного </w:t>
      </w:r>
      <w:hyperlink w:history="0" w:anchor="P988" w:tooltip="5. Выбросы летучих органических соединений, которые должны иметь обозначения опасности H340, H350, H350i, H360D или H360F, либо галогенированные летучие органические соединения, которые должны иметь обозначения опасности H341 или H351, осуществляются под контролем при условиях использования, насколько это экономически и технически возможно, в целях охраны общественного здоровья и окружающей среды и не должны превышать соответствующие пороговые значения выбросов, установленные частью 4 Приложения VII к на...">
        <w:r>
          <w:rPr>
            <w:sz w:val="20"/>
            <w:color w:val="0000ff"/>
          </w:rPr>
          <w:t xml:space="preserve">параграфа</w:t>
        </w:r>
      </w:hyperlink>
      <w:r>
        <w:rPr>
          <w:sz w:val="20"/>
        </w:rPr>
        <w:t xml:space="preserve"> отдельно для каждого вида деятельности;</w:t>
      </w:r>
    </w:p>
    <w:p>
      <w:pPr>
        <w:pStyle w:val="0"/>
        <w:spacing w:before="200" w:line-rule="auto"/>
        <w:ind w:firstLine="540"/>
        <w:jc w:val="both"/>
      </w:pPr>
      <w:r>
        <w:rPr>
          <w:sz w:val="20"/>
        </w:rPr>
        <w:t xml:space="preserve">b) в отношении иных веществ:</w:t>
      </w:r>
    </w:p>
    <w:p>
      <w:pPr>
        <w:pStyle w:val="0"/>
        <w:spacing w:before="200" w:line-rule="auto"/>
        <w:ind w:firstLine="540"/>
        <w:jc w:val="both"/>
      </w:pPr>
      <w:r>
        <w:rPr>
          <w:sz w:val="20"/>
        </w:rPr>
        <w:t xml:space="preserve">i) соблюдать требования </w:t>
      </w:r>
      <w:hyperlink w:history="0" w:anchor="P980" w:tooltip="1. Государства-члены ЕС принимают необходимые меры, направленные на обеспечение соблюдения каждой установкой одного из следующих положений:">
        <w:r>
          <w:rPr>
            <w:sz w:val="20"/>
            <w:color w:val="0000ff"/>
          </w:rPr>
          <w:t xml:space="preserve">параграфа 1 настоящей статьи</w:t>
        </w:r>
      </w:hyperlink>
      <w:r>
        <w:rPr>
          <w:sz w:val="20"/>
        </w:rPr>
        <w:t xml:space="preserve"> отдельно для каждого вида деятельности; или</w:t>
      </w:r>
    </w:p>
    <w:bookmarkStart w:id="993" w:name="P993"/>
    <w:bookmarkEnd w:id="993"/>
    <w:p>
      <w:pPr>
        <w:pStyle w:val="0"/>
        <w:spacing w:before="200" w:line-rule="auto"/>
        <w:ind w:firstLine="540"/>
        <w:jc w:val="both"/>
      </w:pPr>
      <w:r>
        <w:rPr>
          <w:sz w:val="20"/>
        </w:rPr>
        <w:t xml:space="preserve">ii) не допускать, чтобы общие выбросы летучих органических соединений превышали уровни выбросов, достижимые в результате применения пункта "i" настоящего параграфа.</w:t>
      </w:r>
    </w:p>
    <w:bookmarkStart w:id="994" w:name="P994"/>
    <w:bookmarkEnd w:id="994"/>
    <w:p>
      <w:pPr>
        <w:pStyle w:val="0"/>
        <w:spacing w:before="200" w:line-rule="auto"/>
        <w:ind w:firstLine="540"/>
        <w:jc w:val="both"/>
      </w:pPr>
      <w:r>
        <w:rPr>
          <w:sz w:val="20"/>
        </w:rPr>
        <w:t xml:space="preserve">7. Необходимые меры предосторожности должны быть приняты в целях минимизации выбросов летучих органических соединений в период проведения операций по включению и отключению.</w:t>
      </w:r>
    </w:p>
    <w:p>
      <w:pPr>
        <w:pStyle w:val="0"/>
        <w:ind w:firstLine="540"/>
        <w:jc w:val="both"/>
      </w:pPr>
      <w:r>
        <w:rPr>
          <w:sz w:val="20"/>
        </w:rPr>
      </w:r>
    </w:p>
    <w:bookmarkStart w:id="996" w:name="P996"/>
    <w:bookmarkEnd w:id="996"/>
    <w:p>
      <w:pPr>
        <w:pStyle w:val="0"/>
        <w:outlineLvl w:val="2"/>
        <w:jc w:val="center"/>
      </w:pPr>
      <w:r>
        <w:rPr>
          <w:sz w:val="20"/>
        </w:rPr>
        <w:t xml:space="preserve">Статья 60</w:t>
      </w:r>
    </w:p>
    <w:p>
      <w:pPr>
        <w:pStyle w:val="0"/>
        <w:jc w:val="center"/>
      </w:pPr>
      <w:r>
        <w:rPr>
          <w:sz w:val="20"/>
        </w:rPr>
      </w:r>
    </w:p>
    <w:p>
      <w:pPr>
        <w:pStyle w:val="0"/>
        <w:jc w:val="center"/>
      </w:pPr>
      <w:r>
        <w:rPr>
          <w:sz w:val="20"/>
        </w:rPr>
        <w:t xml:space="preserve">Мониторинг выбросов</w:t>
      </w:r>
    </w:p>
    <w:p>
      <w:pPr>
        <w:pStyle w:val="0"/>
        <w:jc w:val="center"/>
      </w:pPr>
      <w:r>
        <w:rPr>
          <w:sz w:val="20"/>
        </w:rPr>
      </w:r>
    </w:p>
    <w:p>
      <w:pPr>
        <w:pStyle w:val="0"/>
        <w:ind w:firstLine="540"/>
        <w:jc w:val="both"/>
      </w:pPr>
      <w:r>
        <w:rPr>
          <w:sz w:val="20"/>
        </w:rPr>
        <w:t xml:space="preserve">Государства-члены ЕС гарантируют проведение измерений уровня выбросов в соответствии с </w:t>
      </w:r>
      <w:hyperlink w:history="0" w:anchor="P3309" w:tooltip="Часть 6">
        <w:r>
          <w:rPr>
            <w:sz w:val="20"/>
            <w:color w:val="0000ff"/>
          </w:rPr>
          <w:t xml:space="preserve">частью 6</w:t>
        </w:r>
      </w:hyperlink>
      <w:r>
        <w:rPr>
          <w:sz w:val="20"/>
        </w:rPr>
        <w:t xml:space="preserve"> Приложения VII к настоящей Директиве путем указания в условиях разрешения или путем принятия общих обязательных норм.</w:t>
      </w:r>
    </w:p>
    <w:p>
      <w:pPr>
        <w:pStyle w:val="0"/>
        <w:ind w:firstLine="540"/>
        <w:jc w:val="both"/>
      </w:pPr>
      <w:r>
        <w:rPr>
          <w:sz w:val="20"/>
        </w:rPr>
      </w:r>
    </w:p>
    <w:bookmarkStart w:id="1002" w:name="P1002"/>
    <w:bookmarkEnd w:id="1002"/>
    <w:p>
      <w:pPr>
        <w:pStyle w:val="0"/>
        <w:outlineLvl w:val="2"/>
        <w:jc w:val="center"/>
      </w:pPr>
      <w:r>
        <w:rPr>
          <w:sz w:val="20"/>
        </w:rPr>
        <w:t xml:space="preserve">Статья 61</w:t>
      </w:r>
    </w:p>
    <w:p>
      <w:pPr>
        <w:pStyle w:val="0"/>
        <w:jc w:val="center"/>
      </w:pPr>
      <w:r>
        <w:rPr>
          <w:sz w:val="20"/>
        </w:rPr>
      </w:r>
    </w:p>
    <w:p>
      <w:pPr>
        <w:pStyle w:val="0"/>
        <w:jc w:val="center"/>
      </w:pPr>
      <w:r>
        <w:rPr>
          <w:sz w:val="20"/>
        </w:rPr>
        <w:t xml:space="preserve">Соблюдение пороговых значений выбросов</w:t>
      </w:r>
    </w:p>
    <w:p>
      <w:pPr>
        <w:pStyle w:val="0"/>
        <w:jc w:val="center"/>
      </w:pPr>
      <w:r>
        <w:rPr>
          <w:sz w:val="20"/>
        </w:rPr>
      </w:r>
    </w:p>
    <w:p>
      <w:pPr>
        <w:pStyle w:val="0"/>
        <w:ind w:firstLine="540"/>
        <w:jc w:val="both"/>
      </w:pPr>
      <w:r>
        <w:rPr>
          <w:sz w:val="20"/>
        </w:rPr>
        <w:t xml:space="preserve">Пороговые значений выбросов отработанных газов считаются соблюденными при выполнении условий, установленных </w:t>
      </w:r>
      <w:hyperlink w:history="0" w:anchor="P3371" w:tooltip="Часть 8">
        <w:r>
          <w:rPr>
            <w:sz w:val="20"/>
            <w:color w:val="0000ff"/>
          </w:rPr>
          <w:t xml:space="preserve">частью 8</w:t>
        </w:r>
      </w:hyperlink>
      <w:r>
        <w:rPr>
          <w:sz w:val="20"/>
        </w:rPr>
        <w:t xml:space="preserve"> Приложения VII к настоящей Директиве.</w:t>
      </w:r>
    </w:p>
    <w:p>
      <w:pPr>
        <w:pStyle w:val="0"/>
        <w:jc w:val="center"/>
      </w:pPr>
      <w:r>
        <w:rPr>
          <w:sz w:val="20"/>
        </w:rPr>
      </w:r>
    </w:p>
    <w:bookmarkStart w:id="1008" w:name="P1008"/>
    <w:bookmarkEnd w:id="1008"/>
    <w:p>
      <w:pPr>
        <w:pStyle w:val="0"/>
        <w:outlineLvl w:val="2"/>
        <w:jc w:val="center"/>
      </w:pPr>
      <w:r>
        <w:rPr>
          <w:sz w:val="20"/>
        </w:rPr>
        <w:t xml:space="preserve">Статья 62</w:t>
      </w:r>
    </w:p>
    <w:p>
      <w:pPr>
        <w:pStyle w:val="0"/>
        <w:jc w:val="center"/>
      </w:pPr>
      <w:r>
        <w:rPr>
          <w:sz w:val="20"/>
        </w:rPr>
      </w:r>
    </w:p>
    <w:p>
      <w:pPr>
        <w:pStyle w:val="0"/>
        <w:jc w:val="center"/>
      </w:pPr>
      <w:r>
        <w:rPr>
          <w:sz w:val="20"/>
        </w:rPr>
        <w:t xml:space="preserve">Отчетность о соответствии</w:t>
      </w:r>
    </w:p>
    <w:p>
      <w:pPr>
        <w:pStyle w:val="0"/>
        <w:jc w:val="center"/>
      </w:pPr>
      <w:r>
        <w:rPr>
          <w:sz w:val="20"/>
        </w:rPr>
      </w:r>
    </w:p>
    <w:bookmarkStart w:id="1012" w:name="P1012"/>
    <w:bookmarkEnd w:id="1012"/>
    <w:p>
      <w:pPr>
        <w:pStyle w:val="0"/>
        <w:ind w:firstLine="540"/>
        <w:jc w:val="both"/>
      </w:pPr>
      <w:r>
        <w:rPr>
          <w:sz w:val="20"/>
        </w:rPr>
        <w:t xml:space="preserve">Оператор представляет компетентному органу по его запросу сведения, позволяющие такому органу провести проверку соблюдения:</w:t>
      </w:r>
    </w:p>
    <w:bookmarkStart w:id="1013" w:name="P1013"/>
    <w:bookmarkEnd w:id="1013"/>
    <w:p>
      <w:pPr>
        <w:pStyle w:val="0"/>
        <w:spacing w:before="200" w:line-rule="auto"/>
        <w:ind w:firstLine="540"/>
        <w:jc w:val="both"/>
      </w:pPr>
      <w:r>
        <w:rPr>
          <w:sz w:val="20"/>
        </w:rPr>
        <w:t xml:space="preserve">a) пороговых значений выбросов отработанных газов, пороговых значений неконтролируемых выбросов, а также общих пороговых значений выбросов;</w:t>
      </w:r>
    </w:p>
    <w:bookmarkStart w:id="1014" w:name="P1014"/>
    <w:bookmarkEnd w:id="1014"/>
    <w:p>
      <w:pPr>
        <w:pStyle w:val="0"/>
        <w:spacing w:before="200" w:line-rule="auto"/>
        <w:ind w:firstLine="540"/>
        <w:jc w:val="both"/>
      </w:pPr>
      <w:r>
        <w:rPr>
          <w:sz w:val="20"/>
        </w:rPr>
        <w:t xml:space="preserve">b) требований схемы сокращения выбросов, предусмотренной </w:t>
      </w:r>
      <w:hyperlink w:history="0" w:anchor="P3269" w:tooltip="Часть 5">
        <w:r>
          <w:rPr>
            <w:sz w:val="20"/>
            <w:color w:val="0000ff"/>
          </w:rPr>
          <w:t xml:space="preserve">частью 5</w:t>
        </w:r>
      </w:hyperlink>
      <w:r>
        <w:rPr>
          <w:sz w:val="20"/>
        </w:rPr>
        <w:t xml:space="preserve"> Приложения VII к настоящей Директиве;</w:t>
      </w:r>
    </w:p>
    <w:bookmarkStart w:id="1015" w:name="P1015"/>
    <w:bookmarkEnd w:id="1015"/>
    <w:p>
      <w:pPr>
        <w:pStyle w:val="0"/>
        <w:spacing w:before="200" w:line-rule="auto"/>
        <w:ind w:firstLine="540"/>
        <w:jc w:val="both"/>
      </w:pPr>
      <w:r>
        <w:rPr>
          <w:sz w:val="20"/>
        </w:rPr>
        <w:t xml:space="preserve">c) частичных отступлений, предоставленных в соответствии со </w:t>
      </w:r>
      <w:hyperlink w:history="0" w:anchor="P984" w:tooltip="2. В порядке частичного отступления от параграфа 1 &quot;a&quot; настоящей статьи в случае, если оператор докажет компетентному органу отсутствие экономической и технической возможности для отдельной установки по соблюдению пороговых значений неконтролируемых выбросов, компетентный орган вправе санкционировать превышение пороговых значений выбросов при отсутствии существенных рисков для здоровья человека и окружающей среды, а также при условии, что оператор докажет использование наилучших доступных технологий.">
        <w:r>
          <w:rPr>
            <w:sz w:val="20"/>
            <w:color w:val="0000ff"/>
          </w:rPr>
          <w:t xml:space="preserve">статьей 59 (2)</w:t>
        </w:r>
      </w:hyperlink>
      <w:r>
        <w:rPr>
          <w:sz w:val="20"/>
        </w:rPr>
        <w:t xml:space="preserve"> и </w:t>
      </w:r>
      <w:hyperlink w:history="0" w:anchor="P985" w:tooltip="3. В порядке частичного отступления от параграфа 1 настоящей статьи для деятельности, связанной с покрытием, как предусмотрено пунктом 8 таблицы в части 2 Приложения VII к настоящей Директиве, которая не может осуществляться в соответствии с условиями использования, компетентный орган вправе санкционировать несоблюдение установкой требований указанного параграфа, если оператор докажет компетентному органу отсутствие экономической и технической возможности по их соблюдению, а также использование наилучших...">
        <w:r>
          <w:rPr>
            <w:sz w:val="20"/>
            <w:color w:val="0000ff"/>
          </w:rPr>
          <w:t xml:space="preserve">(3)</w:t>
        </w:r>
      </w:hyperlink>
      <w:r>
        <w:rPr>
          <w:sz w:val="20"/>
        </w:rPr>
        <w:t xml:space="preserve">.</w:t>
      </w:r>
    </w:p>
    <w:bookmarkStart w:id="1016" w:name="P1016"/>
    <w:bookmarkEnd w:id="1016"/>
    <w:p>
      <w:pPr>
        <w:pStyle w:val="0"/>
        <w:spacing w:before="200" w:line-rule="auto"/>
        <w:ind w:firstLine="540"/>
        <w:jc w:val="both"/>
      </w:pPr>
      <w:r>
        <w:rPr>
          <w:sz w:val="20"/>
        </w:rPr>
        <w:t xml:space="preserve">Такая проверка может включать план обращения с растворителями, подготовленный в соответствии с </w:t>
      </w:r>
      <w:hyperlink w:history="0" w:anchor="P3317" w:tooltip="Часть 7">
        <w:r>
          <w:rPr>
            <w:sz w:val="20"/>
            <w:color w:val="0000ff"/>
          </w:rPr>
          <w:t xml:space="preserve">частью 7</w:t>
        </w:r>
      </w:hyperlink>
      <w:r>
        <w:rPr>
          <w:sz w:val="20"/>
        </w:rPr>
        <w:t xml:space="preserve"> Приложения VII к настоящей Директиве.</w:t>
      </w:r>
    </w:p>
    <w:p>
      <w:pPr>
        <w:pStyle w:val="0"/>
        <w:ind w:firstLine="540"/>
        <w:jc w:val="both"/>
      </w:pPr>
      <w:r>
        <w:rPr>
          <w:sz w:val="20"/>
        </w:rPr>
      </w:r>
    </w:p>
    <w:bookmarkStart w:id="1018" w:name="P1018"/>
    <w:bookmarkEnd w:id="1018"/>
    <w:p>
      <w:pPr>
        <w:pStyle w:val="0"/>
        <w:outlineLvl w:val="2"/>
        <w:jc w:val="center"/>
      </w:pPr>
      <w:r>
        <w:rPr>
          <w:sz w:val="20"/>
        </w:rPr>
        <w:t xml:space="preserve">Статья 63</w:t>
      </w:r>
    </w:p>
    <w:p>
      <w:pPr>
        <w:pStyle w:val="0"/>
        <w:jc w:val="center"/>
      </w:pPr>
      <w:r>
        <w:rPr>
          <w:sz w:val="20"/>
        </w:rPr>
      </w:r>
    </w:p>
    <w:p>
      <w:pPr>
        <w:pStyle w:val="0"/>
        <w:jc w:val="center"/>
      </w:pPr>
      <w:r>
        <w:rPr>
          <w:sz w:val="20"/>
        </w:rPr>
        <w:t xml:space="preserve">Существенные изменения действующих установок</w:t>
      </w:r>
    </w:p>
    <w:p>
      <w:pPr>
        <w:pStyle w:val="0"/>
        <w:jc w:val="center"/>
      </w:pPr>
      <w:r>
        <w:rPr>
          <w:sz w:val="20"/>
        </w:rPr>
      </w:r>
    </w:p>
    <w:bookmarkStart w:id="1022" w:name="P1022"/>
    <w:bookmarkEnd w:id="1022"/>
    <w:p>
      <w:pPr>
        <w:pStyle w:val="0"/>
        <w:ind w:firstLine="540"/>
        <w:jc w:val="both"/>
      </w:pPr>
      <w:r>
        <w:rPr>
          <w:sz w:val="20"/>
        </w:rPr>
        <w:t xml:space="preserve">1. Изменение максимального объема массы органического растворителя, загружаемого в установку в среднем за 1 день, если установка работает на своей расчетной производительности при условиях, отличных от операций по включению и отключению, а также по обслуживанию оборудования, считается существенным, если ведет к увеличению уровня выбросов летучих органических соединений более чем:</w:t>
      </w:r>
    </w:p>
    <w:p>
      <w:pPr>
        <w:pStyle w:val="0"/>
        <w:spacing w:before="200" w:line-rule="auto"/>
        <w:ind w:firstLine="540"/>
        <w:jc w:val="both"/>
      </w:pPr>
      <w:r>
        <w:rPr>
          <w:sz w:val="20"/>
        </w:rPr>
        <w:t xml:space="preserve">a) на 25% - в отношении установок, осуществляющих деятельность, указанную в диапазоне с низким предельным значением - </w:t>
      </w:r>
      <w:hyperlink w:history="0" w:anchor="P2874" w:tooltip="│1 │Рулонная        │ 15 - 25    │100         │30 &lt;1&gt;                │                         │&lt;1&gt; Растворимые  │">
        <w:r>
          <w:rPr>
            <w:sz w:val="20"/>
            <w:color w:val="0000ff"/>
          </w:rPr>
          <w:t xml:space="preserve">пункты 1</w:t>
        </w:r>
      </w:hyperlink>
      <w:r>
        <w:rPr>
          <w:sz w:val="20"/>
        </w:rPr>
        <w:t xml:space="preserve">, </w:t>
      </w:r>
      <w:hyperlink w:history="0" w:anchor="P2885" w:tooltip="│3 │Иная            │ 15 - 25    │100         │25                    │                         │&lt;1&gt; Предельное   │">
        <w:r>
          <w:rPr>
            <w:sz w:val="20"/>
            <w:color w:val="0000ff"/>
          </w:rPr>
          <w:t xml:space="preserve">3</w:t>
        </w:r>
      </w:hyperlink>
      <w:r>
        <w:rPr>
          <w:sz w:val="20"/>
        </w:rPr>
        <w:t xml:space="preserve">, </w:t>
      </w:r>
      <w:hyperlink w:history="0" w:anchor="P2900" w:tooltip="│4 │Очистка         │  1 - 5     │20 &lt;1&gt;      │15                    │                         │&lt;1&gt; Пороговые    │">
        <w:r>
          <w:rPr>
            <w:sz w:val="20"/>
            <w:color w:val="0000ff"/>
          </w:rPr>
          <w:t xml:space="preserve">4</w:t>
        </w:r>
      </w:hyperlink>
      <w:r>
        <w:rPr>
          <w:sz w:val="20"/>
        </w:rPr>
        <w:t xml:space="preserve">, </w:t>
      </w:r>
      <w:hyperlink w:history="0" w:anchor="P2909" w:tooltip="│5 │Иная очистка    │  2 - 10    │75 &lt;1&gt;      │20 &lt;1&gt;                │                         │&lt;1&gt; Настоящие    │">
        <w:r>
          <w:rPr>
            <w:sz w:val="20"/>
            <w:color w:val="0000ff"/>
          </w:rPr>
          <w:t xml:space="preserve">5</w:t>
        </w:r>
      </w:hyperlink>
      <w:r>
        <w:rPr>
          <w:sz w:val="20"/>
        </w:rPr>
        <w:t xml:space="preserve">, </w:t>
      </w:r>
      <w:hyperlink w:history="0" w:anchor="P2950" w:tooltip="│8 │Иное покрытие, в│  5 - 15    │100 &lt;1&gt; &lt;4&gt; │25 &lt;4&gt;                │                         │&lt;1&gt; Пороговое    │">
        <w:r>
          <w:rPr>
            <w:sz w:val="20"/>
            <w:color w:val="0000ff"/>
          </w:rPr>
          <w:t xml:space="preserve">8</w:t>
        </w:r>
      </w:hyperlink>
      <w:r>
        <w:rPr>
          <w:sz w:val="20"/>
        </w:rPr>
        <w:t xml:space="preserve">, </w:t>
      </w:r>
      <w:hyperlink w:history="0" w:anchor="P3017" w:tooltip="│10│Покрытие        │ 15 - 25    │100 &lt;1&gt;     │25                    │                         │&lt;1&gt; Пороговое    │">
        <w:r>
          <w:rPr>
            <w:sz w:val="20"/>
            <w:color w:val="0000ff"/>
          </w:rPr>
          <w:t xml:space="preserve">10</w:t>
        </w:r>
      </w:hyperlink>
      <w:r>
        <w:rPr>
          <w:sz w:val="20"/>
        </w:rPr>
        <w:t xml:space="preserve">, </w:t>
      </w:r>
      <w:hyperlink w:history="0" w:anchor="P3058" w:tooltip="│13│Покрытие кожи   │ 10 - 25    │            │                      │85 г/кв. м               │Пороговые        │">
        <w:r>
          <w:rPr>
            <w:sz w:val="20"/>
            <w:color w:val="0000ff"/>
          </w:rPr>
          <w:t xml:space="preserve">13</w:t>
        </w:r>
      </w:hyperlink>
      <w:r>
        <w:rPr>
          <w:sz w:val="20"/>
        </w:rPr>
        <w:t xml:space="preserve">, </w:t>
      </w:r>
      <w:hyperlink w:history="0" w:anchor="P3094" w:tooltip="│16│Адгезивное      │  5 - 15    │50 &lt;1&gt;      │25                    │                         │&lt;1&gt; При          │">
        <w:r>
          <w:rPr>
            <w:sz w:val="20"/>
            <w:color w:val="0000ff"/>
          </w:rPr>
          <w:t xml:space="preserve">16</w:t>
        </w:r>
      </w:hyperlink>
      <w:r>
        <w:rPr>
          <w:sz w:val="20"/>
        </w:rPr>
        <w:t xml:space="preserve"> или </w:t>
      </w:r>
      <w:hyperlink w:history="0" w:anchor="P3107" w:tooltip="│17│Производство    │100 - 1000  │150         │5                     │5% подачи растворителя   │Неконтролируемое │">
        <w:r>
          <w:rPr>
            <w:sz w:val="20"/>
            <w:color w:val="0000ff"/>
          </w:rPr>
          <w:t xml:space="preserve">17 таблицы части 2</w:t>
        </w:r>
      </w:hyperlink>
      <w:r>
        <w:rPr>
          <w:sz w:val="20"/>
        </w:rPr>
        <w:t xml:space="preserve"> Приложения VII к настоящей Директиве, либо деятельность, указанную в иных пунктах </w:t>
      </w:r>
      <w:hyperlink w:history="0" w:anchor="P2858" w:tooltip="Часть 2">
        <w:r>
          <w:rPr>
            <w:sz w:val="20"/>
            <w:color w:val="0000ff"/>
          </w:rPr>
          <w:t xml:space="preserve">части 2</w:t>
        </w:r>
      </w:hyperlink>
      <w:r>
        <w:rPr>
          <w:sz w:val="20"/>
        </w:rPr>
        <w:t xml:space="preserve"> Приложения VII к настоящей Директиве, с потреблением растворителя менее 10 тонн в год;</w:t>
      </w:r>
    </w:p>
    <w:p>
      <w:pPr>
        <w:pStyle w:val="0"/>
        <w:spacing w:before="200" w:line-rule="auto"/>
        <w:ind w:firstLine="540"/>
        <w:jc w:val="both"/>
      </w:pPr>
      <w:r>
        <w:rPr>
          <w:sz w:val="20"/>
        </w:rPr>
        <w:t xml:space="preserve">b) на 10% - в отношении иных установок.</w:t>
      </w:r>
    </w:p>
    <w:bookmarkStart w:id="1025" w:name="P1025"/>
    <w:bookmarkEnd w:id="1025"/>
    <w:p>
      <w:pPr>
        <w:pStyle w:val="0"/>
        <w:spacing w:before="200" w:line-rule="auto"/>
        <w:ind w:firstLine="540"/>
        <w:jc w:val="both"/>
      </w:pPr>
      <w:r>
        <w:rPr>
          <w:sz w:val="20"/>
        </w:rPr>
        <w:t xml:space="preserve">2. В случае если установка претерпевает существенные изменения или подпадает под действие настоящей Директивы впервые после наступления таких изменений, измененная часть считается новой установкой или существующей установкой при условии, что общий уровень выбросов всей установки не превышает уровень, который был бы достигнут, если бы измененная часть считалась новой установкой.</w:t>
      </w:r>
    </w:p>
    <w:bookmarkStart w:id="1026" w:name="P1026"/>
    <w:bookmarkEnd w:id="1026"/>
    <w:p>
      <w:pPr>
        <w:pStyle w:val="0"/>
        <w:spacing w:before="200" w:line-rule="auto"/>
        <w:ind w:firstLine="540"/>
        <w:jc w:val="both"/>
      </w:pPr>
      <w:r>
        <w:rPr>
          <w:sz w:val="20"/>
        </w:rPr>
        <w:t xml:space="preserve">3. При наличии существенных изменений компетентный орган проверяет соответствие установки требованиям настоящей Директивы.</w:t>
      </w:r>
    </w:p>
    <w:p>
      <w:pPr>
        <w:pStyle w:val="0"/>
        <w:ind w:firstLine="540"/>
        <w:jc w:val="both"/>
      </w:pPr>
      <w:r>
        <w:rPr>
          <w:sz w:val="20"/>
        </w:rPr>
      </w:r>
    </w:p>
    <w:bookmarkStart w:id="1028" w:name="P1028"/>
    <w:bookmarkEnd w:id="1028"/>
    <w:p>
      <w:pPr>
        <w:pStyle w:val="0"/>
        <w:outlineLvl w:val="2"/>
        <w:jc w:val="center"/>
      </w:pPr>
      <w:r>
        <w:rPr>
          <w:sz w:val="20"/>
        </w:rPr>
        <w:t xml:space="preserve">Статья 64</w:t>
      </w:r>
    </w:p>
    <w:p>
      <w:pPr>
        <w:pStyle w:val="0"/>
        <w:jc w:val="center"/>
      </w:pPr>
      <w:r>
        <w:rPr>
          <w:sz w:val="20"/>
        </w:rPr>
      </w:r>
    </w:p>
    <w:p>
      <w:pPr>
        <w:pStyle w:val="0"/>
        <w:jc w:val="center"/>
      </w:pPr>
      <w:r>
        <w:rPr>
          <w:sz w:val="20"/>
        </w:rPr>
        <w:t xml:space="preserve">Обмен информацией по вопросу замены</w:t>
      </w:r>
    </w:p>
    <w:p>
      <w:pPr>
        <w:pStyle w:val="0"/>
        <w:jc w:val="center"/>
      </w:pPr>
      <w:r>
        <w:rPr>
          <w:sz w:val="20"/>
        </w:rPr>
        <w:t xml:space="preserve">органических растворителей</w:t>
      </w:r>
    </w:p>
    <w:p>
      <w:pPr>
        <w:pStyle w:val="0"/>
        <w:jc w:val="center"/>
      </w:pPr>
      <w:r>
        <w:rPr>
          <w:sz w:val="20"/>
        </w:rPr>
      </w:r>
    </w:p>
    <w:p>
      <w:pPr>
        <w:pStyle w:val="0"/>
        <w:ind w:firstLine="540"/>
        <w:jc w:val="both"/>
      </w:pPr>
      <w:r>
        <w:rPr>
          <w:sz w:val="20"/>
        </w:rPr>
        <w:t xml:space="preserve">Европейская комиссия организует обмен информацией между государствами-членами ЕС, заинтересованными отраслями промышленности, неправительственными организациями, содействующими обеспечению защиты окружающей среды по вопросу использования органических растворителей, а также их возможных заменителей и иных технологий с меньшим воздействием на воздух, воду, почву, экосистемы и здоровье человека.</w:t>
      </w:r>
    </w:p>
    <w:p>
      <w:pPr>
        <w:pStyle w:val="0"/>
        <w:spacing w:before="200" w:line-rule="auto"/>
        <w:ind w:firstLine="540"/>
        <w:jc w:val="both"/>
      </w:pPr>
      <w:r>
        <w:rPr>
          <w:sz w:val="20"/>
        </w:rPr>
        <w:t xml:space="preserve">Обмен информацией должен касаться следующих вопросов:</w:t>
      </w:r>
    </w:p>
    <w:p>
      <w:pPr>
        <w:pStyle w:val="0"/>
        <w:spacing w:before="200" w:line-rule="auto"/>
        <w:ind w:firstLine="540"/>
        <w:jc w:val="both"/>
      </w:pPr>
      <w:r>
        <w:rPr>
          <w:sz w:val="20"/>
        </w:rPr>
        <w:t xml:space="preserve">a) годности к использованию;</w:t>
      </w:r>
    </w:p>
    <w:p>
      <w:pPr>
        <w:pStyle w:val="0"/>
        <w:spacing w:before="200" w:line-rule="auto"/>
        <w:ind w:firstLine="540"/>
        <w:jc w:val="both"/>
      </w:pPr>
      <w:r>
        <w:rPr>
          <w:sz w:val="20"/>
        </w:rPr>
        <w:t xml:space="preserve">b) потенциального воздействия на здоровье человека и, в частности, профессионального облучения;</w:t>
      </w:r>
    </w:p>
    <w:p>
      <w:pPr>
        <w:pStyle w:val="0"/>
        <w:spacing w:before="200" w:line-rule="auto"/>
        <w:ind w:firstLine="540"/>
        <w:jc w:val="both"/>
      </w:pPr>
      <w:r>
        <w:rPr>
          <w:sz w:val="20"/>
        </w:rPr>
        <w:t xml:space="preserve">c) потенциального воздействия на окружающую среду;</w:t>
      </w:r>
    </w:p>
    <w:p>
      <w:pPr>
        <w:pStyle w:val="0"/>
        <w:spacing w:before="200" w:line-rule="auto"/>
        <w:ind w:firstLine="540"/>
        <w:jc w:val="both"/>
      </w:pPr>
      <w:r>
        <w:rPr>
          <w:sz w:val="20"/>
        </w:rPr>
        <w:t xml:space="preserve">d) экономических последствий, в частности, затрат и выгод всех имеющихся возможностей.</w:t>
      </w:r>
    </w:p>
    <w:p>
      <w:pPr>
        <w:pStyle w:val="0"/>
        <w:ind w:firstLine="540"/>
        <w:jc w:val="both"/>
      </w:pPr>
      <w:r>
        <w:rPr>
          <w:sz w:val="20"/>
        </w:rPr>
      </w:r>
    </w:p>
    <w:p>
      <w:pPr>
        <w:pStyle w:val="0"/>
        <w:outlineLvl w:val="2"/>
        <w:jc w:val="center"/>
      </w:pPr>
      <w:r>
        <w:rPr>
          <w:sz w:val="20"/>
        </w:rPr>
        <w:t xml:space="preserve">Статья 65</w:t>
      </w:r>
    </w:p>
    <w:p>
      <w:pPr>
        <w:pStyle w:val="0"/>
        <w:jc w:val="center"/>
      </w:pPr>
      <w:r>
        <w:rPr>
          <w:sz w:val="20"/>
        </w:rPr>
      </w:r>
    </w:p>
    <w:p>
      <w:pPr>
        <w:pStyle w:val="0"/>
        <w:jc w:val="center"/>
      </w:pPr>
      <w:r>
        <w:rPr>
          <w:sz w:val="20"/>
        </w:rPr>
        <w:t xml:space="preserve">Доступ к информации</w:t>
      </w:r>
    </w:p>
    <w:p>
      <w:pPr>
        <w:pStyle w:val="0"/>
        <w:jc w:val="center"/>
      </w:pPr>
      <w:r>
        <w:rPr>
          <w:sz w:val="20"/>
        </w:rPr>
      </w:r>
    </w:p>
    <w:bookmarkStart w:id="1044" w:name="P1044"/>
    <w:bookmarkEnd w:id="1044"/>
    <w:p>
      <w:pPr>
        <w:pStyle w:val="0"/>
        <w:ind w:firstLine="540"/>
        <w:jc w:val="both"/>
      </w:pPr>
      <w:r>
        <w:rPr>
          <w:sz w:val="20"/>
        </w:rPr>
        <w:t xml:space="preserve">1. Решение компетентного органа, в том числе как минимум копия разрешения и любые последующие изменения, должны быть опубликованы.</w:t>
      </w:r>
    </w:p>
    <w:bookmarkStart w:id="1045" w:name="P1045"/>
    <w:bookmarkEnd w:id="1045"/>
    <w:p>
      <w:pPr>
        <w:pStyle w:val="0"/>
        <w:spacing w:before="200" w:line-rule="auto"/>
        <w:ind w:firstLine="540"/>
        <w:jc w:val="both"/>
      </w:pPr>
      <w:r>
        <w:rPr>
          <w:sz w:val="20"/>
        </w:rPr>
        <w:t xml:space="preserve">Общие обязательные нормы, применимые к установкам, а также перечень установок, подлежащих регистрации или выдаче разрешения, должны быть опубликованы.</w:t>
      </w:r>
    </w:p>
    <w:bookmarkStart w:id="1046" w:name="P1046"/>
    <w:bookmarkEnd w:id="1046"/>
    <w:p>
      <w:pPr>
        <w:pStyle w:val="0"/>
        <w:spacing w:before="200" w:line-rule="auto"/>
        <w:ind w:firstLine="540"/>
        <w:jc w:val="both"/>
      </w:pPr>
      <w:r>
        <w:rPr>
          <w:sz w:val="20"/>
        </w:rPr>
        <w:t xml:space="preserve">2. Результаты мониторинга выбросов, предусмотренного </w:t>
      </w:r>
      <w:hyperlink w:history="0" w:anchor="P996" w:tooltip="Статья 60">
        <w:r>
          <w:rPr>
            <w:sz w:val="20"/>
            <w:color w:val="0000ff"/>
          </w:rPr>
          <w:t xml:space="preserve">статьей 60</w:t>
        </w:r>
      </w:hyperlink>
      <w:r>
        <w:rPr>
          <w:sz w:val="20"/>
        </w:rPr>
        <w:t xml:space="preserve"> настоящей Директивы и проведенного компетентным органом, должны быть опубликованы.</w:t>
      </w:r>
    </w:p>
    <w:bookmarkStart w:id="1047" w:name="P1047"/>
    <w:bookmarkEnd w:id="1047"/>
    <w:p>
      <w:pPr>
        <w:pStyle w:val="0"/>
        <w:spacing w:before="200" w:line-rule="auto"/>
        <w:ind w:firstLine="540"/>
        <w:jc w:val="both"/>
      </w:pPr>
      <w:r>
        <w:rPr>
          <w:sz w:val="20"/>
        </w:rPr>
        <w:t xml:space="preserve">3. </w:t>
      </w:r>
      <w:hyperlink w:history="0" w:anchor="P1044" w:tooltip="1. Решение компетентного органа, в том числе как минимум копия разрешения и любые последующие изменения, должны быть опубликованы.">
        <w:r>
          <w:rPr>
            <w:sz w:val="20"/>
            <w:color w:val="0000ff"/>
          </w:rPr>
          <w:t xml:space="preserve">Параграфы 1</w:t>
        </w:r>
      </w:hyperlink>
      <w:r>
        <w:rPr>
          <w:sz w:val="20"/>
        </w:rPr>
        <w:t xml:space="preserve"> и 2 настоящей статьи применяются с учетом ограничений, установленных в </w:t>
      </w:r>
      <w:hyperlink w:history="0" r:id="rId71" w:tooltip="Директива N 2003/4/ЕС Европейского парламента и Совета Европейского Союза &quot;О доступе общественности к информации об окружающей среде и отмене Директивы 90/313/ЕЭС Совета ЕС&quot; [рус., англ.] (Вместе с &quot;Корреляционной таблицей&quot;) (Принята в г. Брюсселе 28.01.2003) {КонсультантПлюс}">
        <w:r>
          <w:rPr>
            <w:sz w:val="20"/>
            <w:color w:val="0000ff"/>
          </w:rPr>
          <w:t xml:space="preserve">статье 4 (1)</w:t>
        </w:r>
      </w:hyperlink>
      <w:r>
        <w:rPr>
          <w:sz w:val="20"/>
        </w:rPr>
        <w:t xml:space="preserve"> и </w:t>
      </w:r>
      <w:hyperlink w:history="0" r:id="rId72" w:tooltip="Директива N 2003/4/ЕС Европейского парламента и Совета Европейского Союза &quot;О доступе общественности к информации об окружающей среде и отмене Директивы 90/313/ЕЭС Совета ЕС&quot; [рус., англ.] (Вместе с &quot;Корреляционной таблицей&quot;) (Принята в г. Брюсселе 28.01.2003) {КонсультантПлюс}">
        <w:r>
          <w:rPr>
            <w:sz w:val="20"/>
            <w:color w:val="0000ff"/>
          </w:rPr>
          <w:t xml:space="preserve">(2)</w:t>
        </w:r>
      </w:hyperlink>
      <w:r>
        <w:rPr>
          <w:sz w:val="20"/>
        </w:rPr>
        <w:t xml:space="preserve"> Директивы 2003/4/ЕС.</w:t>
      </w:r>
    </w:p>
    <w:p>
      <w:pPr>
        <w:pStyle w:val="0"/>
        <w:ind w:firstLine="540"/>
        <w:jc w:val="both"/>
      </w:pPr>
      <w:r>
        <w:rPr>
          <w:sz w:val="20"/>
        </w:rPr>
      </w:r>
    </w:p>
    <w:bookmarkStart w:id="1049" w:name="P1049"/>
    <w:bookmarkEnd w:id="1049"/>
    <w:p>
      <w:pPr>
        <w:pStyle w:val="0"/>
        <w:outlineLvl w:val="1"/>
        <w:jc w:val="center"/>
      </w:pPr>
      <w:r>
        <w:rPr>
          <w:sz w:val="20"/>
        </w:rPr>
        <w:t xml:space="preserve">Глава VI. СПЕЦИАЛЬНЫЕ ПОЛОЖЕНИЯ ДЛЯ УСТАНОВОК,</w:t>
      </w:r>
    </w:p>
    <w:p>
      <w:pPr>
        <w:pStyle w:val="0"/>
        <w:jc w:val="center"/>
      </w:pPr>
      <w:r>
        <w:rPr>
          <w:sz w:val="20"/>
        </w:rPr>
        <w:t xml:space="preserve">ПРОИЗВОДЯЩИХ ДИОКСИД ТИТАНА</w:t>
      </w:r>
    </w:p>
    <w:p>
      <w:pPr>
        <w:pStyle w:val="0"/>
        <w:jc w:val="center"/>
      </w:pPr>
      <w:r>
        <w:rPr>
          <w:sz w:val="20"/>
        </w:rPr>
      </w:r>
    </w:p>
    <w:bookmarkStart w:id="1052" w:name="P1052"/>
    <w:bookmarkEnd w:id="1052"/>
    <w:p>
      <w:pPr>
        <w:pStyle w:val="0"/>
        <w:outlineLvl w:val="2"/>
        <w:jc w:val="center"/>
      </w:pPr>
      <w:r>
        <w:rPr>
          <w:sz w:val="20"/>
        </w:rPr>
        <w:t xml:space="preserve">Статья 66</w:t>
      </w:r>
    </w:p>
    <w:p>
      <w:pPr>
        <w:pStyle w:val="0"/>
        <w:jc w:val="center"/>
      </w:pPr>
      <w:r>
        <w:rPr>
          <w:sz w:val="20"/>
        </w:rPr>
      </w:r>
    </w:p>
    <w:p>
      <w:pPr>
        <w:pStyle w:val="0"/>
        <w:jc w:val="center"/>
      </w:pPr>
      <w:r>
        <w:rPr>
          <w:sz w:val="20"/>
        </w:rPr>
        <w:t xml:space="preserve">Сфера применения</w:t>
      </w:r>
    </w:p>
    <w:p>
      <w:pPr>
        <w:pStyle w:val="0"/>
        <w:jc w:val="center"/>
      </w:pPr>
      <w:r>
        <w:rPr>
          <w:sz w:val="20"/>
        </w:rPr>
      </w:r>
    </w:p>
    <w:p>
      <w:pPr>
        <w:pStyle w:val="0"/>
        <w:ind w:firstLine="540"/>
        <w:jc w:val="both"/>
      </w:pPr>
      <w:r>
        <w:rPr>
          <w:sz w:val="20"/>
        </w:rPr>
        <w:t xml:space="preserve">Настоящая глава применяется к установкам, производящим диоксид титана.</w:t>
      </w:r>
    </w:p>
    <w:p>
      <w:pPr>
        <w:pStyle w:val="0"/>
        <w:ind w:firstLine="540"/>
        <w:jc w:val="both"/>
      </w:pPr>
      <w:r>
        <w:rPr>
          <w:sz w:val="20"/>
        </w:rPr>
      </w:r>
    </w:p>
    <w:bookmarkStart w:id="1058" w:name="P1058"/>
    <w:bookmarkEnd w:id="1058"/>
    <w:p>
      <w:pPr>
        <w:pStyle w:val="0"/>
        <w:outlineLvl w:val="2"/>
        <w:jc w:val="center"/>
      </w:pPr>
      <w:r>
        <w:rPr>
          <w:sz w:val="20"/>
        </w:rPr>
        <w:t xml:space="preserve">Статья 67</w:t>
      </w:r>
    </w:p>
    <w:p>
      <w:pPr>
        <w:pStyle w:val="0"/>
        <w:jc w:val="center"/>
      </w:pPr>
      <w:r>
        <w:rPr>
          <w:sz w:val="20"/>
        </w:rPr>
      </w:r>
    </w:p>
    <w:p>
      <w:pPr>
        <w:pStyle w:val="0"/>
        <w:jc w:val="center"/>
      </w:pPr>
      <w:r>
        <w:rPr>
          <w:sz w:val="20"/>
        </w:rPr>
        <w:t xml:space="preserve">Запрет захоронения отходов</w:t>
      </w:r>
    </w:p>
    <w:p>
      <w:pPr>
        <w:pStyle w:val="0"/>
        <w:jc w:val="center"/>
      </w:pPr>
      <w:r>
        <w:rPr>
          <w:sz w:val="20"/>
        </w:rPr>
      </w:r>
    </w:p>
    <w:p>
      <w:pPr>
        <w:pStyle w:val="0"/>
        <w:ind w:firstLine="540"/>
        <w:jc w:val="both"/>
      </w:pPr>
      <w:r>
        <w:rPr>
          <w:sz w:val="20"/>
        </w:rPr>
        <w:t xml:space="preserve">Государства-члены ЕС запрещают захоронение следующих отходов в любом водоеме, море или океане:</w:t>
      </w:r>
    </w:p>
    <w:bookmarkStart w:id="1063" w:name="P1063"/>
    <w:bookmarkEnd w:id="1063"/>
    <w:p>
      <w:pPr>
        <w:pStyle w:val="0"/>
        <w:spacing w:before="200" w:line-rule="auto"/>
        <w:ind w:firstLine="540"/>
        <w:jc w:val="both"/>
      </w:pPr>
      <w:r>
        <w:rPr>
          <w:sz w:val="20"/>
        </w:rPr>
        <w:t xml:space="preserve">a) твердые отходы;</w:t>
      </w:r>
    </w:p>
    <w:bookmarkStart w:id="1064" w:name="P1064"/>
    <w:bookmarkEnd w:id="1064"/>
    <w:p>
      <w:pPr>
        <w:pStyle w:val="0"/>
        <w:spacing w:before="200" w:line-rule="auto"/>
        <w:ind w:firstLine="540"/>
        <w:jc w:val="both"/>
      </w:pPr>
      <w:r>
        <w:rPr>
          <w:sz w:val="20"/>
        </w:rPr>
        <w:t xml:space="preserve">b) материнские растворы, возникающие в фазе фильтрации, следующей за процессом гидролиза раствора сульфата титанила из установок, использующих сульфатный способ, в том числе кислотные отходы, связанные с такими растворами, содержащие в совокупности более 0,5% свободной серной кислоты и различных тяжелых металлов, а также материнские растворы, разведенные таким образом, что они содержат 0,5% или менее свободной серной кислоты;</w:t>
      </w:r>
    </w:p>
    <w:bookmarkStart w:id="1065" w:name="P1065"/>
    <w:bookmarkEnd w:id="1065"/>
    <w:p>
      <w:pPr>
        <w:pStyle w:val="0"/>
        <w:spacing w:before="200" w:line-rule="auto"/>
        <w:ind w:firstLine="540"/>
        <w:jc w:val="both"/>
      </w:pPr>
      <w:r>
        <w:rPr>
          <w:sz w:val="20"/>
        </w:rPr>
        <w:t xml:space="preserve">c) отходы из установок, использующих хлоридный способ, содержащие более 0,5% свободной соляной кислоты и различных тяжелых металлов, в том числе растворы, разведенные таким образом, что они содержат 0,5% или менее свободной соляной кислоты;</w:t>
      </w:r>
    </w:p>
    <w:bookmarkStart w:id="1066" w:name="P1066"/>
    <w:bookmarkEnd w:id="1066"/>
    <w:p>
      <w:pPr>
        <w:pStyle w:val="0"/>
        <w:spacing w:before="200" w:line-rule="auto"/>
        <w:ind w:firstLine="540"/>
        <w:jc w:val="both"/>
      </w:pPr>
      <w:r>
        <w:rPr>
          <w:sz w:val="20"/>
        </w:rPr>
        <w:t xml:space="preserve">d) соли, образующиеся в результате фильтрации, шламы и жидкие отходы, возникающие в процессе обработки (концентрации или нейтрализации) отходов, перечисленных в </w:t>
      </w:r>
      <w:hyperlink w:history="0" w:anchor="P1064" w:tooltip="b) материнские растворы, возникающие в фазе фильтрации, следующей за процессом гидролиза раствора сульфата титанила из установок, использующих сульфатный способ, в том числе кислотные отходы, связанные с такими растворами, содержащие в совокупности более 0,5% свободной серной кислоты и различных тяжелых металлов, а также материнские растворы, разведенные таким образом, что они содержат 0,5% или менее свободной серной кислоты;">
        <w:r>
          <w:rPr>
            <w:sz w:val="20"/>
            <w:color w:val="0000ff"/>
          </w:rPr>
          <w:t xml:space="preserve">пунктах "b"</w:t>
        </w:r>
      </w:hyperlink>
      <w:r>
        <w:rPr>
          <w:sz w:val="20"/>
        </w:rPr>
        <w:t xml:space="preserve"> и </w:t>
      </w:r>
      <w:hyperlink w:history="0" w:anchor="P1065" w:tooltip="c) отходы из установок, использующих хлоридный способ, содержащие более 0,5% свободной соляной кислоты и различных тяжелых металлов, в том числе растворы, разведенные таким образом, что они содержат 0,5% или менее свободной соляной кислоты;">
        <w:r>
          <w:rPr>
            <w:sz w:val="20"/>
            <w:color w:val="0000ff"/>
          </w:rPr>
          <w:t xml:space="preserve">"c" настоящего параграфа</w:t>
        </w:r>
      </w:hyperlink>
      <w:r>
        <w:rPr>
          <w:sz w:val="20"/>
        </w:rPr>
        <w:t xml:space="preserve"> и содержащих различные тяжелые металлы, за исключением нейтрализованных, отфильтрованных или отжатых отходов, содержащих малые количества тяжелых металлов, со значением pH более 5,5 до разведения.</w:t>
      </w:r>
    </w:p>
    <w:p>
      <w:pPr>
        <w:pStyle w:val="0"/>
        <w:ind w:firstLine="540"/>
        <w:jc w:val="both"/>
      </w:pPr>
      <w:r>
        <w:rPr>
          <w:sz w:val="20"/>
        </w:rPr>
      </w:r>
    </w:p>
    <w:bookmarkStart w:id="1068" w:name="P1068"/>
    <w:bookmarkEnd w:id="1068"/>
    <w:p>
      <w:pPr>
        <w:pStyle w:val="0"/>
        <w:outlineLvl w:val="2"/>
        <w:jc w:val="center"/>
      </w:pPr>
      <w:r>
        <w:rPr>
          <w:sz w:val="20"/>
        </w:rPr>
        <w:t xml:space="preserve">Статья 68</w:t>
      </w:r>
    </w:p>
    <w:p>
      <w:pPr>
        <w:pStyle w:val="0"/>
        <w:jc w:val="center"/>
      </w:pPr>
      <w:r>
        <w:rPr>
          <w:sz w:val="20"/>
        </w:rPr>
      </w:r>
    </w:p>
    <w:p>
      <w:pPr>
        <w:pStyle w:val="0"/>
        <w:jc w:val="center"/>
      </w:pPr>
      <w:r>
        <w:rPr>
          <w:sz w:val="20"/>
        </w:rPr>
        <w:t xml:space="preserve">Контроль выбросов в воду</w:t>
      </w:r>
    </w:p>
    <w:p>
      <w:pPr>
        <w:pStyle w:val="0"/>
        <w:jc w:val="center"/>
      </w:pPr>
      <w:r>
        <w:rPr>
          <w:sz w:val="20"/>
        </w:rPr>
      </w:r>
    </w:p>
    <w:p>
      <w:pPr>
        <w:pStyle w:val="0"/>
        <w:ind w:firstLine="540"/>
        <w:jc w:val="both"/>
      </w:pPr>
      <w:r>
        <w:rPr>
          <w:sz w:val="20"/>
        </w:rPr>
        <w:t xml:space="preserve">Выбросы в воду из установок не должны превышать пороговые значения выбросов, установленные </w:t>
      </w:r>
      <w:hyperlink w:history="0" w:anchor="P3394" w:tooltip="Часть 1">
        <w:r>
          <w:rPr>
            <w:sz w:val="20"/>
            <w:color w:val="0000ff"/>
          </w:rPr>
          <w:t xml:space="preserve">частью 1</w:t>
        </w:r>
      </w:hyperlink>
      <w:r>
        <w:rPr>
          <w:sz w:val="20"/>
        </w:rPr>
        <w:t xml:space="preserve"> Приложения VIII к настоящей Директиве.</w:t>
      </w:r>
    </w:p>
    <w:p>
      <w:pPr>
        <w:pStyle w:val="0"/>
        <w:ind w:firstLine="540"/>
        <w:jc w:val="both"/>
      </w:pPr>
      <w:r>
        <w:rPr>
          <w:sz w:val="20"/>
        </w:rPr>
      </w:r>
    </w:p>
    <w:bookmarkStart w:id="1074" w:name="P1074"/>
    <w:bookmarkEnd w:id="1074"/>
    <w:p>
      <w:pPr>
        <w:pStyle w:val="0"/>
        <w:outlineLvl w:val="2"/>
        <w:jc w:val="center"/>
      </w:pPr>
      <w:r>
        <w:rPr>
          <w:sz w:val="20"/>
        </w:rPr>
        <w:t xml:space="preserve">Статья 69</w:t>
      </w:r>
    </w:p>
    <w:p>
      <w:pPr>
        <w:pStyle w:val="0"/>
        <w:jc w:val="center"/>
      </w:pPr>
      <w:r>
        <w:rPr>
          <w:sz w:val="20"/>
        </w:rPr>
      </w:r>
    </w:p>
    <w:p>
      <w:pPr>
        <w:pStyle w:val="0"/>
        <w:jc w:val="center"/>
      </w:pPr>
      <w:r>
        <w:rPr>
          <w:sz w:val="20"/>
        </w:rPr>
        <w:t xml:space="preserve">Предупреждение и контроль выбросов в воздух</w:t>
      </w:r>
    </w:p>
    <w:p>
      <w:pPr>
        <w:pStyle w:val="0"/>
        <w:jc w:val="center"/>
      </w:pPr>
      <w:r>
        <w:rPr>
          <w:sz w:val="20"/>
        </w:rPr>
      </w:r>
    </w:p>
    <w:bookmarkStart w:id="1078" w:name="P1078"/>
    <w:bookmarkEnd w:id="1078"/>
    <w:p>
      <w:pPr>
        <w:pStyle w:val="0"/>
        <w:ind w:firstLine="540"/>
        <w:jc w:val="both"/>
      </w:pPr>
      <w:r>
        <w:rPr>
          <w:sz w:val="20"/>
        </w:rPr>
        <w:t xml:space="preserve">1. Необходимо предупреждать выбросы капель кислоты из установок.</w:t>
      </w:r>
    </w:p>
    <w:bookmarkStart w:id="1079" w:name="P1079"/>
    <w:bookmarkEnd w:id="1079"/>
    <w:p>
      <w:pPr>
        <w:pStyle w:val="0"/>
        <w:spacing w:before="200" w:line-rule="auto"/>
        <w:ind w:firstLine="540"/>
        <w:jc w:val="both"/>
      </w:pPr>
      <w:r>
        <w:rPr>
          <w:sz w:val="20"/>
        </w:rPr>
        <w:t xml:space="preserve">2. Выбросы в воздух из установок не должны превышать пороговые значения выбросов, установленные </w:t>
      </w:r>
      <w:hyperlink w:history="0" w:anchor="P3406" w:tooltip="Часть 2">
        <w:r>
          <w:rPr>
            <w:sz w:val="20"/>
            <w:color w:val="0000ff"/>
          </w:rPr>
          <w:t xml:space="preserve">частью 2</w:t>
        </w:r>
      </w:hyperlink>
      <w:r>
        <w:rPr>
          <w:sz w:val="20"/>
        </w:rPr>
        <w:t xml:space="preserve"> Приложения VIII к настоящей Директиве.</w:t>
      </w:r>
    </w:p>
    <w:p>
      <w:pPr>
        <w:pStyle w:val="0"/>
        <w:ind w:firstLine="540"/>
        <w:jc w:val="both"/>
      </w:pPr>
      <w:r>
        <w:rPr>
          <w:sz w:val="20"/>
        </w:rPr>
      </w:r>
    </w:p>
    <w:bookmarkStart w:id="1081" w:name="P1081"/>
    <w:bookmarkEnd w:id="1081"/>
    <w:p>
      <w:pPr>
        <w:pStyle w:val="0"/>
        <w:outlineLvl w:val="2"/>
        <w:jc w:val="center"/>
      </w:pPr>
      <w:r>
        <w:rPr>
          <w:sz w:val="20"/>
        </w:rPr>
        <w:t xml:space="preserve">Статья 70</w:t>
      </w:r>
    </w:p>
    <w:p>
      <w:pPr>
        <w:pStyle w:val="0"/>
        <w:jc w:val="center"/>
      </w:pPr>
      <w:r>
        <w:rPr>
          <w:sz w:val="20"/>
        </w:rPr>
      </w:r>
    </w:p>
    <w:p>
      <w:pPr>
        <w:pStyle w:val="0"/>
        <w:jc w:val="center"/>
      </w:pPr>
      <w:r>
        <w:rPr>
          <w:sz w:val="20"/>
        </w:rPr>
        <w:t xml:space="preserve">Мониторинг выбросов</w:t>
      </w:r>
    </w:p>
    <w:p>
      <w:pPr>
        <w:pStyle w:val="0"/>
        <w:jc w:val="center"/>
      </w:pPr>
      <w:r>
        <w:rPr>
          <w:sz w:val="20"/>
        </w:rPr>
      </w:r>
    </w:p>
    <w:bookmarkStart w:id="1085" w:name="P1085"/>
    <w:bookmarkEnd w:id="1085"/>
    <w:p>
      <w:pPr>
        <w:pStyle w:val="0"/>
        <w:ind w:firstLine="540"/>
        <w:jc w:val="both"/>
      </w:pPr>
      <w:r>
        <w:rPr>
          <w:sz w:val="20"/>
        </w:rPr>
        <w:t xml:space="preserve">1. Государства-члены ЕС гарантируют проведение мониторинга выбросов в воду, позволяющего компетентному органу осуществлять проверки соблюдения условий разрешения и </w:t>
      </w:r>
      <w:hyperlink w:history="0" w:anchor="P1068" w:tooltip="Статья 68">
        <w:r>
          <w:rPr>
            <w:sz w:val="20"/>
            <w:color w:val="0000ff"/>
          </w:rPr>
          <w:t xml:space="preserve">статьи 68</w:t>
        </w:r>
      </w:hyperlink>
      <w:r>
        <w:rPr>
          <w:sz w:val="20"/>
        </w:rPr>
        <w:t xml:space="preserve"> настоящей Директивы.</w:t>
      </w:r>
    </w:p>
    <w:bookmarkStart w:id="1086" w:name="P1086"/>
    <w:bookmarkEnd w:id="1086"/>
    <w:p>
      <w:pPr>
        <w:pStyle w:val="0"/>
        <w:spacing w:before="200" w:line-rule="auto"/>
        <w:ind w:firstLine="540"/>
        <w:jc w:val="both"/>
      </w:pPr>
      <w:r>
        <w:rPr>
          <w:sz w:val="20"/>
        </w:rPr>
        <w:t xml:space="preserve">2. Государства-члены ЕС гарантируют проведение мониторинга выбросов в воздух, позволяющего компетентному органу осуществлять проверки соблюдения условий разрешения и </w:t>
      </w:r>
      <w:hyperlink w:history="0" w:anchor="P1074" w:tooltip="Статья 69">
        <w:r>
          <w:rPr>
            <w:sz w:val="20"/>
            <w:color w:val="0000ff"/>
          </w:rPr>
          <w:t xml:space="preserve">статьи 69</w:t>
        </w:r>
      </w:hyperlink>
      <w:r>
        <w:rPr>
          <w:sz w:val="20"/>
        </w:rPr>
        <w:t xml:space="preserve"> настоящей Директивы. Такой мониторинг должен включать, как минимум мониторинг выбросов, как предусмотрено </w:t>
      </w:r>
      <w:hyperlink w:history="0" w:anchor="P3433" w:tooltip="Часть 3">
        <w:r>
          <w:rPr>
            <w:sz w:val="20"/>
            <w:color w:val="0000ff"/>
          </w:rPr>
          <w:t xml:space="preserve">частью 3</w:t>
        </w:r>
      </w:hyperlink>
      <w:r>
        <w:rPr>
          <w:sz w:val="20"/>
        </w:rPr>
        <w:t xml:space="preserve"> Приложения VIII к настоящей Директиве.</w:t>
      </w:r>
    </w:p>
    <w:bookmarkStart w:id="1087" w:name="P1087"/>
    <w:bookmarkEnd w:id="1087"/>
    <w:p>
      <w:pPr>
        <w:pStyle w:val="0"/>
        <w:spacing w:before="200" w:line-rule="auto"/>
        <w:ind w:firstLine="540"/>
        <w:jc w:val="both"/>
      </w:pPr>
      <w:r>
        <w:rPr>
          <w:sz w:val="20"/>
        </w:rPr>
        <w:t xml:space="preserve">3. Мониторинг проводится в соответствии со стандартами Европейского комитета по стандартизации (стандартами CEN) или, при невозможности применения стандартов CEN, в соответствии с международными стандартами (ISO), национальными или иными международными стандартами, которые гарантируют предоставление научных сведений эквивалентного качества.</w:t>
      </w:r>
    </w:p>
    <w:p>
      <w:pPr>
        <w:pStyle w:val="0"/>
        <w:ind w:firstLine="540"/>
        <w:jc w:val="both"/>
      </w:pPr>
      <w:r>
        <w:rPr>
          <w:sz w:val="20"/>
        </w:rPr>
      </w:r>
    </w:p>
    <w:p>
      <w:pPr>
        <w:pStyle w:val="0"/>
        <w:outlineLvl w:val="1"/>
        <w:jc w:val="center"/>
      </w:pPr>
      <w:r>
        <w:rPr>
          <w:sz w:val="20"/>
        </w:rPr>
        <w:t xml:space="preserve">Глава VII. КОМИТЕТ, ПЕРЕХОДНЫЕ И ЗАКЛЮЧИТЕЛЬНЫЕ ПОЛОЖЕНИЯ</w:t>
      </w:r>
    </w:p>
    <w:p>
      <w:pPr>
        <w:pStyle w:val="0"/>
        <w:jc w:val="center"/>
      </w:pPr>
      <w:r>
        <w:rPr>
          <w:sz w:val="20"/>
        </w:rPr>
      </w:r>
    </w:p>
    <w:bookmarkStart w:id="1091" w:name="P1091"/>
    <w:bookmarkEnd w:id="1091"/>
    <w:p>
      <w:pPr>
        <w:pStyle w:val="0"/>
        <w:outlineLvl w:val="2"/>
        <w:jc w:val="center"/>
      </w:pPr>
      <w:r>
        <w:rPr>
          <w:sz w:val="20"/>
        </w:rPr>
        <w:t xml:space="preserve">Статья 71</w:t>
      </w:r>
    </w:p>
    <w:p>
      <w:pPr>
        <w:pStyle w:val="0"/>
        <w:jc w:val="center"/>
      </w:pPr>
      <w:r>
        <w:rPr>
          <w:sz w:val="20"/>
        </w:rPr>
      </w:r>
    </w:p>
    <w:p>
      <w:pPr>
        <w:pStyle w:val="0"/>
        <w:jc w:val="center"/>
      </w:pPr>
      <w:r>
        <w:rPr>
          <w:sz w:val="20"/>
        </w:rPr>
        <w:t xml:space="preserve">Компетентные органы</w:t>
      </w:r>
    </w:p>
    <w:p>
      <w:pPr>
        <w:pStyle w:val="0"/>
        <w:jc w:val="center"/>
      </w:pPr>
      <w:r>
        <w:rPr>
          <w:sz w:val="20"/>
        </w:rPr>
      </w:r>
    </w:p>
    <w:p>
      <w:pPr>
        <w:pStyle w:val="0"/>
        <w:ind w:firstLine="540"/>
        <w:jc w:val="both"/>
      </w:pPr>
      <w:r>
        <w:rPr>
          <w:sz w:val="20"/>
        </w:rPr>
        <w:t xml:space="preserve">Государства-члены ЕС назначают компетентные органы, ответственные за исполнение обязательств, предусмотренных настоящей Директивой.</w:t>
      </w:r>
    </w:p>
    <w:p>
      <w:pPr>
        <w:pStyle w:val="0"/>
        <w:ind w:firstLine="540"/>
        <w:jc w:val="both"/>
      </w:pPr>
      <w:r>
        <w:rPr>
          <w:sz w:val="20"/>
        </w:rPr>
      </w:r>
    </w:p>
    <w:bookmarkStart w:id="1097" w:name="P1097"/>
    <w:bookmarkEnd w:id="1097"/>
    <w:p>
      <w:pPr>
        <w:pStyle w:val="0"/>
        <w:outlineLvl w:val="2"/>
        <w:jc w:val="center"/>
      </w:pPr>
      <w:r>
        <w:rPr>
          <w:sz w:val="20"/>
        </w:rPr>
        <w:t xml:space="preserve">Статья 72</w:t>
      </w:r>
    </w:p>
    <w:p>
      <w:pPr>
        <w:pStyle w:val="0"/>
        <w:jc w:val="center"/>
      </w:pPr>
      <w:r>
        <w:rPr>
          <w:sz w:val="20"/>
        </w:rPr>
      </w:r>
    </w:p>
    <w:p>
      <w:pPr>
        <w:pStyle w:val="0"/>
        <w:jc w:val="center"/>
      </w:pPr>
      <w:r>
        <w:rPr>
          <w:sz w:val="20"/>
        </w:rPr>
        <w:t xml:space="preserve">Система отчетности государств-членов ЕС</w:t>
      </w:r>
    </w:p>
    <w:p>
      <w:pPr>
        <w:pStyle w:val="0"/>
        <w:jc w:val="center"/>
      </w:pPr>
      <w:r>
        <w:rPr>
          <w:sz w:val="20"/>
        </w:rPr>
      </w:r>
    </w:p>
    <w:bookmarkStart w:id="1101" w:name="P1101"/>
    <w:bookmarkEnd w:id="1101"/>
    <w:p>
      <w:pPr>
        <w:pStyle w:val="0"/>
        <w:ind w:firstLine="540"/>
        <w:jc w:val="both"/>
      </w:pPr>
      <w:r>
        <w:rPr>
          <w:sz w:val="20"/>
        </w:rPr>
        <w:t xml:space="preserve">1. Государства-члены ЕС обеспечивают предоставление Европейской комиссии информации об имплементации настоящей Директивы, репрезентативных данных о выбросах и иных формах загрязнения, о пороговых значениях выбросов, о применении наилучших доступных технологий в соответствии со </w:t>
      </w:r>
      <w:hyperlink w:history="0" w:anchor="P360" w:tooltip="Статья 14">
        <w:r>
          <w:rPr>
            <w:sz w:val="20"/>
            <w:color w:val="0000ff"/>
          </w:rPr>
          <w:t xml:space="preserve">статьями 14</w:t>
        </w:r>
      </w:hyperlink>
      <w:r>
        <w:rPr>
          <w:sz w:val="20"/>
        </w:rPr>
        <w:t xml:space="preserve"> и </w:t>
      </w:r>
      <w:hyperlink w:history="0" w:anchor="P388" w:tooltip="Статья 15">
        <w:r>
          <w:rPr>
            <w:sz w:val="20"/>
            <w:color w:val="0000ff"/>
          </w:rPr>
          <w:t xml:space="preserve">15</w:t>
        </w:r>
      </w:hyperlink>
      <w:r>
        <w:rPr>
          <w:sz w:val="20"/>
        </w:rPr>
        <w:t xml:space="preserve"> настоящей Директивы, в частности, о предоставлении исключений в соответствии со </w:t>
      </w:r>
      <w:hyperlink w:history="0" w:anchor="P400" w:tooltip="4. В порядке частичного отступления от параграфа 3 настоящей статьи и без ущерба действия статьи 18 настоящей Директивы компетентный орган вправе в особых случаях устанавливать менее жесткие пороговые значения выбросов. Такое отступление может применяться только в случае, если оценка показывает, что достижение уровней выбросов, утвержденных в соответствии с наилучшими доступными технологиями, как указано в заключениях BAT, приведет к высоким издержкам, несоразмерным по сравнению с выгодами для окружающей...">
        <w:r>
          <w:rPr>
            <w:sz w:val="20"/>
            <w:color w:val="0000ff"/>
          </w:rPr>
          <w:t xml:space="preserve">статьей 15 (4)</w:t>
        </w:r>
      </w:hyperlink>
      <w:r>
        <w:rPr>
          <w:sz w:val="20"/>
        </w:rPr>
        <w:t xml:space="preserve"> настоящей Директивы, а также об успехах, достигнутых в развитии и применении новых технологий в соответствии со </w:t>
      </w:r>
      <w:hyperlink w:history="0" w:anchor="P567" w:tooltip="Статья 27">
        <w:r>
          <w:rPr>
            <w:sz w:val="20"/>
            <w:color w:val="0000ff"/>
          </w:rPr>
          <w:t xml:space="preserve">статьей 27</w:t>
        </w:r>
      </w:hyperlink>
      <w:r>
        <w:rPr>
          <w:sz w:val="20"/>
        </w:rPr>
        <w:t xml:space="preserve"> настоящей Директивы. Государства-члены ЕС предоставляют информацию в электронном формате.</w:t>
      </w:r>
    </w:p>
    <w:bookmarkStart w:id="1102" w:name="P1102"/>
    <w:bookmarkEnd w:id="1102"/>
    <w:p>
      <w:pPr>
        <w:pStyle w:val="0"/>
        <w:spacing w:before="200" w:line-rule="auto"/>
        <w:ind w:firstLine="540"/>
        <w:jc w:val="both"/>
      </w:pPr>
      <w:r>
        <w:rPr>
          <w:sz w:val="20"/>
        </w:rPr>
        <w:t xml:space="preserve">2. Вид, формат и частота предоставления информации, указанной в </w:t>
      </w:r>
      <w:hyperlink w:history="0" w:anchor="P1101" w:tooltip="1. Государства-члены ЕС обеспечивают предоставление Европейской комиссии информации об имплементации настоящей Директивы, репрезентативных данных о выбросах и иных формах загрязнения, о пороговых значениях выбросов, о применении наилучших доступных технологий в соответствии со статьями 14 и 15 настоящей Директивы, в частности, о предоставлении исключений в соответствии со статьей 15 (4) настоящей Директивы, а также об успехах, достигнутых в развитии и применении новых технологий в соответствии со статьей...">
        <w:r>
          <w:rPr>
            <w:sz w:val="20"/>
            <w:color w:val="0000ff"/>
          </w:rPr>
          <w:t xml:space="preserve">параграфе 1 настоящей статьи</w:t>
        </w:r>
      </w:hyperlink>
      <w:r>
        <w:rPr>
          <w:sz w:val="20"/>
        </w:rPr>
        <w:t xml:space="preserve">, устанавливается в соответствии с регулятивной процедурой, предусмотренной в </w:t>
      </w:r>
      <w:hyperlink w:history="0" w:anchor="P1150" w:tooltip="2. При любых ссылках на настоящий параграф применяются положения статьи 5 и 7 Решения 1999/468/ЕС с учетом положений статьи 8 названного Решения.">
        <w:r>
          <w:rPr>
            <w:sz w:val="20"/>
            <w:color w:val="0000ff"/>
          </w:rPr>
          <w:t xml:space="preserve">статье 75 (2)</w:t>
        </w:r>
      </w:hyperlink>
      <w:r>
        <w:rPr>
          <w:sz w:val="20"/>
        </w:rPr>
        <w:t xml:space="preserve"> настоящей Директивы. В том числе необходимо определить виды деятельности и загрязнители, в отношении которых требуется предоставление информации, указанной в параграфе 1 настоящей статьи.</w:t>
      </w:r>
    </w:p>
    <w:bookmarkStart w:id="1103" w:name="P1103"/>
    <w:bookmarkEnd w:id="1103"/>
    <w:p>
      <w:pPr>
        <w:pStyle w:val="0"/>
        <w:spacing w:before="200" w:line-rule="auto"/>
        <w:ind w:firstLine="540"/>
        <w:jc w:val="both"/>
      </w:pPr>
      <w:r>
        <w:rPr>
          <w:sz w:val="20"/>
        </w:rPr>
        <w:t xml:space="preserve">3. В отношении всех заводов по сжиганию, подпадающих под действие </w:t>
      </w:r>
      <w:hyperlink w:history="0" w:anchor="P574" w:tooltip="Глава III. СПЕЦИАЛЬНЫЕ ПОЛОЖЕНИЯ ДЛЯ ЗАВОДОВ ПО СЖИГАНИЮ">
        <w:r>
          <w:rPr>
            <w:sz w:val="20"/>
            <w:color w:val="0000ff"/>
          </w:rPr>
          <w:t xml:space="preserve">главы III</w:t>
        </w:r>
      </w:hyperlink>
      <w:r>
        <w:rPr>
          <w:sz w:val="20"/>
        </w:rPr>
        <w:t xml:space="preserve"> настоящей Директивы, государства-члены ЕС должны с 1 января 2016 г. вести ежегодные перечни выбросов диоксида серы, оксидов азота и пыли, а также потребляемой энергии.</w:t>
      </w:r>
    </w:p>
    <w:p>
      <w:pPr>
        <w:pStyle w:val="0"/>
        <w:spacing w:before="200" w:line-rule="auto"/>
        <w:ind w:firstLine="540"/>
        <w:jc w:val="both"/>
      </w:pPr>
      <w:r>
        <w:rPr>
          <w:sz w:val="20"/>
        </w:rPr>
        <w:t xml:space="preserve">С учетом правил объединения, установленных в </w:t>
      </w:r>
      <w:hyperlink w:history="0" w:anchor="P593" w:tooltip="Статья 29">
        <w:r>
          <w:rPr>
            <w:sz w:val="20"/>
            <w:color w:val="0000ff"/>
          </w:rPr>
          <w:t xml:space="preserve">статье 29</w:t>
        </w:r>
      </w:hyperlink>
      <w:r>
        <w:rPr>
          <w:sz w:val="20"/>
        </w:rPr>
        <w:t xml:space="preserve"> настоящей Директивы, компетентный орган должен получать следующие данные в отношении каждого завода по сжиганию:</w:t>
      </w:r>
    </w:p>
    <w:p>
      <w:pPr>
        <w:pStyle w:val="0"/>
        <w:spacing w:before="200" w:line-rule="auto"/>
        <w:ind w:firstLine="540"/>
        <w:jc w:val="both"/>
      </w:pPr>
      <w:r>
        <w:rPr>
          <w:sz w:val="20"/>
        </w:rPr>
        <w:t xml:space="preserve">a) совокупная номинальная тепловая мощность (MW) завода по сжиганию;</w:t>
      </w:r>
    </w:p>
    <w:p>
      <w:pPr>
        <w:pStyle w:val="0"/>
        <w:spacing w:before="200" w:line-rule="auto"/>
        <w:ind w:firstLine="540"/>
        <w:jc w:val="both"/>
      </w:pPr>
      <w:r>
        <w:rPr>
          <w:sz w:val="20"/>
        </w:rPr>
        <w:t xml:space="preserve">b) вид завода по сжиганию: котел, газовая турбина, газовый двигатель, дизельный двигатель, иное (уточнить);</w:t>
      </w:r>
    </w:p>
    <w:p>
      <w:pPr>
        <w:pStyle w:val="0"/>
        <w:spacing w:before="200" w:line-rule="auto"/>
        <w:ind w:firstLine="540"/>
        <w:jc w:val="both"/>
      </w:pPr>
      <w:r>
        <w:rPr>
          <w:sz w:val="20"/>
        </w:rPr>
        <w:t xml:space="preserve">c) дата начала функционирования завода по сжиганию;</w:t>
      </w:r>
    </w:p>
    <w:p>
      <w:pPr>
        <w:pStyle w:val="0"/>
        <w:spacing w:before="200" w:line-rule="auto"/>
        <w:ind w:firstLine="540"/>
        <w:jc w:val="both"/>
      </w:pPr>
      <w:r>
        <w:rPr>
          <w:sz w:val="20"/>
        </w:rPr>
        <w:t xml:space="preserve">d) совокупное количество выбросов диоксида серы, оксидов азота и пыли (совокупное количество взвешенных частиц) в год (тонн в год);</w:t>
      </w:r>
    </w:p>
    <w:p>
      <w:pPr>
        <w:pStyle w:val="0"/>
        <w:spacing w:before="200" w:line-rule="auto"/>
        <w:ind w:firstLine="540"/>
        <w:jc w:val="both"/>
      </w:pPr>
      <w:r>
        <w:rPr>
          <w:sz w:val="20"/>
        </w:rPr>
        <w:t xml:space="preserve">e) количество часов эксплуатации завода по сжиганию;</w:t>
      </w:r>
    </w:p>
    <w:p>
      <w:pPr>
        <w:pStyle w:val="0"/>
        <w:spacing w:before="200" w:line-rule="auto"/>
        <w:ind w:firstLine="540"/>
        <w:jc w:val="both"/>
      </w:pPr>
      <w:r>
        <w:rPr>
          <w:sz w:val="20"/>
        </w:rPr>
        <w:t xml:space="preserve">f) совокупное ежегодное количество потребляемой энергии, выраженное в значении теплоты сгорания (ТДж в год), которое распадается на следующие категории топлива: уголь, бурый уголь, биомасса, торф, иные виды твердого топлива (уточнить), жидкое топливо, природный газ, иные газы (уточнить).</w:t>
      </w:r>
    </w:p>
    <w:p>
      <w:pPr>
        <w:pStyle w:val="0"/>
        <w:spacing w:before="200" w:line-rule="auto"/>
        <w:ind w:firstLine="540"/>
        <w:jc w:val="both"/>
      </w:pPr>
      <w:r>
        <w:rPr>
          <w:sz w:val="20"/>
        </w:rPr>
        <w:t xml:space="preserve">Сведения, содержащиеся в таких перечнях по каждому заводу, передаются Европейской комиссии по запросу.</w:t>
      </w:r>
    </w:p>
    <w:p>
      <w:pPr>
        <w:pStyle w:val="0"/>
        <w:spacing w:before="200" w:line-rule="auto"/>
        <w:ind w:firstLine="540"/>
        <w:jc w:val="both"/>
      </w:pPr>
      <w:r>
        <w:rPr>
          <w:sz w:val="20"/>
        </w:rPr>
        <w:t xml:space="preserve">Выводы по перечням передаются Европейской комиссии каждые 3 года в течение 12 месяцев по истечении соответствующего трехлетнего периода. Такая информация должна содержать сведения отдельно по каждому заводу по сжиганию в составе очистительных заводов.</w:t>
      </w:r>
    </w:p>
    <w:p>
      <w:pPr>
        <w:pStyle w:val="0"/>
        <w:spacing w:before="200" w:line-rule="auto"/>
        <w:ind w:firstLine="540"/>
        <w:jc w:val="both"/>
      </w:pPr>
      <w:r>
        <w:rPr>
          <w:sz w:val="20"/>
        </w:rPr>
        <w:t xml:space="preserve">Европейская комиссия предоставляет государствам-членам ЕС и общественности выводы по сравнению и оценке таких перечней в соответствии с </w:t>
      </w:r>
      <w:hyperlink w:history="0" r:id="rId73" w:tooltip="Директива N 2003/4/ЕС Европейского парламента и Совета Европейского Союза &quot;О доступе общественности к информации об окружающей среде и отмене Директивы 90/313/ЕЭС Совета ЕС&quot; [рус., англ.] (Вместе с &quot;Корреляционной таблицей&quot;) (Принята в г. Брюсселе 28.01.2003) {КонсультантПлюс}">
        <w:r>
          <w:rPr>
            <w:sz w:val="20"/>
            <w:color w:val="0000ff"/>
          </w:rPr>
          <w:t xml:space="preserve">Директивой</w:t>
        </w:r>
      </w:hyperlink>
      <w:r>
        <w:rPr>
          <w:sz w:val="20"/>
        </w:rPr>
        <w:t xml:space="preserve"> 2003/4/ЕС в течение 24 месяцев по истечении соответствующего трехлетнего периода.</w:t>
      </w:r>
    </w:p>
    <w:bookmarkStart w:id="1114" w:name="P1114"/>
    <w:bookmarkEnd w:id="1114"/>
    <w:p>
      <w:pPr>
        <w:pStyle w:val="0"/>
        <w:spacing w:before="200" w:line-rule="auto"/>
        <w:ind w:firstLine="540"/>
        <w:jc w:val="both"/>
      </w:pPr>
      <w:r>
        <w:rPr>
          <w:sz w:val="20"/>
        </w:rPr>
        <w:t xml:space="preserve">4. Государства-члены ЕС с 1 января 2016 г. ежегодно предоставляют Европейской комиссии следующие сведения:</w:t>
      </w:r>
    </w:p>
    <w:bookmarkStart w:id="1115" w:name="P1115"/>
    <w:bookmarkEnd w:id="1115"/>
    <w:p>
      <w:pPr>
        <w:pStyle w:val="0"/>
        <w:spacing w:before="200" w:line-rule="auto"/>
        <w:ind w:firstLine="540"/>
        <w:jc w:val="both"/>
      </w:pPr>
      <w:r>
        <w:rPr>
          <w:sz w:val="20"/>
        </w:rPr>
        <w:t xml:space="preserve">a) в отношении заводов по сжиганию, к которым применяется </w:t>
      </w:r>
      <w:hyperlink w:history="0" w:anchor="P626" w:tooltip="Статья 31">
        <w:r>
          <w:rPr>
            <w:sz w:val="20"/>
            <w:color w:val="0000ff"/>
          </w:rPr>
          <w:t xml:space="preserve">статья 31</w:t>
        </w:r>
      </w:hyperlink>
      <w:r>
        <w:rPr>
          <w:sz w:val="20"/>
        </w:rPr>
        <w:t xml:space="preserve"> настоящей Директивы, - содержание серы в используемом местном твердом топливе и достигнутые коэффициенты десульфуризации в среднем за каждый месяц. За первый год применения статьи 31 настоящей Директивы необходимо также предоставить техническое обоснование невозможности соблюдения пороговых значений выбросов, указанных в </w:t>
      </w:r>
      <w:hyperlink w:history="0" w:anchor="P606" w:tooltip="2. Все разрешения на установки, содержащие заводы по сжиганию, разрешение на которые были выданы до 7 января 2013 г., или операторы которых подали полностью оформленное заявление на выдачу разрешения до указанной даты, при условии, что такие заводы введены в эксплуатацию не позднее 7 января 2014 г., должны содержать условия, гарантирующие, что выбросы в воздух от таких заводов не превышают пороговые значения выбросов, установленные в части 1 Приложения V к настоящей Директиве.">
        <w:r>
          <w:rPr>
            <w:sz w:val="20"/>
            <w:color w:val="0000ff"/>
          </w:rPr>
          <w:t xml:space="preserve">статье 30 (2)</w:t>
        </w:r>
      </w:hyperlink>
      <w:r>
        <w:rPr>
          <w:sz w:val="20"/>
        </w:rPr>
        <w:t xml:space="preserve"> и </w:t>
      </w:r>
      <w:hyperlink w:history="0" w:anchor="P608" w:tooltip="3. Все разрешения на установки, содержащие заводы по сжиганию, на которые не распространяется действие параграфа 2 настоящей статьи, должны содержать условия, гарантирующие, что выбросы в воздух от таких заводов не превышают пороговые значения выбросов, установленные в части 2 Приложения V к настоящей Директиве.">
        <w:r>
          <w:rPr>
            <w:sz w:val="20"/>
            <w:color w:val="0000ff"/>
          </w:rPr>
          <w:t xml:space="preserve">(3)</w:t>
        </w:r>
      </w:hyperlink>
      <w:r>
        <w:rPr>
          <w:sz w:val="20"/>
        </w:rPr>
        <w:t xml:space="preserve"> настоящей Директивы;</w:t>
      </w:r>
    </w:p>
    <w:p>
      <w:pPr>
        <w:pStyle w:val="0"/>
        <w:spacing w:before="200" w:line-rule="auto"/>
        <w:ind w:firstLine="540"/>
        <w:jc w:val="both"/>
      </w:pPr>
      <w:r>
        <w:rPr>
          <w:sz w:val="20"/>
        </w:rPr>
        <w:t xml:space="preserve">b) в отношении заводов по сжиганию, которые функционируют не более 1500 часов в год, выраженных в виде скользящего среднего значения за пятилетний период, - количество эксплуатационных часов в год.</w:t>
      </w:r>
    </w:p>
    <w:p>
      <w:pPr>
        <w:pStyle w:val="0"/>
        <w:ind w:firstLine="540"/>
        <w:jc w:val="both"/>
      </w:pPr>
      <w:r>
        <w:rPr>
          <w:sz w:val="20"/>
        </w:rPr>
      </w:r>
    </w:p>
    <w:p>
      <w:pPr>
        <w:pStyle w:val="0"/>
        <w:outlineLvl w:val="2"/>
        <w:jc w:val="center"/>
      </w:pPr>
      <w:r>
        <w:rPr>
          <w:sz w:val="20"/>
        </w:rPr>
        <w:t xml:space="preserve">Статья 73</w:t>
      </w:r>
    </w:p>
    <w:p>
      <w:pPr>
        <w:pStyle w:val="0"/>
        <w:jc w:val="center"/>
      </w:pPr>
      <w:r>
        <w:rPr>
          <w:sz w:val="20"/>
        </w:rPr>
      </w:r>
    </w:p>
    <w:p>
      <w:pPr>
        <w:pStyle w:val="0"/>
        <w:jc w:val="center"/>
      </w:pPr>
      <w:r>
        <w:rPr>
          <w:sz w:val="20"/>
        </w:rPr>
        <w:t xml:space="preserve">Пересмотр</w:t>
      </w:r>
    </w:p>
    <w:p>
      <w:pPr>
        <w:pStyle w:val="0"/>
        <w:jc w:val="center"/>
      </w:pPr>
      <w:r>
        <w:rPr>
          <w:sz w:val="20"/>
        </w:rPr>
      </w:r>
    </w:p>
    <w:bookmarkStart w:id="1122" w:name="P1122"/>
    <w:bookmarkEnd w:id="1122"/>
    <w:p>
      <w:pPr>
        <w:pStyle w:val="0"/>
        <w:ind w:firstLine="540"/>
        <w:jc w:val="both"/>
      </w:pPr>
      <w:r>
        <w:rPr>
          <w:sz w:val="20"/>
        </w:rPr>
        <w:t xml:space="preserve">1. Не позднее 7 января 2016 г. и каждые последующие три года Европейская комиссия представляет Европейскому парламенту и Совету ЕС отчет об имплементации настоящей Директивы на основе информации, указанной в </w:t>
      </w:r>
      <w:hyperlink w:history="0" w:anchor="P1097" w:tooltip="Статья 72">
        <w:r>
          <w:rPr>
            <w:sz w:val="20"/>
            <w:color w:val="0000ff"/>
          </w:rPr>
          <w:t xml:space="preserve">статье 72</w:t>
        </w:r>
      </w:hyperlink>
      <w:r>
        <w:rPr>
          <w:sz w:val="20"/>
        </w:rPr>
        <w:t xml:space="preserve"> настоящей Директивы.</w:t>
      </w:r>
    </w:p>
    <w:bookmarkStart w:id="1123" w:name="P1123"/>
    <w:bookmarkEnd w:id="1123"/>
    <w:p>
      <w:pPr>
        <w:pStyle w:val="0"/>
        <w:spacing w:before="200" w:line-rule="auto"/>
        <w:ind w:firstLine="540"/>
        <w:jc w:val="both"/>
      </w:pPr>
      <w:r>
        <w:rPr>
          <w:sz w:val="20"/>
        </w:rPr>
        <w:t xml:space="preserve">Такой отчет должен содержать оценку необходимости принятия мер на уровне Европейского Союза путем установления или изменения для всего Европейского Союза минимальных требований к пороговым значениям выбросов и нормам о мониторинге и соответствии видов деятельности, на которые распространяются заключения BAT, принятые в течение предшествующих трех лет, на основе следующих критериев:</w:t>
      </w:r>
    </w:p>
    <w:p>
      <w:pPr>
        <w:pStyle w:val="0"/>
        <w:spacing w:before="200" w:line-rule="auto"/>
        <w:ind w:firstLine="540"/>
        <w:jc w:val="both"/>
      </w:pPr>
      <w:r>
        <w:rPr>
          <w:sz w:val="20"/>
        </w:rPr>
        <w:t xml:space="preserve">a) воздействие соответствующих видов деятельности на окружающую среду в целом;</w:t>
      </w:r>
    </w:p>
    <w:p>
      <w:pPr>
        <w:pStyle w:val="0"/>
        <w:spacing w:before="200" w:line-rule="auto"/>
        <w:ind w:firstLine="540"/>
        <w:jc w:val="both"/>
      </w:pPr>
      <w:r>
        <w:rPr>
          <w:sz w:val="20"/>
        </w:rPr>
        <w:t xml:space="preserve">b) степень имплементации наилучших доступных технологий в отношении соответствующих видов деятельности.</w:t>
      </w:r>
    </w:p>
    <w:p>
      <w:pPr>
        <w:pStyle w:val="0"/>
        <w:spacing w:before="200" w:line-rule="auto"/>
        <w:ind w:firstLine="540"/>
        <w:jc w:val="both"/>
      </w:pPr>
      <w:r>
        <w:rPr>
          <w:sz w:val="20"/>
        </w:rPr>
        <w:t xml:space="preserve">Указанная оценка должна учитывать заключение форума, предусмотренного </w:t>
      </w:r>
      <w:hyperlink w:history="0" w:anchor="P355" w:tooltip="4. Европейская комиссия должна получить и довести до сведения общественности заключение форума о предлагаемом содержании справочников BAT, а также руководствоваться этим заключением при осуществлении процедуры, указанной в параграфе 5 настоящей статьи.">
        <w:r>
          <w:rPr>
            <w:sz w:val="20"/>
            <w:color w:val="0000ff"/>
          </w:rPr>
          <w:t xml:space="preserve">статьей 13 (4)</w:t>
        </w:r>
      </w:hyperlink>
      <w:r>
        <w:rPr>
          <w:sz w:val="20"/>
        </w:rPr>
        <w:t xml:space="preserve"> настоящей Директивы.</w:t>
      </w:r>
    </w:p>
    <w:p>
      <w:pPr>
        <w:pStyle w:val="0"/>
        <w:spacing w:before="200" w:line-rule="auto"/>
        <w:ind w:firstLine="540"/>
        <w:jc w:val="both"/>
      </w:pPr>
      <w:r>
        <w:rPr>
          <w:sz w:val="20"/>
        </w:rPr>
        <w:t xml:space="preserve">Считается, что </w:t>
      </w:r>
      <w:hyperlink w:history="0" w:anchor="P574" w:tooltip="Глава III. СПЕЦИАЛЬНЫЕ ПОЛОЖЕНИЯ ДЛЯ ЗАВОДОВ ПО СЖИГАНИЮ">
        <w:r>
          <w:rPr>
            <w:sz w:val="20"/>
            <w:color w:val="0000ff"/>
          </w:rPr>
          <w:t xml:space="preserve">глава III</w:t>
        </w:r>
      </w:hyperlink>
      <w:r>
        <w:rPr>
          <w:sz w:val="20"/>
        </w:rPr>
        <w:t xml:space="preserve"> и </w:t>
      </w:r>
      <w:hyperlink w:history="0" w:anchor="P1507" w:tooltip="ТЕХНИЧЕСКИЕ ХАРАКТЕРИСТИКИ">
        <w:r>
          <w:rPr>
            <w:sz w:val="20"/>
            <w:color w:val="0000ff"/>
          </w:rPr>
          <w:t xml:space="preserve">Приложение V</w:t>
        </w:r>
      </w:hyperlink>
      <w:r>
        <w:rPr>
          <w:sz w:val="20"/>
        </w:rPr>
        <w:t xml:space="preserve"> настоящей Директивы устанавливают минимальные требования для всего Европейского Союза в том, что касается крупных заводов по сжиганию.</w:t>
      </w:r>
    </w:p>
    <w:p>
      <w:pPr>
        <w:pStyle w:val="0"/>
        <w:spacing w:before="200" w:line-rule="auto"/>
        <w:ind w:firstLine="540"/>
        <w:jc w:val="both"/>
      </w:pPr>
      <w:r>
        <w:rPr>
          <w:sz w:val="20"/>
        </w:rPr>
        <w:t xml:space="preserve">Отчет при необходимости должен сопровождаться законодательным предложением. Если по результатам оценки, предусмотренной </w:t>
      </w:r>
      <w:hyperlink w:history="0" w:anchor="P1123" w:tooltip="Такой отчет должен содержать оценку необходимости принятия мер на уровне Европейского Союза путем установления или изменения для всего Европейского Союза минимальных требований к пороговым значениям выбросов и нормам о мониторинге и соответствии видов деятельности, на которые распространяются заключения BAT, принятые в течение предшествующих трех лет, на основе следующих критериев:">
        <w:r>
          <w:rPr>
            <w:sz w:val="20"/>
            <w:color w:val="0000ff"/>
          </w:rPr>
          <w:t xml:space="preserve">вторым подпараграфом</w:t>
        </w:r>
      </w:hyperlink>
      <w:r>
        <w:rPr>
          <w:sz w:val="20"/>
        </w:rPr>
        <w:t xml:space="preserve">, будет выявлена необходимость, законодательное предложение должно включать положения, устанавливающие или изменяющие минимальные требования для всего Европейского Союза к пороговым значениям выбросов и нормам о мониторинге и оценке соответствия видов деятельности.</w:t>
      </w:r>
    </w:p>
    <w:bookmarkStart w:id="1129" w:name="P1129"/>
    <w:bookmarkEnd w:id="1129"/>
    <w:p>
      <w:pPr>
        <w:pStyle w:val="0"/>
        <w:spacing w:before="200" w:line-rule="auto"/>
        <w:ind w:firstLine="540"/>
        <w:jc w:val="both"/>
      </w:pPr>
      <w:r>
        <w:rPr>
          <w:sz w:val="20"/>
        </w:rPr>
        <w:t xml:space="preserve">2. Европейская комиссия не позднее 31 декабря 2012 г. пересматривает необходимость контролировать выбросы от:</w:t>
      </w:r>
    </w:p>
    <w:p>
      <w:pPr>
        <w:pStyle w:val="0"/>
        <w:spacing w:before="200" w:line-rule="auto"/>
        <w:ind w:firstLine="540"/>
        <w:jc w:val="both"/>
      </w:pPr>
      <w:r>
        <w:rPr>
          <w:sz w:val="20"/>
        </w:rPr>
        <w:t xml:space="preserve">a) сжигания топлива в установках с номинальной тепловой мощностью не выше 50 MW;</w:t>
      </w:r>
    </w:p>
    <w:p>
      <w:pPr>
        <w:pStyle w:val="0"/>
        <w:spacing w:before="200" w:line-rule="auto"/>
        <w:ind w:firstLine="540"/>
        <w:jc w:val="both"/>
      </w:pPr>
      <w:r>
        <w:rPr>
          <w:sz w:val="20"/>
        </w:rPr>
        <w:t xml:space="preserve">b) интенсивного разведения скота;</w:t>
      </w:r>
    </w:p>
    <w:p>
      <w:pPr>
        <w:pStyle w:val="0"/>
        <w:spacing w:before="200" w:line-rule="auto"/>
        <w:ind w:firstLine="540"/>
        <w:jc w:val="both"/>
      </w:pPr>
      <w:r>
        <w:rPr>
          <w:sz w:val="20"/>
        </w:rPr>
        <w:t xml:space="preserve">c) распространения удобрений.</w:t>
      </w:r>
    </w:p>
    <w:p>
      <w:pPr>
        <w:pStyle w:val="0"/>
        <w:spacing w:before="200" w:line-rule="auto"/>
        <w:ind w:firstLine="540"/>
        <w:jc w:val="both"/>
      </w:pPr>
      <w:r>
        <w:rPr>
          <w:sz w:val="20"/>
        </w:rPr>
        <w:t xml:space="preserve">Европейская комиссия представляет Европейскому парламенту и Совету ЕС отчет о результатах такого пересмотра, сопровождаемый при необходимости законодательным предложением.</w:t>
      </w:r>
    </w:p>
    <w:p>
      <w:pPr>
        <w:pStyle w:val="0"/>
        <w:spacing w:before="200" w:line-rule="auto"/>
        <w:ind w:firstLine="540"/>
        <w:jc w:val="both"/>
      </w:pPr>
      <w:r>
        <w:rPr>
          <w:sz w:val="20"/>
        </w:rPr>
        <w:t xml:space="preserve">3. Не позднее 31 декабря 2011 г. Европейская комиссия представляет Европейскому парламенту и Совету ЕС отчет об установлении в </w:t>
      </w:r>
      <w:hyperlink w:history="0" w:anchor="P1250" w:tooltip="КАТЕГОРИИ ВИДОВ ДЕЯТЕЛЬНОСТИ,">
        <w:r>
          <w:rPr>
            <w:sz w:val="20"/>
            <w:color w:val="0000ff"/>
          </w:rPr>
          <w:t xml:space="preserve">Приложении I</w:t>
        </w:r>
      </w:hyperlink>
      <w:r>
        <w:rPr>
          <w:sz w:val="20"/>
        </w:rPr>
        <w:t xml:space="preserve"> к настоящей Директиве:</w:t>
      </w:r>
    </w:p>
    <w:p>
      <w:pPr>
        <w:pStyle w:val="0"/>
        <w:spacing w:before="200" w:line-rule="auto"/>
        <w:ind w:firstLine="540"/>
        <w:jc w:val="both"/>
      </w:pPr>
      <w:r>
        <w:rPr>
          <w:sz w:val="20"/>
        </w:rPr>
        <w:t xml:space="preserve">a) дифференцированных пороговых уровней мощности для разведения разных видов домашней птицы, в том числе для куропаток;</w:t>
      </w:r>
    </w:p>
    <w:p>
      <w:pPr>
        <w:pStyle w:val="0"/>
        <w:spacing w:before="200" w:line-rule="auto"/>
        <w:ind w:firstLine="540"/>
        <w:jc w:val="both"/>
      </w:pPr>
      <w:r>
        <w:rPr>
          <w:sz w:val="20"/>
        </w:rPr>
        <w:t xml:space="preserve">b) пороговых уровней мощности для одновременного разведения различных видов животных в пределах одной установки.</w:t>
      </w:r>
    </w:p>
    <w:p>
      <w:pPr>
        <w:pStyle w:val="0"/>
        <w:spacing w:before="200" w:line-rule="auto"/>
        <w:ind w:firstLine="540"/>
        <w:jc w:val="both"/>
      </w:pPr>
      <w:r>
        <w:rPr>
          <w:sz w:val="20"/>
        </w:rPr>
        <w:t xml:space="preserve">Европейская комиссия представляет Европейскому парламенту и Совету ЕС отчет о результатах такого пересмотра, сопровождаемый при необходимости законодательным предложением.</w:t>
      </w:r>
    </w:p>
    <w:p>
      <w:pPr>
        <w:pStyle w:val="0"/>
        <w:ind w:firstLine="540"/>
        <w:jc w:val="both"/>
      </w:pPr>
      <w:r>
        <w:rPr>
          <w:sz w:val="20"/>
        </w:rPr>
      </w:r>
    </w:p>
    <w:bookmarkStart w:id="1139" w:name="P1139"/>
    <w:bookmarkEnd w:id="1139"/>
    <w:p>
      <w:pPr>
        <w:pStyle w:val="0"/>
        <w:outlineLvl w:val="2"/>
        <w:jc w:val="center"/>
      </w:pPr>
      <w:r>
        <w:rPr>
          <w:sz w:val="20"/>
        </w:rPr>
        <w:t xml:space="preserve">Статья 74</w:t>
      </w:r>
    </w:p>
    <w:p>
      <w:pPr>
        <w:pStyle w:val="0"/>
        <w:jc w:val="center"/>
      </w:pPr>
      <w:r>
        <w:rPr>
          <w:sz w:val="20"/>
        </w:rPr>
      </w:r>
    </w:p>
    <w:p>
      <w:pPr>
        <w:pStyle w:val="0"/>
        <w:jc w:val="center"/>
      </w:pPr>
      <w:r>
        <w:rPr>
          <w:sz w:val="20"/>
        </w:rPr>
        <w:t xml:space="preserve">Внесение изменений в Приложения</w:t>
      </w:r>
    </w:p>
    <w:p>
      <w:pPr>
        <w:pStyle w:val="0"/>
        <w:jc w:val="center"/>
      </w:pPr>
      <w:r>
        <w:rPr>
          <w:sz w:val="20"/>
        </w:rPr>
      </w:r>
    </w:p>
    <w:p>
      <w:pPr>
        <w:pStyle w:val="0"/>
        <w:ind w:firstLine="540"/>
        <w:jc w:val="both"/>
      </w:pPr>
      <w:r>
        <w:rPr>
          <w:sz w:val="20"/>
        </w:rPr>
        <w:t xml:space="preserve">В целях приведения положений настоящей Директивы в соответствие с научным и техническим прогрессом на основе наилучших доступных технологий Европейская комиссия принимает акты делегированного законодательства в соответствии со </w:t>
      </w:r>
      <w:hyperlink w:history="0" w:anchor="P1153" w:tooltip="Статья 76">
        <w:r>
          <w:rPr>
            <w:sz w:val="20"/>
            <w:color w:val="0000ff"/>
          </w:rPr>
          <w:t xml:space="preserve">статьей 76</w:t>
        </w:r>
      </w:hyperlink>
      <w:r>
        <w:rPr>
          <w:sz w:val="20"/>
        </w:rPr>
        <w:t xml:space="preserve"> настоящей Директивы, а также с учетом условий, указанных в </w:t>
      </w:r>
      <w:hyperlink w:history="0" w:anchor="P1161" w:tooltip="Статья 77">
        <w:r>
          <w:rPr>
            <w:sz w:val="20"/>
            <w:color w:val="0000ff"/>
          </w:rPr>
          <w:t xml:space="preserve">статьях 77</w:t>
        </w:r>
      </w:hyperlink>
      <w:r>
        <w:rPr>
          <w:sz w:val="20"/>
        </w:rPr>
        <w:t xml:space="preserve"> и </w:t>
      </w:r>
      <w:hyperlink w:history="0" w:anchor="P1169" w:tooltip="Статья 78">
        <w:r>
          <w:rPr>
            <w:sz w:val="20"/>
            <w:color w:val="0000ff"/>
          </w:rPr>
          <w:t xml:space="preserve">78</w:t>
        </w:r>
      </w:hyperlink>
      <w:r>
        <w:rPr>
          <w:sz w:val="20"/>
        </w:rPr>
        <w:t xml:space="preserve"> настоящей Директивы в том, что касается изменения </w:t>
      </w:r>
      <w:hyperlink w:history="0" w:anchor="P1923" w:tooltip="Часть 3">
        <w:r>
          <w:rPr>
            <w:sz w:val="20"/>
            <w:color w:val="0000ff"/>
          </w:rPr>
          <w:t xml:space="preserve">частей 3</w:t>
        </w:r>
      </w:hyperlink>
      <w:r>
        <w:rPr>
          <w:sz w:val="20"/>
        </w:rPr>
        <w:t xml:space="preserve"> и </w:t>
      </w:r>
      <w:hyperlink w:history="0" w:anchor="P1982" w:tooltip="Часть 4">
        <w:r>
          <w:rPr>
            <w:sz w:val="20"/>
            <w:color w:val="0000ff"/>
          </w:rPr>
          <w:t xml:space="preserve">4</w:t>
        </w:r>
      </w:hyperlink>
      <w:r>
        <w:rPr>
          <w:sz w:val="20"/>
        </w:rPr>
        <w:t xml:space="preserve"> Приложения V, </w:t>
      </w:r>
      <w:hyperlink w:history="0" w:anchor="P2088" w:tooltip="Часть 2">
        <w:r>
          <w:rPr>
            <w:sz w:val="20"/>
            <w:color w:val="0000ff"/>
          </w:rPr>
          <w:t xml:space="preserve">частей 2</w:t>
        </w:r>
      </w:hyperlink>
      <w:r>
        <w:rPr>
          <w:sz w:val="20"/>
        </w:rPr>
        <w:t xml:space="preserve">, </w:t>
      </w:r>
      <w:hyperlink w:history="0" w:anchor="P2665" w:tooltip="Часть 6">
        <w:r>
          <w:rPr>
            <w:sz w:val="20"/>
            <w:color w:val="0000ff"/>
          </w:rPr>
          <w:t xml:space="preserve">6</w:t>
        </w:r>
      </w:hyperlink>
      <w:r>
        <w:rPr>
          <w:sz w:val="20"/>
        </w:rPr>
        <w:t xml:space="preserve">, </w:t>
      </w:r>
      <w:hyperlink w:history="0" w:anchor="P2739" w:tooltip="Часть 7">
        <w:r>
          <w:rPr>
            <w:sz w:val="20"/>
            <w:color w:val="0000ff"/>
          </w:rPr>
          <w:t xml:space="preserve">7</w:t>
        </w:r>
      </w:hyperlink>
      <w:r>
        <w:rPr>
          <w:sz w:val="20"/>
        </w:rPr>
        <w:t xml:space="preserve"> и </w:t>
      </w:r>
      <w:hyperlink w:history="0" w:anchor="P2762" w:tooltip="Часть 8">
        <w:r>
          <w:rPr>
            <w:sz w:val="20"/>
            <w:color w:val="0000ff"/>
          </w:rPr>
          <w:t xml:space="preserve">8</w:t>
        </w:r>
      </w:hyperlink>
      <w:r>
        <w:rPr>
          <w:sz w:val="20"/>
        </w:rPr>
        <w:t xml:space="preserve"> Приложения VI и </w:t>
      </w:r>
      <w:hyperlink w:history="0" w:anchor="P3269" w:tooltip="Часть 5">
        <w:r>
          <w:rPr>
            <w:sz w:val="20"/>
            <w:color w:val="0000ff"/>
          </w:rPr>
          <w:t xml:space="preserve">частей 5</w:t>
        </w:r>
      </w:hyperlink>
      <w:r>
        <w:rPr>
          <w:sz w:val="20"/>
        </w:rPr>
        <w:t xml:space="preserve">, </w:t>
      </w:r>
      <w:hyperlink w:history="0" w:anchor="P3309" w:tooltip="Часть 6">
        <w:r>
          <w:rPr>
            <w:sz w:val="20"/>
            <w:color w:val="0000ff"/>
          </w:rPr>
          <w:t xml:space="preserve">6</w:t>
        </w:r>
      </w:hyperlink>
      <w:r>
        <w:rPr>
          <w:sz w:val="20"/>
        </w:rPr>
        <w:t xml:space="preserve">, </w:t>
      </w:r>
      <w:hyperlink w:history="0" w:anchor="P3317" w:tooltip="Часть 7">
        <w:r>
          <w:rPr>
            <w:sz w:val="20"/>
            <w:color w:val="0000ff"/>
          </w:rPr>
          <w:t xml:space="preserve">7</w:t>
        </w:r>
      </w:hyperlink>
      <w:r>
        <w:rPr>
          <w:sz w:val="20"/>
        </w:rPr>
        <w:t xml:space="preserve"> и </w:t>
      </w:r>
      <w:hyperlink w:history="0" w:anchor="P3371" w:tooltip="Часть 8">
        <w:r>
          <w:rPr>
            <w:sz w:val="20"/>
            <w:color w:val="0000ff"/>
          </w:rPr>
          <w:t xml:space="preserve">8</w:t>
        </w:r>
      </w:hyperlink>
      <w:r>
        <w:rPr>
          <w:sz w:val="20"/>
        </w:rPr>
        <w:t xml:space="preserve"> Приложения VII к настоящей Директиве с учетом научного и технического прогресса.</w:t>
      </w:r>
    </w:p>
    <w:p>
      <w:pPr>
        <w:pStyle w:val="0"/>
        <w:ind w:firstLine="540"/>
        <w:jc w:val="both"/>
      </w:pPr>
      <w:r>
        <w:rPr>
          <w:sz w:val="20"/>
        </w:rPr>
      </w:r>
    </w:p>
    <w:p>
      <w:pPr>
        <w:pStyle w:val="0"/>
        <w:outlineLvl w:val="2"/>
        <w:jc w:val="center"/>
      </w:pPr>
      <w:r>
        <w:rPr>
          <w:sz w:val="20"/>
        </w:rPr>
        <w:t xml:space="preserve">Статья 75</w:t>
      </w:r>
    </w:p>
    <w:p>
      <w:pPr>
        <w:pStyle w:val="0"/>
        <w:jc w:val="center"/>
      </w:pPr>
      <w:r>
        <w:rPr>
          <w:sz w:val="20"/>
        </w:rPr>
      </w:r>
    </w:p>
    <w:p>
      <w:pPr>
        <w:pStyle w:val="0"/>
        <w:jc w:val="center"/>
      </w:pPr>
      <w:r>
        <w:rPr>
          <w:sz w:val="20"/>
        </w:rPr>
        <w:t xml:space="preserve">Порядок деятельности комитета</w:t>
      </w:r>
    </w:p>
    <w:p>
      <w:pPr>
        <w:pStyle w:val="0"/>
        <w:jc w:val="center"/>
      </w:pPr>
      <w:r>
        <w:rPr>
          <w:sz w:val="20"/>
        </w:rPr>
      </w:r>
    </w:p>
    <w:bookmarkStart w:id="1149" w:name="P1149"/>
    <w:bookmarkEnd w:id="1149"/>
    <w:p>
      <w:pPr>
        <w:pStyle w:val="0"/>
        <w:ind w:firstLine="540"/>
        <w:jc w:val="both"/>
      </w:pPr>
      <w:r>
        <w:rPr>
          <w:sz w:val="20"/>
        </w:rPr>
        <w:t xml:space="preserve">1. Европейской комиссии содействует комитет.</w:t>
      </w:r>
    </w:p>
    <w:bookmarkStart w:id="1150" w:name="P1150"/>
    <w:bookmarkEnd w:id="1150"/>
    <w:p>
      <w:pPr>
        <w:pStyle w:val="0"/>
        <w:spacing w:before="200" w:line-rule="auto"/>
        <w:ind w:firstLine="540"/>
        <w:jc w:val="both"/>
      </w:pPr>
      <w:r>
        <w:rPr>
          <w:sz w:val="20"/>
        </w:rPr>
        <w:t xml:space="preserve">2. При любых ссылках на настоящий параграф применяются положения статьи 5 и 7 Решения 1999/468/ЕС с учетом положений статьи 8 названного Решения.</w:t>
      </w:r>
    </w:p>
    <w:p>
      <w:pPr>
        <w:pStyle w:val="0"/>
        <w:spacing w:before="200" w:line-rule="auto"/>
        <w:ind w:firstLine="540"/>
        <w:jc w:val="both"/>
      </w:pPr>
      <w:r>
        <w:rPr>
          <w:sz w:val="20"/>
        </w:rPr>
        <w:t xml:space="preserve">Срок, предусмотренный статьей 5 (6) Решения 1999/468/ЕС, устанавливается равным 3 месяцам.</w:t>
      </w:r>
    </w:p>
    <w:p>
      <w:pPr>
        <w:pStyle w:val="0"/>
        <w:ind w:firstLine="540"/>
        <w:jc w:val="both"/>
      </w:pPr>
      <w:r>
        <w:rPr>
          <w:sz w:val="20"/>
        </w:rPr>
      </w:r>
    </w:p>
    <w:bookmarkStart w:id="1153" w:name="P1153"/>
    <w:bookmarkEnd w:id="1153"/>
    <w:p>
      <w:pPr>
        <w:pStyle w:val="0"/>
        <w:outlineLvl w:val="2"/>
        <w:jc w:val="center"/>
      </w:pPr>
      <w:r>
        <w:rPr>
          <w:sz w:val="20"/>
        </w:rPr>
        <w:t xml:space="preserve">Статья 76</w:t>
      </w:r>
    </w:p>
    <w:p>
      <w:pPr>
        <w:pStyle w:val="0"/>
        <w:jc w:val="center"/>
      </w:pPr>
      <w:r>
        <w:rPr>
          <w:sz w:val="20"/>
        </w:rPr>
      </w:r>
    </w:p>
    <w:p>
      <w:pPr>
        <w:pStyle w:val="0"/>
        <w:jc w:val="center"/>
      </w:pPr>
      <w:r>
        <w:rPr>
          <w:sz w:val="20"/>
        </w:rPr>
        <w:t xml:space="preserve">Исполнение делегированных полномочий</w:t>
      </w:r>
    </w:p>
    <w:p>
      <w:pPr>
        <w:pStyle w:val="0"/>
        <w:jc w:val="center"/>
      </w:pPr>
      <w:r>
        <w:rPr>
          <w:sz w:val="20"/>
        </w:rPr>
      </w:r>
    </w:p>
    <w:p>
      <w:pPr>
        <w:pStyle w:val="0"/>
        <w:ind w:firstLine="540"/>
        <w:jc w:val="both"/>
      </w:pPr>
      <w:r>
        <w:rPr>
          <w:sz w:val="20"/>
        </w:rPr>
        <w:t xml:space="preserve">1. Полномочия принимать акты делегированного законодательства, указанные в </w:t>
      </w:r>
      <w:hyperlink w:history="0" w:anchor="P853" w:tooltip="5. Как только Европейский Союз будет располагать соответствующими технологиями измерений, Европейская комиссия посредством актов делегированного законодательства в соответствии со статьей 76 настоящей Директивы, а также в соответствии с условиями, предусмотренными статьями 77 и 78 настоящей Директивы, определяет дату, с которой должны проводиться непрерывные измерения выбросов в воздух тяжелых металлов, диоксинов и фуранов.">
        <w:r>
          <w:rPr>
            <w:sz w:val="20"/>
            <w:color w:val="0000ff"/>
          </w:rPr>
          <w:t xml:space="preserve">статье 48 (5)</w:t>
        </w:r>
      </w:hyperlink>
      <w:r>
        <w:rPr>
          <w:sz w:val="20"/>
        </w:rPr>
        <w:t xml:space="preserve"> и </w:t>
      </w:r>
      <w:hyperlink w:history="0" w:anchor="P1139" w:tooltip="Статья 74">
        <w:r>
          <w:rPr>
            <w:sz w:val="20"/>
            <w:color w:val="0000ff"/>
          </w:rPr>
          <w:t xml:space="preserve">статье 74</w:t>
        </w:r>
      </w:hyperlink>
      <w:r>
        <w:rPr>
          <w:sz w:val="20"/>
        </w:rPr>
        <w:t xml:space="preserve"> настоящей Директивы, передаются Европейской комиссии сроком на 5 лет, начиная с 6 января 2011 г. Европейская комиссия составляет отчет об исполнении делегированных полномочий не позднее, чем за шесть месяцев до окончания пятилетнего периода. Делегирование полномочий автоматически продлевается на равный по продолжительности период, за исключением случаев, когда Европейский парламент или Совет ЕС отзывают указанные полномочия в соответствии со </w:t>
      </w:r>
      <w:hyperlink w:history="0" w:anchor="P1161" w:tooltip="Статья 77">
        <w:r>
          <w:rPr>
            <w:sz w:val="20"/>
            <w:color w:val="0000ff"/>
          </w:rPr>
          <w:t xml:space="preserve">статьей 77</w:t>
        </w:r>
      </w:hyperlink>
      <w:r>
        <w:rPr>
          <w:sz w:val="20"/>
        </w:rPr>
        <w:t xml:space="preserve"> настоящей Директивы.</w:t>
      </w:r>
    </w:p>
    <w:p>
      <w:pPr>
        <w:pStyle w:val="0"/>
        <w:spacing w:before="200" w:line-rule="auto"/>
        <w:ind w:firstLine="540"/>
        <w:jc w:val="both"/>
      </w:pPr>
      <w:r>
        <w:rPr>
          <w:sz w:val="20"/>
        </w:rPr>
        <w:t xml:space="preserve">2. После принятия акта делегированного законодательства Европейская комиссия незамедлительно направляет его одновременно Европейскому парламенту и Совету ЕС.</w:t>
      </w:r>
    </w:p>
    <w:p>
      <w:pPr>
        <w:pStyle w:val="0"/>
        <w:spacing w:before="200" w:line-rule="auto"/>
        <w:ind w:firstLine="540"/>
        <w:jc w:val="both"/>
      </w:pPr>
      <w:r>
        <w:rPr>
          <w:sz w:val="20"/>
        </w:rPr>
        <w:t xml:space="preserve">3. Полномочия по принятию актов делегированного законодательства передаются Европейской комиссии с соблюдением условий, предусмотренных статьями 77 и </w:t>
      </w:r>
      <w:hyperlink w:history="0" w:anchor="P1169" w:tooltip="Статья 78">
        <w:r>
          <w:rPr>
            <w:sz w:val="20"/>
            <w:color w:val="0000ff"/>
          </w:rPr>
          <w:t xml:space="preserve">78</w:t>
        </w:r>
      </w:hyperlink>
      <w:r>
        <w:rPr>
          <w:sz w:val="20"/>
        </w:rPr>
        <w:t xml:space="preserve"> настоящей Директивы.</w:t>
      </w:r>
    </w:p>
    <w:p>
      <w:pPr>
        <w:pStyle w:val="0"/>
        <w:ind w:firstLine="540"/>
        <w:jc w:val="both"/>
      </w:pPr>
      <w:r>
        <w:rPr>
          <w:sz w:val="20"/>
        </w:rPr>
      </w:r>
    </w:p>
    <w:bookmarkStart w:id="1161" w:name="P1161"/>
    <w:bookmarkEnd w:id="1161"/>
    <w:p>
      <w:pPr>
        <w:pStyle w:val="0"/>
        <w:outlineLvl w:val="2"/>
        <w:jc w:val="center"/>
      </w:pPr>
      <w:r>
        <w:rPr>
          <w:sz w:val="20"/>
        </w:rPr>
        <w:t xml:space="preserve">Статья 77</w:t>
      </w:r>
    </w:p>
    <w:p>
      <w:pPr>
        <w:pStyle w:val="0"/>
        <w:jc w:val="center"/>
      </w:pPr>
      <w:r>
        <w:rPr>
          <w:sz w:val="20"/>
        </w:rPr>
      </w:r>
    </w:p>
    <w:p>
      <w:pPr>
        <w:pStyle w:val="0"/>
        <w:jc w:val="center"/>
      </w:pPr>
      <w:r>
        <w:rPr>
          <w:sz w:val="20"/>
        </w:rPr>
        <w:t xml:space="preserve">Отзыв делегированных полномочий</w:t>
      </w:r>
    </w:p>
    <w:p>
      <w:pPr>
        <w:pStyle w:val="0"/>
        <w:jc w:val="center"/>
      </w:pPr>
      <w:r>
        <w:rPr>
          <w:sz w:val="20"/>
        </w:rPr>
      </w:r>
    </w:p>
    <w:p>
      <w:pPr>
        <w:pStyle w:val="0"/>
        <w:ind w:firstLine="540"/>
        <w:jc w:val="both"/>
      </w:pPr>
      <w:r>
        <w:rPr>
          <w:sz w:val="20"/>
        </w:rPr>
        <w:t xml:space="preserve">1. Делегированные полномочия, предусмотренные </w:t>
      </w:r>
      <w:hyperlink w:history="0" w:anchor="P853" w:tooltip="5. Как только Европейский Союз будет располагать соответствующими технологиями измерений, Европейская комиссия посредством актов делегированного законодательства в соответствии со статьей 76 настоящей Директивы, а также в соответствии с условиями, предусмотренными статьями 77 и 78 настоящей Директивы, определяет дату, с которой должны проводиться непрерывные измерения выбросов в воздух тяжелых металлов, диоксинов и фуранов.">
        <w:r>
          <w:rPr>
            <w:sz w:val="20"/>
            <w:color w:val="0000ff"/>
          </w:rPr>
          <w:t xml:space="preserve">статьей 48 (5)</w:t>
        </w:r>
      </w:hyperlink>
      <w:r>
        <w:rPr>
          <w:sz w:val="20"/>
        </w:rPr>
        <w:t xml:space="preserve"> и </w:t>
      </w:r>
      <w:hyperlink w:history="0" w:anchor="P1139" w:tooltip="Статья 74">
        <w:r>
          <w:rPr>
            <w:sz w:val="20"/>
            <w:color w:val="0000ff"/>
          </w:rPr>
          <w:t xml:space="preserve">статьей 74</w:t>
        </w:r>
      </w:hyperlink>
      <w:r>
        <w:rPr>
          <w:sz w:val="20"/>
        </w:rPr>
        <w:t xml:space="preserve"> настоящей Директивы, могут быть отозваны в любое время Европейским парламентом или Советом ЕС.</w:t>
      </w:r>
    </w:p>
    <w:p>
      <w:pPr>
        <w:pStyle w:val="0"/>
        <w:spacing w:before="200" w:line-rule="auto"/>
        <w:ind w:firstLine="540"/>
        <w:jc w:val="both"/>
      </w:pPr>
      <w:r>
        <w:rPr>
          <w:sz w:val="20"/>
        </w:rPr>
        <w:t xml:space="preserve">2. Орган, инициировавший внутреннюю процедуру по принятию решения об отзыве делегированных полномочий, должен уведомить другой орган и Европейскую комиссию в разумный срок до принятия окончательного решения с указанием делегированных полномочий, которые могут быть отозваны, и возможных причин такого отзыва.</w:t>
      </w:r>
    </w:p>
    <w:p>
      <w:pPr>
        <w:pStyle w:val="0"/>
        <w:spacing w:before="200" w:line-rule="auto"/>
        <w:ind w:firstLine="540"/>
        <w:jc w:val="both"/>
      </w:pPr>
      <w:r>
        <w:rPr>
          <w:sz w:val="20"/>
        </w:rPr>
        <w:t xml:space="preserve">3. Решение об отзыве является основанием для прекращения полномочий, определенных данным решением. Такое решение вступает в силу незамедлительно или в более поздний срок, определенный в решении. Данное решение не влияет на действительность уже вступивших в силу актов делегированного законодательства. Решение публикуется в Официальном журнале Европейского Союза.</w:t>
      </w:r>
    </w:p>
    <w:p>
      <w:pPr>
        <w:pStyle w:val="0"/>
        <w:ind w:firstLine="540"/>
        <w:jc w:val="both"/>
      </w:pPr>
      <w:r>
        <w:rPr>
          <w:sz w:val="20"/>
        </w:rPr>
      </w:r>
    </w:p>
    <w:bookmarkStart w:id="1169" w:name="P1169"/>
    <w:bookmarkEnd w:id="1169"/>
    <w:p>
      <w:pPr>
        <w:pStyle w:val="0"/>
        <w:outlineLvl w:val="2"/>
        <w:jc w:val="center"/>
      </w:pPr>
      <w:r>
        <w:rPr>
          <w:sz w:val="20"/>
        </w:rPr>
        <w:t xml:space="preserve">Статья 78</w:t>
      </w:r>
    </w:p>
    <w:p>
      <w:pPr>
        <w:pStyle w:val="0"/>
        <w:jc w:val="center"/>
      </w:pPr>
      <w:r>
        <w:rPr>
          <w:sz w:val="20"/>
        </w:rPr>
      </w:r>
    </w:p>
    <w:p>
      <w:pPr>
        <w:pStyle w:val="0"/>
        <w:jc w:val="center"/>
      </w:pPr>
      <w:r>
        <w:rPr>
          <w:sz w:val="20"/>
        </w:rPr>
        <w:t xml:space="preserve">Возражения против актов делегированного законодательства</w:t>
      </w:r>
    </w:p>
    <w:p>
      <w:pPr>
        <w:pStyle w:val="0"/>
        <w:jc w:val="center"/>
      </w:pPr>
      <w:r>
        <w:rPr>
          <w:sz w:val="20"/>
        </w:rPr>
      </w:r>
    </w:p>
    <w:bookmarkStart w:id="1173" w:name="P1173"/>
    <w:bookmarkEnd w:id="1173"/>
    <w:p>
      <w:pPr>
        <w:pStyle w:val="0"/>
        <w:ind w:firstLine="540"/>
        <w:jc w:val="both"/>
      </w:pPr>
      <w:r>
        <w:rPr>
          <w:sz w:val="20"/>
        </w:rPr>
        <w:t xml:space="preserve">1. Европейский парламент или Совет ЕС вправе вносить возражения на акты делегированного законодательства в течение 2 месяцев с момента их уведомления.</w:t>
      </w:r>
    </w:p>
    <w:p>
      <w:pPr>
        <w:pStyle w:val="0"/>
        <w:spacing w:before="200" w:line-rule="auto"/>
        <w:ind w:firstLine="540"/>
        <w:jc w:val="both"/>
      </w:pPr>
      <w:r>
        <w:rPr>
          <w:sz w:val="20"/>
        </w:rPr>
        <w:t xml:space="preserve">По инициативе Европейского парламента или Совета ЕС указанный срок может быть продлен на 2 месяца.</w:t>
      </w:r>
    </w:p>
    <w:p>
      <w:pPr>
        <w:pStyle w:val="0"/>
        <w:spacing w:before="200" w:line-rule="auto"/>
        <w:ind w:firstLine="540"/>
        <w:jc w:val="both"/>
      </w:pPr>
      <w:r>
        <w:rPr>
          <w:sz w:val="20"/>
        </w:rPr>
        <w:t xml:space="preserve">2. Если по истечении срока, установленного параграфом 1 настоящей статьи, ни Европейский парламент, ни Совет ЕС не вносят возражения на акты делегированного законодательства, указанные акты публикуются в Официальном журнале Европейского Союза и вступают в силу с даты, указанной в актах.</w:t>
      </w:r>
    </w:p>
    <w:p>
      <w:pPr>
        <w:pStyle w:val="0"/>
        <w:spacing w:before="200" w:line-rule="auto"/>
        <w:ind w:firstLine="540"/>
        <w:jc w:val="both"/>
      </w:pPr>
      <w:r>
        <w:rPr>
          <w:sz w:val="20"/>
        </w:rPr>
        <w:t xml:space="preserve">Акты делегированного законодательства могут быть опубликованы в Официальном журнале Европейского Союза и могут вступать в силу до истечения установленного срока, если Европейский парламент и Совет ЕС уведомили Европейскую комиссию об отсутствии у них намерения вносить возражения.</w:t>
      </w:r>
    </w:p>
    <w:p>
      <w:pPr>
        <w:pStyle w:val="0"/>
        <w:spacing w:before="200" w:line-rule="auto"/>
        <w:ind w:firstLine="540"/>
        <w:jc w:val="both"/>
      </w:pPr>
      <w:r>
        <w:rPr>
          <w:sz w:val="20"/>
        </w:rPr>
        <w:t xml:space="preserve">3. Если Европейский парламент или Совет ЕС вносят возражения на акты делегированного законодательства в течение срока, установленного </w:t>
      </w:r>
      <w:hyperlink w:history="0" w:anchor="P1173" w:tooltip="1. Европейский парламент или Совет ЕС вправе вносить возражения на акты делегированного законодательства в течение 2 месяцев с момента их уведомления.">
        <w:r>
          <w:rPr>
            <w:sz w:val="20"/>
            <w:color w:val="0000ff"/>
          </w:rPr>
          <w:t xml:space="preserve">параграфом 1 настоящей статьи</w:t>
        </w:r>
      </w:hyperlink>
      <w:r>
        <w:rPr>
          <w:sz w:val="20"/>
        </w:rPr>
        <w:t xml:space="preserve">, указанные акты не вступают в силу. Орган, вносящий возражения, должен указать причины внесения возражений на акты делегированного законодательства.</w:t>
      </w:r>
    </w:p>
    <w:p>
      <w:pPr>
        <w:pStyle w:val="0"/>
        <w:ind w:firstLine="540"/>
        <w:jc w:val="both"/>
      </w:pPr>
      <w:r>
        <w:rPr>
          <w:sz w:val="20"/>
        </w:rPr>
      </w:r>
    </w:p>
    <w:bookmarkStart w:id="1179" w:name="P1179"/>
    <w:bookmarkEnd w:id="1179"/>
    <w:p>
      <w:pPr>
        <w:pStyle w:val="0"/>
        <w:outlineLvl w:val="2"/>
        <w:jc w:val="center"/>
      </w:pPr>
      <w:r>
        <w:rPr>
          <w:sz w:val="20"/>
        </w:rPr>
        <w:t xml:space="preserve">Статья 79</w:t>
      </w:r>
    </w:p>
    <w:p>
      <w:pPr>
        <w:pStyle w:val="0"/>
        <w:jc w:val="center"/>
      </w:pPr>
      <w:r>
        <w:rPr>
          <w:sz w:val="20"/>
        </w:rPr>
      </w:r>
    </w:p>
    <w:p>
      <w:pPr>
        <w:pStyle w:val="0"/>
        <w:jc w:val="center"/>
      </w:pPr>
      <w:r>
        <w:rPr>
          <w:sz w:val="20"/>
        </w:rPr>
        <w:t xml:space="preserve">Санкции</w:t>
      </w:r>
    </w:p>
    <w:p>
      <w:pPr>
        <w:pStyle w:val="0"/>
        <w:jc w:val="center"/>
      </w:pPr>
      <w:r>
        <w:rPr>
          <w:sz w:val="20"/>
        </w:rPr>
      </w:r>
    </w:p>
    <w:p>
      <w:pPr>
        <w:pStyle w:val="0"/>
        <w:ind w:firstLine="540"/>
        <w:jc w:val="both"/>
      </w:pPr>
      <w:r>
        <w:rPr>
          <w:sz w:val="20"/>
        </w:rPr>
        <w:t xml:space="preserve">Государства-члены ЕС определяют санкции, применимые за нарушение положений национального законодательства, принятых в соответствии с настоящей Директивой. Такие санкции должны быть эффективными, соразмерными и оказывать сдерживающее воздействие. Государства-члены ЕС не позднее 7 января 2013 г. уведомляют Европейскую комиссию о таких положениях, а также незамедлительно уведомляют об их последующих изменениях.</w:t>
      </w:r>
    </w:p>
    <w:p>
      <w:pPr>
        <w:pStyle w:val="0"/>
        <w:ind w:firstLine="540"/>
        <w:jc w:val="both"/>
      </w:pPr>
      <w:r>
        <w:rPr>
          <w:sz w:val="20"/>
        </w:rPr>
      </w:r>
    </w:p>
    <w:bookmarkStart w:id="1185" w:name="P1185"/>
    <w:bookmarkEnd w:id="1185"/>
    <w:p>
      <w:pPr>
        <w:pStyle w:val="0"/>
        <w:outlineLvl w:val="2"/>
        <w:jc w:val="center"/>
      </w:pPr>
      <w:r>
        <w:rPr>
          <w:sz w:val="20"/>
        </w:rPr>
        <w:t xml:space="preserve">Статья 80</w:t>
      </w:r>
    </w:p>
    <w:p>
      <w:pPr>
        <w:pStyle w:val="0"/>
        <w:jc w:val="center"/>
      </w:pPr>
      <w:r>
        <w:rPr>
          <w:sz w:val="20"/>
        </w:rPr>
      </w:r>
    </w:p>
    <w:p>
      <w:pPr>
        <w:pStyle w:val="0"/>
        <w:jc w:val="center"/>
      </w:pPr>
      <w:r>
        <w:rPr>
          <w:sz w:val="20"/>
        </w:rPr>
        <w:t xml:space="preserve">Преобразование в национальное право</w:t>
      </w:r>
    </w:p>
    <w:p>
      <w:pPr>
        <w:pStyle w:val="0"/>
        <w:jc w:val="center"/>
      </w:pPr>
      <w:r>
        <w:rPr>
          <w:sz w:val="20"/>
        </w:rPr>
      </w:r>
    </w:p>
    <w:bookmarkStart w:id="1189" w:name="P1189"/>
    <w:bookmarkEnd w:id="1189"/>
    <w:p>
      <w:pPr>
        <w:pStyle w:val="0"/>
        <w:ind w:firstLine="540"/>
        <w:jc w:val="both"/>
      </w:pPr>
      <w:r>
        <w:rPr>
          <w:sz w:val="20"/>
        </w:rPr>
        <w:t xml:space="preserve">1. Не позднее 7 января 2013 г. государства-члены ЕС вводят в действие законодательные, регламентарные и административные положения, необходимые для соблюдения </w:t>
      </w:r>
      <w:hyperlink w:history="0" w:anchor="P129" w:tooltip="Статья 2">
        <w:r>
          <w:rPr>
            <w:sz w:val="20"/>
            <w:color w:val="0000ff"/>
          </w:rPr>
          <w:t xml:space="preserve">статьи 2</w:t>
        </w:r>
      </w:hyperlink>
      <w:r>
        <w:rPr>
          <w:sz w:val="20"/>
        </w:rPr>
        <w:t xml:space="preserve">, </w:t>
      </w:r>
      <w:hyperlink w:history="0" w:anchor="P160" w:tooltip="8) под &quot;общими обязательными нормами&quot; понимаются пороговые значения выбросов или иные условия, установленные, как минимум, на отраслевом уровне, которые приняты с целью их непосредственного использования для определения условий разрешения;">
        <w:r>
          <w:rPr>
            <w:sz w:val="20"/>
            <w:color w:val="0000ff"/>
          </w:rPr>
          <w:t xml:space="preserve">пунктов (8)</w:t>
        </w:r>
      </w:hyperlink>
      <w:r>
        <w:rPr>
          <w:sz w:val="20"/>
        </w:rPr>
        <w:t xml:space="preserve">, </w:t>
      </w:r>
      <w:hyperlink w:history="0" w:anchor="P166" w:tooltip="11) под &quot;справочниками BAT&quot; понимаются документы, составленные в результате обмена информацией в соответствии со статьей 13 настоящей Директивы для определенных видов деятельности и описывающие, в частности, применяемые технологии, текущий уровень выбросов и потребления, методики, используемые для определения наилучших доступных технологий, а также заключения BAT и любые появляющиеся технологии с учетом критериев, перечисленных в Приложении III к настоящей Директиве;">
        <w:r>
          <w:rPr>
            <w:sz w:val="20"/>
            <w:color w:val="0000ff"/>
          </w:rPr>
          <w:t xml:space="preserve">(11)</w:t>
        </w:r>
      </w:hyperlink>
      <w:r>
        <w:rPr>
          <w:sz w:val="20"/>
        </w:rPr>
        <w:t xml:space="preserve"> - </w:t>
      </w:r>
      <w:hyperlink w:history="0" w:anchor="P170" w:tooltip="15) под &quot;оператором&quot; понимается любое физическое или юридическое лицо, которое осуществляет эксплуатацию или контроль установок, заводов по сжиганию, заводов по сжиганию отходов или заводов по совместному сжиганию отходов или их отдельных частей либо, если это предусмотрено национальным законодательством, лицо, которому делегированы решающие полномочия в отношении технического функционирования установок и заводов;">
        <w:r>
          <w:rPr>
            <w:sz w:val="20"/>
            <w:color w:val="0000ff"/>
          </w:rPr>
          <w:t xml:space="preserve">(15)</w:t>
        </w:r>
      </w:hyperlink>
      <w:r>
        <w:rPr>
          <w:sz w:val="20"/>
        </w:rPr>
        <w:t xml:space="preserve">, </w:t>
      </w:r>
      <w:hyperlink w:history="0" w:anchor="P173" w:tooltip="18) под &quot;опасными веществами&quot; понимаются вещества или смеси, как определено в статье 3 Регламента (ЕС) 1272/2008 Европейского парламента и Совета ЕС от 16 декабря 2008 г. о классификации, маркировке и упаковке веществ и смесей &lt;*&gt;;">
        <w:r>
          <w:rPr>
            <w:sz w:val="20"/>
            <w:color w:val="0000ff"/>
          </w:rPr>
          <w:t xml:space="preserve">(18)</w:t>
        </w:r>
      </w:hyperlink>
      <w:r>
        <w:rPr>
          <w:sz w:val="20"/>
        </w:rPr>
        <w:t xml:space="preserve"> - </w:t>
      </w:r>
      <w:hyperlink w:history="0" w:anchor="P184" w:tooltip="23) под &quot;домашней птицей&quot; понимается домашняя птица в значении пункта 1 статьи 2 Директивы 90/539/ЕЭС Совета ЕС от 15 октября 1990 г. об условиях охраны здоровья животных, регулирующих торговлю внутри Сообщества, а также импортные поставки домашней птицы и инкубационных яиц из третьих стран &lt;*&gt;;">
        <w:r>
          <w:rPr>
            <w:sz w:val="20"/>
            <w:color w:val="0000ff"/>
          </w:rPr>
          <w:t xml:space="preserve">(23)</w:t>
        </w:r>
      </w:hyperlink>
      <w:r>
        <w:rPr>
          <w:sz w:val="20"/>
        </w:rPr>
        <w:t xml:space="preserve">, </w:t>
      </w:r>
      <w:hyperlink w:history="0" w:anchor="P190" w:tooltip="26) под &quot;дымовой трубой&quot; понимается структура, содержащая один или несколько газоходов, через которые осуществляется выброс отработанных газов в воздух;">
        <w:r>
          <w:rPr>
            <w:sz w:val="20"/>
            <w:color w:val="0000ff"/>
          </w:rPr>
          <w:t xml:space="preserve">(26)</w:t>
        </w:r>
      </w:hyperlink>
      <w:r>
        <w:rPr>
          <w:sz w:val="20"/>
        </w:rPr>
        <w:t xml:space="preserve"> - </w:t>
      </w:r>
      <w:hyperlink w:history="0" w:anchor="P194" w:tooltip="30) под &quot;определенным топливом&quot; понимается топливо, которое среди иных видов топлива в многотопливных заводах по сжиганию, использующих дистилляцию и конверсию остатков перегонки сырой нефти для собственных нужд отдельно или совместно с другими видами топлива, имеет наиболее высокое пороговое значение выбросов, как указано в части 1 Приложения V к настоящей Директиве; в случае если несколько видов топлива имеют одинаковое пороговое значение выбросов, под &quot;определенным&quot; понимается топливо с наибольшей теп...">
        <w:r>
          <w:rPr>
            <w:sz w:val="20"/>
            <w:color w:val="0000ff"/>
          </w:rPr>
          <w:t xml:space="preserve">(30)</w:t>
        </w:r>
      </w:hyperlink>
      <w:r>
        <w:rPr>
          <w:sz w:val="20"/>
        </w:rPr>
        <w:t xml:space="preserve">, </w:t>
      </w:r>
      <w:hyperlink w:history="0" w:anchor="P205" w:tooltip="34) под &quot;газовым двигателем&quot; понимается любой двигатель внутреннего сгорания, работающий по циклу Отто, с искровым зажиганием или, в отношении двухтопливного двигателя, с воспламенением от сжатия для сжигания топлива;">
        <w:r>
          <w:rPr>
            <w:sz w:val="20"/>
            <w:color w:val="0000ff"/>
          </w:rPr>
          <w:t xml:space="preserve">(34)</w:t>
        </w:r>
      </w:hyperlink>
      <w:r>
        <w:rPr>
          <w:sz w:val="20"/>
        </w:rPr>
        <w:t xml:space="preserve"> - </w:t>
      </w:r>
      <w:hyperlink w:history="0" w:anchor="P215" w:tooltip="38) под &quot;опасными отходами&quot; понимаются опасные отходы в значении пункта 2 статьи 3 Директивы 2008/98/ЕС;">
        <w:r>
          <w:rPr>
            <w:sz w:val="20"/>
            <w:color w:val="0000ff"/>
          </w:rPr>
          <w:t xml:space="preserve">(38)</w:t>
        </w:r>
      </w:hyperlink>
      <w:r>
        <w:rPr>
          <w:sz w:val="20"/>
        </w:rPr>
        <w:t xml:space="preserve"> и </w:t>
      </w:r>
      <w:hyperlink w:history="0" w:anchor="P221" w:tooltip="41) под &quot;заводом по совместному сжиганию отходов&quot; понимается любой стационарный или перемещаемый технический комплекс, основной задачей которого является производство энергии или производство продукции и в котором отходы используются как основное или дополнительное топливо или подвергаются тепловой обработке с целью их уничтожения; сжигание отходов осуществляется путем оксидации, а также при помощи других видов тепловой обработки, таких как пиролиз, газификация или плазменная обработка, если образующиеся...">
        <w:r>
          <w:rPr>
            <w:sz w:val="20"/>
            <w:color w:val="0000ff"/>
          </w:rPr>
          <w:t xml:space="preserve">(41) статьи 3</w:t>
        </w:r>
      </w:hyperlink>
      <w:r>
        <w:rPr>
          <w:sz w:val="20"/>
        </w:rPr>
        <w:t xml:space="preserve">, </w:t>
      </w:r>
      <w:hyperlink w:history="0" w:anchor="P246" w:tooltip="2. Государства-члены ЕС вправе выдать разрешение на эксплуатацию двух или нескольких установок или частей установок, эксплуатируемых тем же оператором на том же участке.">
        <w:r>
          <w:rPr>
            <w:sz w:val="20"/>
            <w:color w:val="0000ff"/>
          </w:rPr>
          <w:t xml:space="preserve">статьи 4 (2)</w:t>
        </w:r>
      </w:hyperlink>
      <w:r>
        <w:rPr>
          <w:sz w:val="20"/>
        </w:rPr>
        <w:t xml:space="preserve"> и </w:t>
      </w:r>
      <w:hyperlink w:history="0" w:anchor="P248" w:tooltip="3. Государства-члены ЕС вправе выдать разрешение на эксплуатацию нескольких частей установки различными операторами. В таких случаях разрешение должно предусматривать ответственность каждого оператора.">
        <w:r>
          <w:rPr>
            <w:sz w:val="20"/>
            <w:color w:val="0000ff"/>
          </w:rPr>
          <w:t xml:space="preserve">(3)</w:t>
        </w:r>
      </w:hyperlink>
      <w:r>
        <w:rPr>
          <w:sz w:val="20"/>
        </w:rPr>
        <w:t xml:space="preserve">, </w:t>
      </w:r>
      <w:hyperlink w:history="0" w:anchor="P265" w:tooltip="Статья 7">
        <w:r>
          <w:rPr>
            <w:sz w:val="20"/>
            <w:color w:val="0000ff"/>
          </w:rPr>
          <w:t xml:space="preserve">статьи 7</w:t>
        </w:r>
      </w:hyperlink>
      <w:r>
        <w:rPr>
          <w:sz w:val="20"/>
        </w:rPr>
        <w:t xml:space="preserve">, </w:t>
      </w:r>
      <w:hyperlink w:history="0" w:anchor="P277" w:tooltip="Статья 8">
        <w:r>
          <w:rPr>
            <w:sz w:val="20"/>
            <w:color w:val="0000ff"/>
          </w:rPr>
          <w:t xml:space="preserve">статей 8</w:t>
        </w:r>
      </w:hyperlink>
      <w:r>
        <w:rPr>
          <w:sz w:val="20"/>
        </w:rPr>
        <w:t xml:space="preserve"> и </w:t>
      </w:r>
      <w:hyperlink w:history="0" w:anchor="P300" w:tooltip="Статья 10">
        <w:r>
          <w:rPr>
            <w:sz w:val="20"/>
            <w:color w:val="0000ff"/>
          </w:rPr>
          <w:t xml:space="preserve">10</w:t>
        </w:r>
      </w:hyperlink>
      <w:r>
        <w:rPr>
          <w:sz w:val="20"/>
        </w:rPr>
        <w:t xml:space="preserve">, </w:t>
      </w:r>
      <w:hyperlink w:history="0" w:anchor="P315" w:tooltip="e) образующиеся отходы в первоочередном порядке в соответствии с Директивой 2008/98/ЕС готовят для повторного использования, переработки, утилизации или при отсутствии технической и экономической возможности осуществляют их захоронение, предотвращая или сокращая любое воздействие на окружающую среду;">
        <w:r>
          <w:rPr>
            <w:sz w:val="20"/>
            <w:color w:val="0000ff"/>
          </w:rPr>
          <w:t xml:space="preserve">статьи 11 "e"</w:t>
        </w:r>
      </w:hyperlink>
      <w:r>
        <w:rPr>
          <w:sz w:val="20"/>
        </w:rPr>
        <w:t xml:space="preserve"> и </w:t>
      </w:r>
      <w:hyperlink w:history="0" w:anchor="P318" w:tooltip="h) после окончательного прекращения видов деятельности принимаются необходимые меры по предупреждению риска загрязнения и восстановлению участка эксплуатации до удовлетворительного состояния в соответствии со статьей 22 настоящей Директивы.">
        <w:r>
          <w:rPr>
            <w:sz w:val="20"/>
            <w:color w:val="0000ff"/>
          </w:rPr>
          <w:t xml:space="preserve">"h"</w:t>
        </w:r>
      </w:hyperlink>
      <w:r>
        <w:rPr>
          <w:sz w:val="20"/>
        </w:rPr>
        <w:t xml:space="preserve">, </w:t>
      </w:r>
      <w:hyperlink w:history="0" w:anchor="P329" w:tooltip="e) если применимо, базовый отчет в соответствии со статьей 22 (2) настоящей Директивы;">
        <w:r>
          <w:rPr>
            <w:sz w:val="20"/>
            <w:color w:val="0000ff"/>
          </w:rPr>
          <w:t xml:space="preserve">статьи 12 (1) "e"</w:t>
        </w:r>
      </w:hyperlink>
      <w:r>
        <w:rPr>
          <w:sz w:val="20"/>
        </w:rPr>
        <w:t xml:space="preserve"> и </w:t>
      </w:r>
      <w:hyperlink w:history="0" w:anchor="P332" w:tooltip="h) мероприятия по предотвращению образования отходов, а также мероприятия по подготовке к повторному использованию, переработке и утилизации отходов, генерируемых установкой;">
        <w:r>
          <w:rPr>
            <w:sz w:val="20"/>
            <w:color w:val="0000ff"/>
          </w:rPr>
          <w:t xml:space="preserve">"h"</w:t>
        </w:r>
      </w:hyperlink>
      <w:r>
        <w:rPr>
          <w:sz w:val="20"/>
        </w:rPr>
        <w:t xml:space="preserve">, </w:t>
      </w:r>
      <w:hyperlink w:history="0" w:anchor="P358" w:tooltip="7. Вплоть до принятия решения в соответствии с параграфом 5 настоящей статьи, заключения о наилучших доступных технологиях из справочников BAT, принятых Европейской комиссией ранее даты, указанной в статье 83 настоящей Директивы, применяются в качестве заключений BAT в целях настоящей главы, за исключением статьи 15 (3) и (4) настоящей Директивы.">
        <w:r>
          <w:rPr>
            <w:sz w:val="20"/>
            <w:color w:val="0000ff"/>
          </w:rPr>
          <w:t xml:space="preserve">статьи 13 (7)</w:t>
        </w:r>
      </w:hyperlink>
      <w:r>
        <w:rPr>
          <w:sz w:val="20"/>
        </w:rPr>
        <w:t xml:space="preserve">, </w:t>
      </w:r>
      <w:hyperlink w:history="0" w:anchor="P370" w:tooltip="ii) если применяется статья 15 (3) &quot;b&quot; настоящей Директивы, устанавливающие, что результаты мониторинга выбросов доступны в течение тех же сроков и при тех же нормальных условиях, что и уровни выбросов, утвержденные в соответствии с наилучшими доступными технологиями;">
        <w:r>
          <w:rPr>
            <w:sz w:val="20"/>
            <w:color w:val="0000ff"/>
          </w:rPr>
          <w:t xml:space="preserve">пункта "ii" статьи 14 (1) "c"</w:t>
        </w:r>
      </w:hyperlink>
      <w:r>
        <w:rPr>
          <w:sz w:val="20"/>
        </w:rPr>
        <w:t xml:space="preserve">, </w:t>
      </w:r>
      <w:hyperlink w:history="0" w:anchor="P371" w:tooltip="d) обязательство предоставлять компетентному органу регулярно и по крайней мере ежегодно:">
        <w:r>
          <w:rPr>
            <w:sz w:val="20"/>
            <w:color w:val="0000ff"/>
          </w:rPr>
          <w:t xml:space="preserve">пунктов "d"</w:t>
        </w:r>
      </w:hyperlink>
      <w:r>
        <w:rPr>
          <w:sz w:val="20"/>
        </w:rPr>
        <w:t xml:space="preserve">, </w:t>
      </w:r>
      <w:hyperlink w:history="0" w:anchor="P374" w:tooltip="e) надлежащие требования к регулярному обслуживанию, а также к регулярному наблюдению за применением мер по предупреждению выбросов в почву и грунтовые воды в соответствии с пунктом &quot;b&quot; настоящего подпараграфа, а также надлежащие требования к проведению периодического мониторинга почв и грунтовых вод на предмет наличия на участке опасных веществ и на предмет возможного загрязнения почв и грунтовых вод на участке установки;">
        <w:r>
          <w:rPr>
            <w:sz w:val="20"/>
            <w:color w:val="0000ff"/>
          </w:rPr>
          <w:t xml:space="preserve">"e"</w:t>
        </w:r>
      </w:hyperlink>
      <w:r>
        <w:rPr>
          <w:sz w:val="20"/>
        </w:rPr>
        <w:t xml:space="preserve">, </w:t>
      </w:r>
      <w:hyperlink w:history="0" w:anchor="P375" w:tooltip="f) мероприятия, связанные с условиями, отличными от нормальных, в частности, с периодами включения и отключения, утечками, нарушениями функционирования, кратковременными перебоями и окончательным прекращением функционирования;">
        <w:r>
          <w:rPr>
            <w:sz w:val="20"/>
            <w:color w:val="0000ff"/>
          </w:rPr>
          <w:t xml:space="preserve">"f"</w:t>
        </w:r>
      </w:hyperlink>
      <w:r>
        <w:rPr>
          <w:sz w:val="20"/>
        </w:rPr>
        <w:t xml:space="preserve"> и </w:t>
      </w:r>
      <w:hyperlink w:history="0" w:anchor="P377" w:tooltip="h) условия оценки соблюдения пороговых значений выбросов или ссылка на применяемые требования, определенные в иных документах.">
        <w:r>
          <w:rPr>
            <w:sz w:val="20"/>
            <w:color w:val="0000ff"/>
          </w:rPr>
          <w:t xml:space="preserve">"h" статьи 14 (1)</w:t>
        </w:r>
      </w:hyperlink>
      <w:r>
        <w:rPr>
          <w:sz w:val="20"/>
        </w:rPr>
        <w:t xml:space="preserve">, </w:t>
      </w:r>
      <w:hyperlink w:history="0" w:anchor="P378" w:tooltip="2. В целях параграфа 1 &quot;a&quot; настоящей статьи пороговые значения выбросов могут быть дополнены или заменены эквивалентными параметрами или техническими мероприятиями, обеспечивающими эквивалентный уровень защиты окружающей среды.">
        <w:r>
          <w:rPr>
            <w:sz w:val="20"/>
            <w:color w:val="0000ff"/>
          </w:rPr>
          <w:t xml:space="preserve">статьи 14 (2)</w:t>
        </w:r>
      </w:hyperlink>
      <w:r>
        <w:rPr>
          <w:sz w:val="20"/>
        </w:rPr>
        <w:t xml:space="preserve"> - </w:t>
      </w:r>
      <w:hyperlink w:history="0" w:anchor="P386" w:tooltip="7. По отношению к установкам, предусмотренным в пункте 6.6 Приложения I к настоящей Директиве, параграфы 1 - 6 настоящей статьи применяются без ущерба действию законодательства о защите благосостояния животных.">
        <w:r>
          <w:rPr>
            <w:sz w:val="20"/>
            <w:color w:val="0000ff"/>
          </w:rPr>
          <w:t xml:space="preserve">(7)</w:t>
        </w:r>
      </w:hyperlink>
      <w:r>
        <w:rPr>
          <w:sz w:val="20"/>
        </w:rPr>
        <w:t xml:space="preserve">, </w:t>
      </w:r>
      <w:hyperlink w:history="0" w:anchor="P395" w:tooltip="2. Без ущерба действия статьи 18 настоящей Директивы пороговые значения выбросов, эквивалентные параметры и технические мероприятия, предусмотренные в статье 14 (1) и (2) настоящей Директивы, должны быть основаны на наилучших доступных технологиях; при этом не предписывается использование определенных технологий.">
        <w:r>
          <w:rPr>
            <w:sz w:val="20"/>
            <w:color w:val="0000ff"/>
          </w:rPr>
          <w:t xml:space="preserve">статьи 15 (2)</w:t>
        </w:r>
      </w:hyperlink>
      <w:r>
        <w:rPr>
          <w:sz w:val="20"/>
        </w:rPr>
        <w:t xml:space="preserve"> - </w:t>
      </w:r>
      <w:hyperlink w:history="0" w:anchor="P408" w:tooltip="5. Компетентный орган вправе допустить временное частичное отступление от требований параграфов 2 и 3 настоящей статьи, а также от требований статьи 11 &quot;a&quot; и &quot;b&quot; настоящей Директивы в отношении тестирования и использования появляющихся технологий на весь период, не превышающий девяти месяцев, при условии, что по окончании указанного периода применение технологии прекращено или обеспечено достижение как минимум уровней выбросов, утвержденных в соответствии с наилучшими доступными технологиями.">
        <w:r>
          <w:rPr>
            <w:sz w:val="20"/>
            <w:color w:val="0000ff"/>
          </w:rPr>
          <w:t xml:space="preserve">(5)</w:t>
        </w:r>
      </w:hyperlink>
      <w:r>
        <w:rPr>
          <w:sz w:val="20"/>
        </w:rPr>
        <w:t xml:space="preserve">, </w:t>
      </w:r>
      <w:hyperlink w:history="0" w:anchor="P410" w:tooltip="Статья 16">
        <w:r>
          <w:rPr>
            <w:sz w:val="20"/>
            <w:color w:val="0000ff"/>
          </w:rPr>
          <w:t xml:space="preserve">статей 16</w:t>
        </w:r>
      </w:hyperlink>
      <w:r>
        <w:rPr>
          <w:sz w:val="20"/>
        </w:rPr>
        <w:t xml:space="preserve">, </w:t>
      </w:r>
      <w:hyperlink w:history="0" w:anchor="P418" w:tooltip="Статья 17">
        <w:r>
          <w:rPr>
            <w:sz w:val="20"/>
            <w:color w:val="0000ff"/>
          </w:rPr>
          <w:t xml:space="preserve">17</w:t>
        </w:r>
      </w:hyperlink>
      <w:r>
        <w:rPr>
          <w:sz w:val="20"/>
        </w:rPr>
        <w:t xml:space="preserve"> и </w:t>
      </w:r>
      <w:hyperlink w:history="0" w:anchor="P434" w:tooltip="Статья 19">
        <w:r>
          <w:rPr>
            <w:sz w:val="20"/>
            <w:color w:val="0000ff"/>
          </w:rPr>
          <w:t xml:space="preserve">19</w:t>
        </w:r>
      </w:hyperlink>
      <w:r>
        <w:rPr>
          <w:sz w:val="20"/>
        </w:rPr>
        <w:t xml:space="preserve">, </w:t>
      </w:r>
      <w:hyperlink w:history="0" w:anchor="P455" w:tooltip="2. По запросу компетентного органа оператор передает всю информацию, необходимую для пересмотра условий разрешений, в том числе, в частности, результаты мониторинга выбросов и иные данные, позволяющие сравнить функционирование установки с наилучшими доступными технологиями, описанными в применяемых заключениях BAT, а также с уровнями выбросов, утвержденными в соответствии с наилучшими доступными технологиями.">
        <w:r>
          <w:rPr>
            <w:sz w:val="20"/>
            <w:color w:val="0000ff"/>
          </w:rPr>
          <w:t xml:space="preserve">статьи 21 (2)</w:t>
        </w:r>
      </w:hyperlink>
      <w:r>
        <w:rPr>
          <w:sz w:val="20"/>
        </w:rPr>
        <w:t xml:space="preserve"> - </w:t>
      </w:r>
      <w:hyperlink w:history="0" w:anchor="P462" w:tooltip="5. Условия разрешения должны быть пересмотрены и при необходимости изменены как минимум в следующих случаях:">
        <w:r>
          <w:rPr>
            <w:sz w:val="20"/>
            <w:color w:val="0000ff"/>
          </w:rPr>
          <w:t xml:space="preserve">(5)</w:t>
        </w:r>
      </w:hyperlink>
      <w:r>
        <w:rPr>
          <w:sz w:val="20"/>
        </w:rPr>
        <w:t xml:space="preserve">, </w:t>
      </w:r>
      <w:hyperlink w:history="0" w:anchor="P467" w:tooltip="Статья 22">
        <w:r>
          <w:rPr>
            <w:sz w:val="20"/>
            <w:color w:val="0000ff"/>
          </w:rPr>
          <w:t xml:space="preserve">статей 22</w:t>
        </w:r>
      </w:hyperlink>
      <w:r>
        <w:rPr>
          <w:sz w:val="20"/>
        </w:rPr>
        <w:t xml:space="preserve">, </w:t>
      </w:r>
      <w:hyperlink w:history="0" w:anchor="P486" w:tooltip="Статья 23">
        <w:r>
          <w:rPr>
            <w:sz w:val="20"/>
            <w:color w:val="0000ff"/>
          </w:rPr>
          <w:t xml:space="preserve">23</w:t>
        </w:r>
      </w:hyperlink>
      <w:r>
        <w:rPr>
          <w:sz w:val="20"/>
        </w:rPr>
        <w:t xml:space="preserve">, </w:t>
      </w:r>
      <w:hyperlink w:history="0" w:anchor="P519" w:tooltip="Статья 24">
        <w:r>
          <w:rPr>
            <w:sz w:val="20"/>
            <w:color w:val="0000ff"/>
          </w:rPr>
          <w:t xml:space="preserve">24</w:t>
        </w:r>
      </w:hyperlink>
      <w:r>
        <w:rPr>
          <w:sz w:val="20"/>
        </w:rPr>
        <w:t xml:space="preserve">, </w:t>
      </w:r>
      <w:hyperlink w:history="0" w:anchor="P567" w:tooltip="Статья 27">
        <w:r>
          <w:rPr>
            <w:sz w:val="20"/>
            <w:color w:val="0000ff"/>
          </w:rPr>
          <w:t xml:space="preserve">27</w:t>
        </w:r>
      </w:hyperlink>
      <w:r>
        <w:rPr>
          <w:sz w:val="20"/>
        </w:rPr>
        <w:t xml:space="preserve">, </w:t>
      </w:r>
      <w:hyperlink w:history="0" w:anchor="P576" w:tooltip="Статья 28">
        <w:r>
          <w:rPr>
            <w:sz w:val="20"/>
            <w:color w:val="0000ff"/>
          </w:rPr>
          <w:t xml:space="preserve">28</w:t>
        </w:r>
      </w:hyperlink>
      <w:r>
        <w:rPr>
          <w:sz w:val="20"/>
        </w:rPr>
        <w:t xml:space="preserve"> и </w:t>
      </w:r>
      <w:hyperlink w:history="0" w:anchor="P593" w:tooltip="Статья 29">
        <w:r>
          <w:rPr>
            <w:sz w:val="20"/>
            <w:color w:val="0000ff"/>
          </w:rPr>
          <w:t xml:space="preserve">29</w:t>
        </w:r>
      </w:hyperlink>
      <w:r>
        <w:rPr>
          <w:sz w:val="20"/>
        </w:rPr>
        <w:t xml:space="preserve">, </w:t>
      </w:r>
      <w:hyperlink w:history="0" w:anchor="P605" w:tooltip="1. Выброс газообразных отходов от заводов по сжиганию осуществляется под контролем через дымовую трубу, содержащую один или несколько газоходов, высота которых исчисляется таким образом, чтобы обеспечить защиту здоровья человека и окружающей среды.">
        <w:r>
          <w:rPr>
            <w:sz w:val="20"/>
            <w:color w:val="0000ff"/>
          </w:rPr>
          <w:t xml:space="preserve">статьи 30 (1)</w:t>
        </w:r>
      </w:hyperlink>
      <w:r>
        <w:rPr>
          <w:sz w:val="20"/>
        </w:rPr>
        <w:t xml:space="preserve">, </w:t>
      </w:r>
      <w:hyperlink w:history="0" w:anchor="P606" w:tooltip="2. Все разрешения на установки, содержащие заводы по сжиганию, разрешение на которые были выданы до 7 января 2013 г., или операторы которых подали полностью оформленное заявление на выдачу разрешения до указанной даты, при условии, что такие заводы введены в эксплуатацию не позднее 7 января 2014 г., должны содержать условия, гарантирующие, что выбросы в воздух от таких заводов не превышают пороговые значения выбросов, установленные в части 1 Приложения V к настоящей Директиве.">
        <w:r>
          <w:rPr>
            <w:sz w:val="20"/>
            <w:color w:val="0000ff"/>
          </w:rPr>
          <w:t xml:space="preserve">(2)</w:t>
        </w:r>
      </w:hyperlink>
      <w:r>
        <w:rPr>
          <w:sz w:val="20"/>
        </w:rPr>
        <w:t xml:space="preserve">, </w:t>
      </w:r>
      <w:hyperlink w:history="0" w:anchor="P608" w:tooltip="3. Все разрешения на установки, содержащие заводы по сжиганию, на которые не распространяется действие параграфа 2 настоящей статьи, должны содержать условия, гарантирующие, что выбросы в воздух от таких заводов не превышают пороговые значения выбросов, установленные в части 2 Приложения V к настоящей Директиве.">
        <w:r>
          <w:rPr>
            <w:sz w:val="20"/>
            <w:color w:val="0000ff"/>
          </w:rPr>
          <w:t xml:space="preserve">(3)</w:t>
        </w:r>
      </w:hyperlink>
      <w:r>
        <w:rPr>
          <w:sz w:val="20"/>
        </w:rPr>
        <w:t xml:space="preserve">, </w:t>
      </w:r>
      <w:hyperlink w:history="0" w:anchor="P609" w:tooltip="4. Пороговые значения выбросов, установленные в частях 1 и 2 Приложения V к настоящей Директиве, а также минимальные коэффициенты десульфуризации, установленные в части 5 этого Приложения, применяются к выбросам из каждой дымовой трубы в отношении к совокупной номинальной тепловой мощности всего завода по сжиганию. В случае если, согласно Приложению V к настоящей Директиве, пороговые значения выбросов могут применяться к части завода по сжиганию с ограниченным количеством часов эксплуатации, такие порого...">
        <w:r>
          <w:rPr>
            <w:sz w:val="20"/>
            <w:color w:val="0000ff"/>
          </w:rPr>
          <w:t xml:space="preserve">(4)</w:t>
        </w:r>
      </w:hyperlink>
      <w:r>
        <w:rPr>
          <w:sz w:val="20"/>
        </w:rPr>
        <w:t xml:space="preserve">, </w:t>
      </w:r>
      <w:hyperlink w:history="0" w:anchor="P615" w:tooltip="7. При расширении завода по сжиганию пороговые значения выбросов, установленные в части 2 Приложения V к настоящей Директиве, применяются к части, подвергшейся изменению, и устанавливаются в отношении к совокупной номинальной тепловой мощности всего завода по сжиганию. При изменениях завода по сжиганию, имеющих последствия для окружающей среды и оказывающих влияние на часть завода с номинальной тепловой мощностью 50 MW или более, пороговые значения выбросов, установленные в части 2 Приложения V к настоящ...">
        <w:r>
          <w:rPr>
            <w:sz w:val="20"/>
            <w:color w:val="0000ff"/>
          </w:rPr>
          <w:t xml:space="preserve">(7)</w:t>
        </w:r>
      </w:hyperlink>
      <w:r>
        <w:rPr>
          <w:sz w:val="20"/>
        </w:rPr>
        <w:t xml:space="preserve"> и </w:t>
      </w:r>
      <w:hyperlink w:history="0" w:anchor="P616" w:tooltip="8. Пороговые значения выбросов, установленные в частях 1 и 2 Приложения V к настоящей Директиве, не применяются к следующим заводам по сжиганию:">
        <w:r>
          <w:rPr>
            <w:sz w:val="20"/>
            <w:color w:val="0000ff"/>
          </w:rPr>
          <w:t xml:space="preserve">(8)</w:t>
        </w:r>
      </w:hyperlink>
      <w:r>
        <w:rPr>
          <w:sz w:val="20"/>
        </w:rPr>
        <w:t xml:space="preserve">, </w:t>
      </w:r>
      <w:hyperlink w:history="0" w:anchor="P626" w:tooltip="Статья 31">
        <w:r>
          <w:rPr>
            <w:sz w:val="20"/>
            <w:color w:val="0000ff"/>
          </w:rPr>
          <w:t xml:space="preserve">статей 31</w:t>
        </w:r>
      </w:hyperlink>
      <w:r>
        <w:rPr>
          <w:sz w:val="20"/>
        </w:rPr>
        <w:t xml:space="preserve">, </w:t>
      </w:r>
      <w:hyperlink w:history="0" w:anchor="P645" w:tooltip="Статья 32">
        <w:r>
          <w:rPr>
            <w:sz w:val="20"/>
            <w:color w:val="0000ff"/>
          </w:rPr>
          <w:t xml:space="preserve">32</w:t>
        </w:r>
      </w:hyperlink>
      <w:r>
        <w:rPr>
          <w:sz w:val="20"/>
        </w:rPr>
        <w:t xml:space="preserve">, </w:t>
      </w:r>
      <w:hyperlink w:history="0" w:anchor="P667" w:tooltip="Статья 33">
        <w:r>
          <w:rPr>
            <w:sz w:val="20"/>
            <w:color w:val="0000ff"/>
          </w:rPr>
          <w:t xml:space="preserve">33</w:t>
        </w:r>
      </w:hyperlink>
      <w:r>
        <w:rPr>
          <w:sz w:val="20"/>
        </w:rPr>
        <w:t xml:space="preserve">, </w:t>
      </w:r>
      <w:hyperlink w:history="0" w:anchor="P681" w:tooltip="Статья 34">
        <w:r>
          <w:rPr>
            <w:sz w:val="20"/>
            <w:color w:val="0000ff"/>
          </w:rPr>
          <w:t xml:space="preserve">34</w:t>
        </w:r>
      </w:hyperlink>
      <w:r>
        <w:rPr>
          <w:sz w:val="20"/>
        </w:rPr>
        <w:t xml:space="preserve">, </w:t>
      </w:r>
      <w:hyperlink w:history="0" w:anchor="P689" w:tooltip="Статья 35">
        <w:r>
          <w:rPr>
            <w:sz w:val="20"/>
            <w:color w:val="0000ff"/>
          </w:rPr>
          <w:t xml:space="preserve">35</w:t>
        </w:r>
      </w:hyperlink>
      <w:r>
        <w:rPr>
          <w:sz w:val="20"/>
        </w:rPr>
        <w:t xml:space="preserve">, </w:t>
      </w:r>
      <w:hyperlink w:history="0" w:anchor="P700" w:tooltip="Статья 36">
        <w:r>
          <w:rPr>
            <w:sz w:val="20"/>
            <w:color w:val="0000ff"/>
          </w:rPr>
          <w:t xml:space="preserve">36</w:t>
        </w:r>
      </w:hyperlink>
      <w:r>
        <w:rPr>
          <w:sz w:val="20"/>
        </w:rPr>
        <w:t xml:space="preserve">, </w:t>
      </w:r>
      <w:hyperlink w:history="0" w:anchor="P725" w:tooltip="Статья 38">
        <w:r>
          <w:rPr>
            <w:sz w:val="20"/>
            <w:color w:val="0000ff"/>
          </w:rPr>
          <w:t xml:space="preserve">38</w:t>
        </w:r>
      </w:hyperlink>
      <w:r>
        <w:rPr>
          <w:sz w:val="20"/>
        </w:rPr>
        <w:t xml:space="preserve"> и </w:t>
      </w:r>
      <w:hyperlink w:history="0" w:anchor="P734" w:tooltip="Статья 39">
        <w:r>
          <w:rPr>
            <w:sz w:val="20"/>
            <w:color w:val="0000ff"/>
          </w:rPr>
          <w:t xml:space="preserve">39</w:t>
        </w:r>
      </w:hyperlink>
      <w:r>
        <w:rPr>
          <w:sz w:val="20"/>
        </w:rPr>
        <w:t xml:space="preserve">, </w:t>
      </w:r>
      <w:hyperlink w:history="0" w:anchor="P748" w:tooltip="2. В отношении многотопливных заводов по сжиганию, подпадающих под действие статьи 30 (2) настоящей Директивы и использующих дистилляцию и конверсию остатков перегонки сырой нефти для собственных нужд отдельно или совместно с другими видами топлива, применяются следующие пороговые значения выбросов, установленные в соответствии с параграфом 1 настоящей статьи:">
        <w:r>
          <w:rPr>
            <w:sz w:val="20"/>
            <w:color w:val="0000ff"/>
          </w:rPr>
          <w:t xml:space="preserve">статьи 40 (2)</w:t>
        </w:r>
      </w:hyperlink>
      <w:r>
        <w:rPr>
          <w:sz w:val="20"/>
        </w:rPr>
        <w:t xml:space="preserve"> и </w:t>
      </w:r>
      <w:hyperlink w:history="0" w:anchor="P755" w:tooltip="3. В отношении многотопливных заводов по сжиганию, подпадающих под действие статьи 30 (2) настоящей Директивы и использующих дистилляцию и конверсию остатков перегонки сырой нефти для собственных нужд отдельно или совместно с другими видами топлива, вместо пороговых значений выбросов, определенных в соответствии с параграфами 1 и 2 настоящей статьи, могут применяться средние пороговые значения выбросов для диоксида серы, указанные в части 7 Приложения V к настоящей Директиве.">
        <w:r>
          <w:rPr>
            <w:sz w:val="20"/>
            <w:color w:val="0000ff"/>
          </w:rPr>
          <w:t xml:space="preserve">(3)</w:t>
        </w:r>
      </w:hyperlink>
      <w:r>
        <w:rPr>
          <w:sz w:val="20"/>
        </w:rPr>
        <w:t xml:space="preserve">, </w:t>
      </w:r>
      <w:hyperlink w:history="0" w:anchor="P769" w:tooltip="Статья 42">
        <w:r>
          <w:rPr>
            <w:sz w:val="20"/>
            <w:color w:val="0000ff"/>
          </w:rPr>
          <w:t xml:space="preserve">статей 42</w:t>
        </w:r>
      </w:hyperlink>
      <w:r>
        <w:rPr>
          <w:sz w:val="20"/>
        </w:rPr>
        <w:t xml:space="preserve"> и </w:t>
      </w:r>
      <w:hyperlink w:history="0" w:anchor="P789" w:tooltip="Статья 43">
        <w:r>
          <w:rPr>
            <w:sz w:val="20"/>
            <w:color w:val="0000ff"/>
          </w:rPr>
          <w:t xml:space="preserve">43</w:t>
        </w:r>
      </w:hyperlink>
      <w:r>
        <w:rPr>
          <w:sz w:val="20"/>
        </w:rPr>
        <w:t xml:space="preserve">, </w:t>
      </w:r>
      <w:hyperlink w:history="0" w:anchor="P809" w:tooltip="1. Разрешение включает следующие сведения:">
        <w:r>
          <w:rPr>
            <w:sz w:val="20"/>
            <w:color w:val="0000ff"/>
          </w:rPr>
          <w:t xml:space="preserve">статьи 45 (1)</w:t>
        </w:r>
      </w:hyperlink>
      <w:r>
        <w:rPr>
          <w:sz w:val="20"/>
        </w:rPr>
        <w:t xml:space="preserve">, </w:t>
      </w:r>
      <w:hyperlink w:history="0" w:anchor="P970" w:tooltip="Статья 58">
        <w:r>
          <w:rPr>
            <w:sz w:val="20"/>
            <w:color w:val="0000ff"/>
          </w:rPr>
          <w:t xml:space="preserve">статьи 58</w:t>
        </w:r>
      </w:hyperlink>
      <w:r>
        <w:rPr>
          <w:sz w:val="20"/>
        </w:rPr>
        <w:t xml:space="preserve">, </w:t>
      </w:r>
      <w:hyperlink w:history="0" w:anchor="P988" w:tooltip="5. Выбросы летучих органических соединений, которые должны иметь обозначения опасности H340, H350, H350i, H360D или H360F, либо галогенированные летучие органические соединения, которые должны иметь обозначения опасности H341 или H351, осуществляются под контролем при условиях использования, насколько это экономически и технически возможно, в целях охраны общественного здоровья и окружающей среды и не должны превышать соответствующие пороговые значения выбросов, установленные частью 4 Приложения VII к на...">
        <w:r>
          <w:rPr>
            <w:sz w:val="20"/>
            <w:color w:val="0000ff"/>
          </w:rPr>
          <w:t xml:space="preserve">статьи 59 (5)</w:t>
        </w:r>
      </w:hyperlink>
      <w:r>
        <w:rPr>
          <w:sz w:val="20"/>
        </w:rPr>
        <w:t xml:space="preserve">, </w:t>
      </w:r>
      <w:hyperlink w:history="0" w:anchor="P1018" w:tooltip="Статья 63">
        <w:r>
          <w:rPr>
            <w:sz w:val="20"/>
            <w:color w:val="0000ff"/>
          </w:rPr>
          <w:t xml:space="preserve">статьи 63</w:t>
        </w:r>
      </w:hyperlink>
      <w:r>
        <w:rPr>
          <w:sz w:val="20"/>
        </w:rPr>
        <w:t xml:space="preserve">, </w:t>
      </w:r>
      <w:hyperlink w:history="0" w:anchor="P1047" w:tooltip="3. Параграфы 1 и 2 настоящей статьи применяются с учетом ограничений, установленных в статье 4 (1) и (2) Директивы 2003/4/ЕС.">
        <w:r>
          <w:rPr>
            <w:sz w:val="20"/>
            <w:color w:val="0000ff"/>
          </w:rPr>
          <w:t xml:space="preserve">статьи 65 (3)</w:t>
        </w:r>
      </w:hyperlink>
      <w:r>
        <w:rPr>
          <w:sz w:val="20"/>
        </w:rPr>
        <w:t xml:space="preserve">, </w:t>
      </w:r>
      <w:hyperlink w:history="0" w:anchor="P1074" w:tooltip="Статья 69">
        <w:r>
          <w:rPr>
            <w:sz w:val="20"/>
            <w:color w:val="0000ff"/>
          </w:rPr>
          <w:t xml:space="preserve">статей 69</w:t>
        </w:r>
      </w:hyperlink>
      <w:r>
        <w:rPr>
          <w:sz w:val="20"/>
        </w:rPr>
        <w:t xml:space="preserve">, </w:t>
      </w:r>
      <w:hyperlink w:history="0" w:anchor="P1081" w:tooltip="Статья 70">
        <w:r>
          <w:rPr>
            <w:sz w:val="20"/>
            <w:color w:val="0000ff"/>
          </w:rPr>
          <w:t xml:space="preserve">70</w:t>
        </w:r>
      </w:hyperlink>
      <w:r>
        <w:rPr>
          <w:sz w:val="20"/>
        </w:rPr>
        <w:t xml:space="preserve">, </w:t>
      </w:r>
      <w:hyperlink w:history="0" w:anchor="P1091" w:tooltip="Статья 71">
        <w:r>
          <w:rPr>
            <w:sz w:val="20"/>
            <w:color w:val="0000ff"/>
          </w:rPr>
          <w:t xml:space="preserve">71</w:t>
        </w:r>
      </w:hyperlink>
      <w:r>
        <w:rPr>
          <w:sz w:val="20"/>
        </w:rPr>
        <w:t xml:space="preserve">, </w:t>
      </w:r>
      <w:hyperlink w:history="0" w:anchor="P1097" w:tooltip="Статья 72">
        <w:r>
          <w:rPr>
            <w:sz w:val="20"/>
            <w:color w:val="0000ff"/>
          </w:rPr>
          <w:t xml:space="preserve">72</w:t>
        </w:r>
      </w:hyperlink>
      <w:r>
        <w:rPr>
          <w:sz w:val="20"/>
        </w:rPr>
        <w:t xml:space="preserve"> и </w:t>
      </w:r>
      <w:hyperlink w:history="0" w:anchor="P1179" w:tooltip="Статья 79">
        <w:r>
          <w:rPr>
            <w:sz w:val="20"/>
            <w:color w:val="0000ff"/>
          </w:rPr>
          <w:t xml:space="preserve">79</w:t>
        </w:r>
      </w:hyperlink>
      <w:r>
        <w:rPr>
          <w:sz w:val="20"/>
        </w:rPr>
        <w:t xml:space="preserve">, а также для соблюдения </w:t>
      </w:r>
      <w:hyperlink w:history="0" w:anchor="P1253" w:tooltip="Пороговые значения, установленные ниже, относятся к производственным мощностям или объемам выпуска. При осуществлении одной установкой нескольких видов деятельности, подпадающих под одно и то же описание пороговых значений, производственные мощности таких видов деятельности складываются. В отношении деятельности по управлению отходами данное правило применяется на уровне видов деятельности, указанных в пунктах 5.1, 5.3 &quot;a&quot; и 5.3 &quot;b&quot; настоящего Приложения.">
        <w:r>
          <w:rPr>
            <w:sz w:val="20"/>
            <w:color w:val="0000ff"/>
          </w:rPr>
          <w:t xml:space="preserve">первого подпараграфа</w:t>
        </w:r>
      </w:hyperlink>
      <w:r>
        <w:rPr>
          <w:sz w:val="20"/>
        </w:rPr>
        <w:t xml:space="preserve"> и </w:t>
      </w:r>
      <w:hyperlink w:history="0" w:anchor="P1258" w:tooltip="1.1. Сжигание топлива в установках с номинальной тепловой мощностью 50 MW или более">
        <w:r>
          <w:rPr>
            <w:sz w:val="20"/>
            <w:color w:val="0000ff"/>
          </w:rPr>
          <w:t xml:space="preserve">пунктов 1.1</w:t>
        </w:r>
      </w:hyperlink>
      <w:r>
        <w:rPr>
          <w:sz w:val="20"/>
        </w:rPr>
        <w:t xml:space="preserve">, </w:t>
      </w:r>
      <w:hyperlink w:history="0" w:anchor="P1261" w:tooltip="1.4. Газификация или сжижение:">
        <w:r>
          <w:rPr>
            <w:sz w:val="20"/>
            <w:color w:val="0000ff"/>
          </w:rPr>
          <w:t xml:space="preserve">1.4</w:t>
        </w:r>
      </w:hyperlink>
      <w:r>
        <w:rPr>
          <w:sz w:val="20"/>
        </w:rPr>
        <w:t xml:space="preserve">, </w:t>
      </w:r>
      <w:hyperlink w:history="0" w:anchor="P1274" w:tooltip="b) выплавка, включая легирование, цветных металлов, в том числе извлеченных продуктов, и эксплуатация литейных цехов черных металлов с плавильной мощностью, превышающей 4 тонны в день для свинца и кадмия или 20 тонн в день для всех других металлов.">
        <w:r>
          <w:rPr>
            <w:sz w:val="20"/>
            <w:color w:val="0000ff"/>
          </w:rPr>
          <w:t xml:space="preserve">2.5 "b"</w:t>
        </w:r>
      </w:hyperlink>
      <w:r>
        <w:rPr>
          <w:sz w:val="20"/>
        </w:rPr>
        <w:t xml:space="preserve">, </w:t>
      </w:r>
      <w:hyperlink w:history="0" w:anchor="P1277" w:tooltip="3.1. Производство цемента, извести и магнезии:">
        <w:r>
          <w:rPr>
            <w:sz w:val="20"/>
            <w:color w:val="0000ff"/>
          </w:rPr>
          <w:t xml:space="preserve">3.1</w:t>
        </w:r>
      </w:hyperlink>
      <w:r>
        <w:rPr>
          <w:sz w:val="20"/>
        </w:rPr>
        <w:t xml:space="preserve">, </w:t>
      </w:r>
      <w:hyperlink w:history="0" w:anchor="P1285" w:tooltip="4. Химическая промышленность">
        <w:r>
          <w:rPr>
            <w:sz w:val="20"/>
            <w:color w:val="0000ff"/>
          </w:rPr>
          <w:t xml:space="preserve">4</w:t>
        </w:r>
      </w:hyperlink>
      <w:r>
        <w:rPr>
          <w:sz w:val="20"/>
        </w:rPr>
        <w:t xml:space="preserve">, </w:t>
      </w:r>
      <w:hyperlink w:history="0" w:anchor="P1309" w:tooltip="5. Управление отходами">
        <w:r>
          <w:rPr>
            <w:sz w:val="20"/>
            <w:color w:val="0000ff"/>
          </w:rPr>
          <w:t xml:space="preserve">5</w:t>
        </w:r>
      </w:hyperlink>
      <w:r>
        <w:rPr>
          <w:sz w:val="20"/>
        </w:rPr>
        <w:t xml:space="preserve">, </w:t>
      </w:r>
      <w:hyperlink w:history="0" w:anchor="P1350" w:tooltip="c) одного или нескольких видов древесных плит: ориентированно-стружечная плита, древесностружечная плита или древесно-волокнистая плита с производственной мощностью, превышающей 600 куб. м в день.">
        <w:r>
          <w:rPr>
            <w:sz w:val="20"/>
            <w:color w:val="0000ff"/>
          </w:rPr>
          <w:t xml:space="preserve">6.1 "c"</w:t>
        </w:r>
      </w:hyperlink>
      <w:r>
        <w:rPr>
          <w:sz w:val="20"/>
        </w:rPr>
        <w:t xml:space="preserve">, </w:t>
      </w:r>
      <w:hyperlink w:history="0" w:anchor="P1354" w:tooltip="b) Обработка и переработка, за исключением упаковки, следующего сырья независимо от его предыдущей обработки с целью производства пищевых продуктов или кормов из:">
        <w:r>
          <w:rPr>
            <w:sz w:val="20"/>
            <w:color w:val="0000ff"/>
          </w:rPr>
          <w:t xml:space="preserve">6.4 "b"</w:t>
        </w:r>
      </w:hyperlink>
      <w:r>
        <w:rPr>
          <w:sz w:val="20"/>
        </w:rPr>
        <w:t xml:space="preserve">, </w:t>
      </w:r>
      <w:hyperlink w:history="0" w:anchor="P1412" w:tooltip="6.10. Сохранение лесов и лесоматериалов химическими веществами с производственной мощностью, превышающей 75 куб. м в день, за исключением обработки против сини.">
        <w:r>
          <w:rPr>
            <w:sz w:val="20"/>
            <w:color w:val="0000ff"/>
          </w:rPr>
          <w:t xml:space="preserve">6.10</w:t>
        </w:r>
      </w:hyperlink>
      <w:r>
        <w:rPr>
          <w:sz w:val="20"/>
        </w:rPr>
        <w:t xml:space="preserve"> и </w:t>
      </w:r>
      <w:hyperlink w:history="0" w:anchor="P1413" w:tooltip="6.11. Не подпадающая под действие Директивы 91/271/ЕС обособленная обработка сточных вод, которые сбрасываются в соответствии с главой II настоящей Директивы.">
        <w:r>
          <w:rPr>
            <w:sz w:val="20"/>
            <w:color w:val="0000ff"/>
          </w:rPr>
          <w:t xml:space="preserve">6.11</w:t>
        </w:r>
      </w:hyperlink>
      <w:r>
        <w:rPr>
          <w:sz w:val="20"/>
        </w:rPr>
        <w:t xml:space="preserve"> Приложения I, </w:t>
      </w:r>
      <w:hyperlink w:history="0" w:anchor="P1421" w:tooltip="СПИСОК">
        <w:r>
          <w:rPr>
            <w:sz w:val="20"/>
            <w:color w:val="0000ff"/>
          </w:rPr>
          <w:t xml:space="preserve">Приложения II</w:t>
        </w:r>
      </w:hyperlink>
      <w:r>
        <w:rPr>
          <w:sz w:val="20"/>
        </w:rPr>
        <w:t xml:space="preserve">, </w:t>
      </w:r>
      <w:hyperlink w:history="0" w:anchor="P1476" w:tooltip="12. информация, публикуемая общественными международными организациями.">
        <w:r>
          <w:rPr>
            <w:sz w:val="20"/>
            <w:color w:val="0000ff"/>
          </w:rPr>
          <w:t xml:space="preserve">пункта 12</w:t>
        </w:r>
      </w:hyperlink>
      <w:r>
        <w:rPr>
          <w:sz w:val="20"/>
        </w:rPr>
        <w:t xml:space="preserve"> Приложения III, </w:t>
      </w:r>
      <w:hyperlink w:history="0" w:anchor="P1507" w:tooltip="ТЕХНИЧЕСКИЕ ХАРАКТЕРИСТИКИ">
        <w:r>
          <w:rPr>
            <w:sz w:val="20"/>
            <w:color w:val="0000ff"/>
          </w:rPr>
          <w:t xml:space="preserve">Приложения V</w:t>
        </w:r>
      </w:hyperlink>
      <w:r>
        <w:rPr>
          <w:sz w:val="20"/>
        </w:rPr>
        <w:t xml:space="preserve">, </w:t>
      </w:r>
      <w:hyperlink w:history="0" w:anchor="P2086" w:tooltip="b) под &quot;новым заводом по сжиганию отходов&quot; понимается завод по сжиганию отходов, на который не распространяется пункт &quot;a&quot;.">
        <w:r>
          <w:rPr>
            <w:sz w:val="20"/>
            <w:color w:val="0000ff"/>
          </w:rPr>
          <w:t xml:space="preserve">пункта "b" части 1</w:t>
        </w:r>
      </w:hyperlink>
      <w:r>
        <w:rPr>
          <w:sz w:val="20"/>
        </w:rPr>
        <w:t xml:space="preserve">, </w:t>
      </w:r>
      <w:hyperlink w:history="0" w:anchor="P2325" w:tooltip="    2.2.  C  -  общие пороговые значения выбросов (мг/Nm  кроме диоксинов и">
        <w:r>
          <w:rPr>
            <w:sz w:val="20"/>
            <w:color w:val="0000ff"/>
          </w:rPr>
          <w:t xml:space="preserve">пунктов 2.2</w:t>
        </w:r>
      </w:hyperlink>
      <w:r>
        <w:rPr>
          <w:sz w:val="20"/>
        </w:rPr>
        <w:t xml:space="preserve">, </w:t>
      </w:r>
      <w:hyperlink w:history="0" w:anchor="P2376" w:tooltip="2.4. C - общие пороговые значения выбросов для CO">
        <w:r>
          <w:rPr>
            <w:sz w:val="20"/>
            <w:color w:val="0000ff"/>
          </w:rPr>
          <w:t xml:space="preserve">2.4</w:t>
        </w:r>
      </w:hyperlink>
      <w:r>
        <w:rPr>
          <w:sz w:val="20"/>
        </w:rPr>
        <w:t xml:space="preserve">, </w:t>
      </w:r>
      <w:hyperlink w:history="0" w:anchor="P2380" w:tooltip="    3.1.   Значение   C       ,   выраженное  как  среднесуточное  значение">
        <w:r>
          <w:rPr>
            <w:sz w:val="20"/>
            <w:color w:val="0000ff"/>
          </w:rPr>
          <w:t xml:space="preserve">3.1</w:t>
        </w:r>
      </w:hyperlink>
      <w:r>
        <w:rPr>
          <w:sz w:val="20"/>
        </w:rPr>
        <w:t xml:space="preserve"> и </w:t>
      </w:r>
      <w:hyperlink w:history="0" w:anchor="P2436" w:tooltip="    3.2.   Значение   C       ,   выраженное  как  среднесуточное  значение">
        <w:r>
          <w:rPr>
            <w:sz w:val="20"/>
            <w:color w:val="0000ff"/>
          </w:rPr>
          <w:t xml:space="preserve">3.2 части 4</w:t>
        </w:r>
      </w:hyperlink>
      <w:r>
        <w:rPr>
          <w:sz w:val="20"/>
        </w:rPr>
        <w:t xml:space="preserve">, </w:t>
      </w:r>
      <w:hyperlink w:history="0" w:anchor="P2702" w:tooltip="    2.5.  Компетентный  орган  вправе  не  требовать проведения непрерывных">
        <w:r>
          <w:rPr>
            <w:sz w:val="20"/>
            <w:color w:val="0000ff"/>
          </w:rPr>
          <w:t xml:space="preserve">пунктов 2.5</w:t>
        </w:r>
      </w:hyperlink>
      <w:r>
        <w:rPr>
          <w:sz w:val="20"/>
        </w:rPr>
        <w:t xml:space="preserve"> и </w:t>
      </w:r>
      <w:hyperlink w:history="0" w:anchor="P2721" w:tooltip="2.6. Компетентный орган вправе требовать проведения измерения один раз каждые два года для тяжелых металлов и раз в год - для диоксинов и фуранов в следующих случаях:">
        <w:r>
          <w:rPr>
            <w:sz w:val="20"/>
            <w:color w:val="0000ff"/>
          </w:rPr>
          <w:t xml:space="preserve">2.6 части 6</w:t>
        </w:r>
      </w:hyperlink>
      <w:r>
        <w:rPr>
          <w:sz w:val="20"/>
        </w:rPr>
        <w:t xml:space="preserve"> и </w:t>
      </w:r>
      <w:hyperlink w:history="0" w:anchor="P2771" w:tooltip="d) в отношении монооксида углерода (СО):">
        <w:r>
          <w:rPr>
            <w:sz w:val="20"/>
            <w:color w:val="0000ff"/>
          </w:rPr>
          <w:t xml:space="preserve">пункта 1.1 "d" части 8</w:t>
        </w:r>
      </w:hyperlink>
      <w:r>
        <w:rPr>
          <w:sz w:val="20"/>
        </w:rPr>
        <w:t xml:space="preserve"> Приложения VI, </w:t>
      </w:r>
      <w:hyperlink w:history="0" w:anchor="P3261" w:tooltip="    2.  Для  выбросов  галогенированных  летучих  органических  соединений,">
        <w:r>
          <w:rPr>
            <w:sz w:val="20"/>
            <w:color w:val="0000ff"/>
          </w:rPr>
          <w:t xml:space="preserve">пункта 2 части 4</w:t>
        </w:r>
      </w:hyperlink>
      <w:r>
        <w:rPr>
          <w:sz w:val="20"/>
        </w:rPr>
        <w:t xml:space="preserve">, </w:t>
      </w:r>
      <w:hyperlink w:history="0" w:anchor="P3273" w:tooltip="1. Оператор вправе использовать любую схему, специально разработанную для соответствующей установки.">
        <w:r>
          <w:rPr>
            <w:sz w:val="20"/>
            <w:color w:val="0000ff"/>
          </w:rPr>
          <w:t xml:space="preserve">пункта 1 части 5</w:t>
        </w:r>
      </w:hyperlink>
      <w:r>
        <w:rPr>
          <w:sz w:val="20"/>
        </w:rPr>
        <w:t xml:space="preserve">, </w:t>
      </w:r>
      <w:hyperlink w:history="0" w:anchor="P3341" w:tooltip="3. Использование плана обращения с растворителями для проверки соблюдения.">
        <w:r>
          <w:rPr>
            <w:sz w:val="20"/>
            <w:color w:val="0000ff"/>
          </w:rPr>
          <w:t xml:space="preserve">пункта 3 части 7</w:t>
        </w:r>
      </w:hyperlink>
      <w:r>
        <w:rPr>
          <w:sz w:val="20"/>
        </w:rPr>
        <w:t xml:space="preserve"> Приложения VII, </w:t>
      </w:r>
      <w:hyperlink w:history="0" w:anchor="P3398" w:tooltip="1. Для установок, использующих сульфатный способ (в качестве среднегодового значения):">
        <w:r>
          <w:rPr>
            <w:sz w:val="20"/>
            <w:color w:val="0000ff"/>
          </w:rPr>
          <w:t xml:space="preserve">пунктов 1</w:t>
        </w:r>
      </w:hyperlink>
      <w:r>
        <w:rPr>
          <w:sz w:val="20"/>
        </w:rPr>
        <w:t xml:space="preserve"> и </w:t>
      </w:r>
      <w:hyperlink w:history="0" w:anchor="P3403" w:tooltip="c) 330 кг хлорида на тонну произведенного диоксида титана с использованием шлака. К установкам, осуществляющим сброс в соленую воду (устьевые, прибрежные воды, открытое море), может применяться пороговое значение выбросов, равное 450 кг хлорида на тонну произведенного диоксида титана с использованием шлака.">
        <w:r>
          <w:rPr>
            <w:sz w:val="20"/>
            <w:color w:val="0000ff"/>
          </w:rPr>
          <w:t xml:space="preserve">2 "c" части 1</w:t>
        </w:r>
      </w:hyperlink>
      <w:r>
        <w:rPr>
          <w:sz w:val="20"/>
        </w:rPr>
        <w:t xml:space="preserve">, </w:t>
      </w:r>
      <w:hyperlink w:history="0" w:anchor="P3415" w:tooltip="    2.  Пыль:  50  мг/Nm   в  качестве среднечасового значения для основных">
        <w:r>
          <w:rPr>
            <w:sz w:val="20"/>
            <w:color w:val="0000ff"/>
          </w:rPr>
          <w:t xml:space="preserve">пунктов 2</w:t>
        </w:r>
      </w:hyperlink>
      <w:r>
        <w:rPr>
          <w:sz w:val="20"/>
        </w:rPr>
        <w:t xml:space="preserve"> и </w:t>
      </w:r>
      <w:hyperlink w:history="0" w:anchor="P3419" w:tooltip="    3.  Газообразные диоксид и триоксид серы, выделяемые при перегнивании и">
        <w:r>
          <w:rPr>
            <w:sz w:val="20"/>
            <w:color w:val="0000ff"/>
          </w:rPr>
          <w:t xml:space="preserve">3 части 2</w:t>
        </w:r>
      </w:hyperlink>
      <w:r>
        <w:rPr>
          <w:sz w:val="20"/>
        </w:rPr>
        <w:t xml:space="preserve"> и </w:t>
      </w:r>
      <w:hyperlink w:history="0" w:anchor="P3433" w:tooltip="Часть 3">
        <w:r>
          <w:rPr>
            <w:sz w:val="20"/>
            <w:color w:val="0000ff"/>
          </w:rPr>
          <w:t xml:space="preserve">части 3</w:t>
        </w:r>
      </w:hyperlink>
      <w:r>
        <w:rPr>
          <w:sz w:val="20"/>
        </w:rPr>
        <w:t xml:space="preserve"> Приложения VIII.</w:t>
      </w:r>
    </w:p>
    <w:bookmarkStart w:id="1190" w:name="P1190"/>
    <w:bookmarkEnd w:id="1190"/>
    <w:p>
      <w:pPr>
        <w:pStyle w:val="0"/>
        <w:spacing w:before="200" w:line-rule="auto"/>
        <w:ind w:firstLine="540"/>
        <w:jc w:val="both"/>
      </w:pPr>
      <w:r>
        <w:rPr>
          <w:sz w:val="20"/>
        </w:rPr>
        <w:t xml:space="preserve">Указанные положения должны применяться с той же даты.</w:t>
      </w:r>
    </w:p>
    <w:p>
      <w:pPr>
        <w:pStyle w:val="0"/>
        <w:spacing w:before="200" w:line-rule="auto"/>
        <w:ind w:firstLine="540"/>
        <w:jc w:val="both"/>
      </w:pPr>
      <w:r>
        <w:rPr>
          <w:sz w:val="20"/>
        </w:rPr>
        <w:t xml:space="preserve">Указанные положения, принятые государствами-членами ЕС, должны содержать ссылку на настоящую Директиву или сопровождаться такой ссылкой в случае их официального опубликования. Способы оформления такой ссылки должны быть определены государствами-членами ЕС.</w:t>
      </w:r>
    </w:p>
    <w:bookmarkStart w:id="1192" w:name="P1192"/>
    <w:bookmarkEnd w:id="1192"/>
    <w:p>
      <w:pPr>
        <w:pStyle w:val="0"/>
        <w:spacing w:before="200" w:line-rule="auto"/>
        <w:ind w:firstLine="540"/>
        <w:jc w:val="both"/>
      </w:pPr>
      <w:r>
        <w:rPr>
          <w:sz w:val="20"/>
        </w:rPr>
        <w:t xml:space="preserve">2. Государства-члены ЕС передают Европейской комиссии текст основных положений национального законодательства, которые они принимают в сфере, подпадающей под действие настоящей Директивы.</w:t>
      </w:r>
    </w:p>
    <w:p>
      <w:pPr>
        <w:pStyle w:val="0"/>
        <w:ind w:firstLine="540"/>
        <w:jc w:val="both"/>
      </w:pPr>
      <w:r>
        <w:rPr>
          <w:sz w:val="20"/>
        </w:rPr>
      </w:r>
    </w:p>
    <w:bookmarkStart w:id="1194" w:name="P1194"/>
    <w:bookmarkEnd w:id="1194"/>
    <w:p>
      <w:pPr>
        <w:pStyle w:val="0"/>
        <w:outlineLvl w:val="2"/>
        <w:jc w:val="center"/>
      </w:pPr>
      <w:r>
        <w:rPr>
          <w:sz w:val="20"/>
        </w:rPr>
        <w:t xml:space="preserve">Статья 81</w:t>
      </w:r>
    </w:p>
    <w:p>
      <w:pPr>
        <w:pStyle w:val="0"/>
        <w:jc w:val="center"/>
      </w:pPr>
      <w:r>
        <w:rPr>
          <w:sz w:val="20"/>
        </w:rPr>
      </w:r>
    </w:p>
    <w:p>
      <w:pPr>
        <w:pStyle w:val="0"/>
        <w:jc w:val="center"/>
      </w:pPr>
      <w:r>
        <w:rPr>
          <w:sz w:val="20"/>
        </w:rPr>
        <w:t xml:space="preserve">Отмена</w:t>
      </w:r>
    </w:p>
    <w:p>
      <w:pPr>
        <w:pStyle w:val="0"/>
        <w:jc w:val="center"/>
      </w:pPr>
      <w:r>
        <w:rPr>
          <w:sz w:val="20"/>
        </w:rPr>
      </w:r>
    </w:p>
    <w:p>
      <w:pPr>
        <w:pStyle w:val="0"/>
        <w:ind w:firstLine="540"/>
        <w:jc w:val="both"/>
      </w:pPr>
      <w:r>
        <w:rPr>
          <w:sz w:val="20"/>
        </w:rPr>
        <w:t xml:space="preserve">1. Директивы 78/176/ЕЭС, 82/883/ЕЭС, 92/112/ЕЭС, </w:t>
      </w:r>
      <w:hyperlink w:history="0" r:id="rId74"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20"/>
            <w:color w:val="0000ff"/>
          </w:rPr>
          <w:t xml:space="preserve">1999/13/ЕС</w:t>
        </w:r>
      </w:hyperlink>
      <w:r>
        <w:rPr>
          <w:sz w:val="20"/>
        </w:rPr>
        <w:t xml:space="preserve">, </w:t>
      </w:r>
      <w:hyperlink w:history="0" r:id="rId75"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20"/>
            <w:color w:val="0000ff"/>
          </w:rPr>
          <w:t xml:space="preserve">2000/76/ЕС</w:t>
        </w:r>
      </w:hyperlink>
      <w:r>
        <w:rPr>
          <w:sz w:val="20"/>
        </w:rPr>
        <w:t xml:space="preserve"> и </w:t>
      </w:r>
      <w:hyperlink w:history="0" r:id="rId76"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20"/>
            <w:color w:val="0000ff"/>
          </w:rPr>
          <w:t xml:space="preserve">2008/1/ЕС</w:t>
        </w:r>
      </w:hyperlink>
      <w:r>
        <w:rPr>
          <w:sz w:val="20"/>
        </w:rPr>
        <w:t xml:space="preserve"> в редакции актов, перечисленных в </w:t>
      </w:r>
      <w:hyperlink w:history="0" w:anchor="P3448" w:tooltip="Часть A">
        <w:r>
          <w:rPr>
            <w:sz w:val="20"/>
            <w:color w:val="0000ff"/>
          </w:rPr>
          <w:t xml:space="preserve">части A</w:t>
        </w:r>
      </w:hyperlink>
      <w:r>
        <w:rPr>
          <w:sz w:val="20"/>
        </w:rPr>
        <w:t xml:space="preserve"> Приложения IX к настоящей Директиве, отменяются с 7 января 2014 г. без ущерба действию обязательств государств-членов ЕС в отношении сроков преобразования в национальное право и применения </w:t>
      </w:r>
      <w:r>
        <w:rPr>
          <w:sz w:val="20"/>
        </w:rPr>
        <w:t xml:space="preserve">Директив</w:t>
      </w:r>
      <w:r>
        <w:rPr>
          <w:sz w:val="20"/>
        </w:rPr>
        <w:t xml:space="preserve">, указанных в </w:t>
      </w:r>
      <w:hyperlink w:history="0" w:anchor="P3526" w:tooltip="Часть B">
        <w:r>
          <w:rPr>
            <w:sz w:val="20"/>
            <w:color w:val="0000ff"/>
          </w:rPr>
          <w:t xml:space="preserve">части B</w:t>
        </w:r>
      </w:hyperlink>
      <w:r>
        <w:rPr>
          <w:sz w:val="20"/>
        </w:rPr>
        <w:t xml:space="preserve"> Приложения IX к настоящей Директиве.</w:t>
      </w:r>
    </w:p>
    <w:p>
      <w:pPr>
        <w:pStyle w:val="0"/>
        <w:spacing w:before="200" w:line-rule="auto"/>
        <w:ind w:firstLine="540"/>
        <w:jc w:val="both"/>
      </w:pPr>
      <w:r>
        <w:rPr>
          <w:sz w:val="20"/>
        </w:rPr>
        <w:t xml:space="preserve">2. </w:t>
      </w:r>
      <w:hyperlink w:history="0" r:id="rId77"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20"/>
            <w:color w:val="0000ff"/>
          </w:rPr>
          <w:t xml:space="preserve">Директива</w:t>
        </w:r>
      </w:hyperlink>
      <w:r>
        <w:rPr>
          <w:sz w:val="20"/>
        </w:rPr>
        <w:t xml:space="preserve"> 2001/80/ЕС в редакции актов, перечисленных в </w:t>
      </w:r>
      <w:hyperlink w:history="0" w:anchor="P3448" w:tooltip="Часть A">
        <w:r>
          <w:rPr>
            <w:sz w:val="20"/>
            <w:color w:val="0000ff"/>
          </w:rPr>
          <w:t xml:space="preserve">части A</w:t>
        </w:r>
      </w:hyperlink>
      <w:r>
        <w:rPr>
          <w:sz w:val="20"/>
        </w:rPr>
        <w:t xml:space="preserve"> Приложения IX к настоящей Директиве, отменяется с 1 января 2016 г. без ущерба действию обязательств государств-членов ЕС в отношении сроков преобразования в национальное право и применения Директив, указанных в </w:t>
      </w:r>
      <w:hyperlink w:history="0" w:anchor="P3526" w:tooltip="Часть B">
        <w:r>
          <w:rPr>
            <w:sz w:val="20"/>
            <w:color w:val="0000ff"/>
          </w:rPr>
          <w:t xml:space="preserve">части B</w:t>
        </w:r>
      </w:hyperlink>
      <w:r>
        <w:rPr>
          <w:sz w:val="20"/>
        </w:rPr>
        <w:t xml:space="preserve"> Приложения IX к настоящей Директиве.</w:t>
      </w:r>
    </w:p>
    <w:p>
      <w:pPr>
        <w:pStyle w:val="0"/>
        <w:spacing w:before="200" w:line-rule="auto"/>
        <w:ind w:firstLine="540"/>
        <w:jc w:val="both"/>
      </w:pPr>
      <w:r>
        <w:rPr>
          <w:sz w:val="20"/>
        </w:rPr>
        <w:t xml:space="preserve">3. Ссылки на отмененные Директивы рассматриваются в качестве ссылок на настоящую Директиву и читаются согласно корреляционной </w:t>
      </w:r>
      <w:hyperlink w:history="0" w:anchor="P3567" w:tooltip="КОРРЕЛЯЦИОННАЯ ТАБЛИЦА">
        <w:r>
          <w:rPr>
            <w:sz w:val="20"/>
            <w:color w:val="0000ff"/>
          </w:rPr>
          <w:t xml:space="preserve">таблице</w:t>
        </w:r>
      </w:hyperlink>
      <w:r>
        <w:rPr>
          <w:sz w:val="20"/>
        </w:rPr>
        <w:t xml:space="preserve">, содержащейся в Приложении X к настоящей Директиве.</w:t>
      </w:r>
    </w:p>
    <w:p>
      <w:pPr>
        <w:pStyle w:val="0"/>
        <w:ind w:firstLine="540"/>
        <w:jc w:val="both"/>
      </w:pPr>
      <w:r>
        <w:rPr>
          <w:sz w:val="20"/>
        </w:rPr>
      </w:r>
    </w:p>
    <w:bookmarkStart w:id="1202" w:name="P1202"/>
    <w:bookmarkEnd w:id="1202"/>
    <w:p>
      <w:pPr>
        <w:pStyle w:val="0"/>
        <w:outlineLvl w:val="2"/>
        <w:jc w:val="center"/>
      </w:pPr>
      <w:r>
        <w:rPr>
          <w:sz w:val="20"/>
        </w:rPr>
        <w:t xml:space="preserve">Статья 82</w:t>
      </w:r>
    </w:p>
    <w:p>
      <w:pPr>
        <w:pStyle w:val="0"/>
        <w:jc w:val="center"/>
      </w:pPr>
      <w:r>
        <w:rPr>
          <w:sz w:val="20"/>
        </w:rPr>
      </w:r>
    </w:p>
    <w:p>
      <w:pPr>
        <w:pStyle w:val="0"/>
        <w:jc w:val="center"/>
      </w:pPr>
      <w:r>
        <w:rPr>
          <w:sz w:val="20"/>
        </w:rPr>
        <w:t xml:space="preserve">Переходные положения</w:t>
      </w:r>
    </w:p>
    <w:p>
      <w:pPr>
        <w:pStyle w:val="0"/>
        <w:jc w:val="center"/>
      </w:pPr>
      <w:r>
        <w:rPr>
          <w:sz w:val="20"/>
        </w:rPr>
      </w:r>
    </w:p>
    <w:p>
      <w:pPr>
        <w:pStyle w:val="0"/>
        <w:ind w:firstLine="540"/>
        <w:jc w:val="both"/>
      </w:pPr>
      <w:r>
        <w:rPr>
          <w:sz w:val="20"/>
        </w:rPr>
        <w:t xml:space="preserve">1. Государства-члены ЕС применяют законодательные, регламентарные и административные положения, принятые в соответствии со </w:t>
      </w:r>
      <w:hyperlink w:history="0" w:anchor="P1189" w:tooltip="1. Не позднее 7 января 2013 г. государства-члены ЕС вводят в действие законодательные, регламентарные и административные положения, необходимые для соблюдения статьи 2, пунктов (8), (11) - (15), (18) - (23), (26) - (30), (34) - (38) и (41) статьи 3, статьи 4 (2) и (3), статьи 7, статей 8 и 10, статьи 11 &quot;e&quot; и &quot;h&quot;, статьи 12 (1) &quot;e&quot; и &quot;h&quot;, статьи 13 (7), пункта &quot;ii&quot; статьи 14 (1) &quot;c&quot;, пунктов &quot;d&quot;, &quot;e&quot;, &quot;f&quot; и &quot;h&quot; статьи 14 (1), статьи 14 (2) - (7), статьи 15 (2) - (5), статей 16, 17 и 19, статьи 21 (2) - (...">
        <w:r>
          <w:rPr>
            <w:sz w:val="20"/>
            <w:color w:val="0000ff"/>
          </w:rPr>
          <w:t xml:space="preserve">статьей 80 (1)</w:t>
        </w:r>
      </w:hyperlink>
      <w:r>
        <w:rPr>
          <w:sz w:val="20"/>
        </w:rPr>
        <w:t xml:space="preserve"> настоящей Директивы, с 7 января 2014 г., за исключением </w:t>
      </w:r>
      <w:hyperlink w:history="0" w:anchor="P574" w:tooltip="Глава III. СПЕЦИАЛЬНЫЕ ПОЛОЖЕНИЯ ДЛЯ ЗАВОДОВ ПО СЖИГАНИЮ">
        <w:r>
          <w:rPr>
            <w:sz w:val="20"/>
            <w:color w:val="0000ff"/>
          </w:rPr>
          <w:t xml:space="preserve">главы III</w:t>
        </w:r>
      </w:hyperlink>
      <w:r>
        <w:rPr>
          <w:sz w:val="20"/>
        </w:rPr>
        <w:t xml:space="preserve"> и </w:t>
      </w:r>
      <w:hyperlink w:history="0" w:anchor="P1507" w:tooltip="ТЕХНИЧЕСКИЕ ХАРАКТЕРИСТИКИ">
        <w:r>
          <w:rPr>
            <w:sz w:val="20"/>
            <w:color w:val="0000ff"/>
          </w:rPr>
          <w:t xml:space="preserve">Приложения V</w:t>
        </w:r>
      </w:hyperlink>
      <w:r>
        <w:rPr>
          <w:sz w:val="20"/>
        </w:rPr>
        <w:t xml:space="preserve"> настоящей Директивы, в отношении установок, на которых осуществляются виды деятельности, предусмотренные </w:t>
      </w:r>
      <w:hyperlink w:history="0" w:anchor="P1250" w:tooltip="КАТЕГОРИИ ВИДОВ ДЕЯТЕЛЬНОСТИ,">
        <w:r>
          <w:rPr>
            <w:sz w:val="20"/>
            <w:color w:val="0000ff"/>
          </w:rPr>
          <w:t xml:space="preserve">Приложением I</w:t>
        </w:r>
      </w:hyperlink>
      <w:r>
        <w:rPr>
          <w:sz w:val="20"/>
        </w:rPr>
        <w:t xml:space="preserve"> к настоящей Директиве: </w:t>
      </w:r>
      <w:hyperlink w:history="0" w:anchor="P1258" w:tooltip="1.1. Сжигание топлива в установках с номинальной тепловой мощностью 50 MW или более">
        <w:r>
          <w:rPr>
            <w:sz w:val="20"/>
            <w:color w:val="0000ff"/>
          </w:rPr>
          <w:t xml:space="preserve">пункт 1.1</w:t>
        </w:r>
      </w:hyperlink>
      <w:r>
        <w:rPr>
          <w:sz w:val="20"/>
        </w:rPr>
        <w:t xml:space="preserve"> для видов деятельности с номинальной тепловой мощностью более 50 MW; </w:t>
      </w:r>
      <w:hyperlink w:history="0" w:anchor="P1259" w:tooltip="1.2. Очистка нефти и газа">
        <w:r>
          <w:rPr>
            <w:sz w:val="20"/>
            <w:color w:val="0000ff"/>
          </w:rPr>
          <w:t xml:space="preserve">пункты 1.2</w:t>
        </w:r>
      </w:hyperlink>
      <w:r>
        <w:rPr>
          <w:sz w:val="20"/>
        </w:rPr>
        <w:t xml:space="preserve"> и </w:t>
      </w:r>
      <w:hyperlink w:history="0" w:anchor="P1260" w:tooltip="1.3. Производство кокса">
        <w:r>
          <w:rPr>
            <w:sz w:val="20"/>
            <w:color w:val="0000ff"/>
          </w:rPr>
          <w:t xml:space="preserve">1.3</w:t>
        </w:r>
      </w:hyperlink>
      <w:r>
        <w:rPr>
          <w:sz w:val="20"/>
        </w:rPr>
        <w:t xml:space="preserve">, </w:t>
      </w:r>
      <w:hyperlink w:history="0" w:anchor="P1262" w:tooltip="a) угля;">
        <w:r>
          <w:rPr>
            <w:sz w:val="20"/>
            <w:color w:val="0000ff"/>
          </w:rPr>
          <w:t xml:space="preserve">пункт 1.4 "a"</w:t>
        </w:r>
      </w:hyperlink>
      <w:r>
        <w:rPr>
          <w:sz w:val="20"/>
        </w:rPr>
        <w:t xml:space="preserve">, </w:t>
      </w:r>
      <w:hyperlink w:history="0" w:anchor="P1265" w:tooltip="2.1. Обжиг или агломерация металлических руд (в том числе сульфидных руд)">
        <w:r>
          <w:rPr>
            <w:sz w:val="20"/>
            <w:color w:val="0000ff"/>
          </w:rPr>
          <w:t xml:space="preserve">пункты 2.1</w:t>
        </w:r>
      </w:hyperlink>
      <w:r>
        <w:rPr>
          <w:sz w:val="20"/>
        </w:rPr>
        <w:t xml:space="preserve"> - </w:t>
      </w:r>
      <w:hyperlink w:history="0" w:anchor="P1275" w:tooltip="2.6. Поверхностная обработка металлов и пластических материалов с использованием электролитических или химических процессов, при которых объем используемых для обработки чанов превышает 30 куб. м.">
        <w:r>
          <w:rPr>
            <w:sz w:val="20"/>
            <w:color w:val="0000ff"/>
          </w:rPr>
          <w:t xml:space="preserve">2.6</w:t>
        </w:r>
      </w:hyperlink>
      <w:r>
        <w:rPr>
          <w:sz w:val="20"/>
        </w:rPr>
        <w:t xml:space="preserve">, </w:t>
      </w:r>
      <w:hyperlink w:history="0" w:anchor="P1277" w:tooltip="3.1. Производство цемента, извести и магнезии:">
        <w:r>
          <w:rPr>
            <w:sz w:val="20"/>
            <w:color w:val="0000ff"/>
          </w:rPr>
          <w:t xml:space="preserve">пункты 3.1</w:t>
        </w:r>
      </w:hyperlink>
      <w:r>
        <w:rPr>
          <w:sz w:val="20"/>
        </w:rPr>
        <w:t xml:space="preserve"> - </w:t>
      </w:r>
      <w:hyperlink w:history="0" w:anchor="P1284" w:tooltip="3.5. Производство керамических продуктов путем обжига, в частности, кровельной черепицы, кирпича, огнеупорного кирпича, керамической плитки, каменной керамики или фарфоровых изделий, с производственной мощностью, превышающей 75 тонн в день, и/или с мощностью обжиговых печей, превышающей 4 куб. м, и плотностью садки на обжиговую печь, превышающей 300 кг/куб. м.">
        <w:r>
          <w:rPr>
            <w:sz w:val="20"/>
            <w:color w:val="0000ff"/>
          </w:rPr>
          <w:t xml:space="preserve">3.5</w:t>
        </w:r>
      </w:hyperlink>
      <w:r>
        <w:rPr>
          <w:sz w:val="20"/>
        </w:rPr>
        <w:t xml:space="preserve">, </w:t>
      </w:r>
      <w:hyperlink w:history="0" w:anchor="P1287" w:tooltip="4.1. Производство органических химических веществ, таких как:">
        <w:r>
          <w:rPr>
            <w:sz w:val="20"/>
            <w:color w:val="0000ff"/>
          </w:rPr>
          <w:t xml:space="preserve">пункты 4.1</w:t>
        </w:r>
      </w:hyperlink>
      <w:r>
        <w:rPr>
          <w:sz w:val="20"/>
        </w:rPr>
        <w:t xml:space="preserve"> - </w:t>
      </w:r>
      <w:hyperlink w:history="0" w:anchor="P1308" w:tooltip="4.6. Производство взрывчатых веществ">
        <w:r>
          <w:rPr>
            <w:sz w:val="20"/>
            <w:color w:val="0000ff"/>
          </w:rPr>
          <w:t xml:space="preserve">4.6</w:t>
        </w:r>
      </w:hyperlink>
      <w:r>
        <w:rPr>
          <w:sz w:val="20"/>
        </w:rPr>
        <w:t xml:space="preserve"> для видов деятельности, связанных с производством посредством химической обработки; </w:t>
      </w:r>
      <w:hyperlink w:history="0" w:anchor="P1310" w:tooltip="5.1. Захоронение или извлечение опасных отходов с производительностью, превышающей 10 тонн в день, с использованием одного или нескольких из нижеперечисленных видов деятельности:">
        <w:r>
          <w:rPr>
            <w:sz w:val="20"/>
            <w:color w:val="0000ff"/>
          </w:rPr>
          <w:t xml:space="preserve">пункты 5.1</w:t>
        </w:r>
      </w:hyperlink>
      <w:r>
        <w:rPr>
          <w:sz w:val="20"/>
        </w:rPr>
        <w:t xml:space="preserve"> и </w:t>
      </w:r>
      <w:hyperlink w:history="0" w:anchor="P1322" w:tooltip="5.2. Захоронение или извлечение отходов в заводах по сжиганию отходов или заводах по совместному сжиганию отходов:">
        <w:r>
          <w:rPr>
            <w:sz w:val="20"/>
            <w:color w:val="0000ff"/>
          </w:rPr>
          <w:t xml:space="preserve">5.2</w:t>
        </w:r>
      </w:hyperlink>
      <w:r>
        <w:rPr>
          <w:sz w:val="20"/>
        </w:rPr>
        <w:t xml:space="preserve"> для видов деятельности, подпадающих под действие </w:t>
      </w:r>
      <w:hyperlink w:history="0" r:id="rId78"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20"/>
            <w:color w:val="0000ff"/>
          </w:rPr>
          <w:t xml:space="preserve">Директивы</w:t>
        </w:r>
      </w:hyperlink>
      <w:r>
        <w:rPr>
          <w:sz w:val="20"/>
        </w:rPr>
        <w:t xml:space="preserve"> 2008/1/ЕС; </w:t>
      </w:r>
      <w:hyperlink w:history="0" w:anchor="P1329" w:tooltip="i) биологическая обработка;">
        <w:r>
          <w:rPr>
            <w:sz w:val="20"/>
            <w:color w:val="0000ff"/>
          </w:rPr>
          <w:t xml:space="preserve">пункт 5.3 "a"i"</w:t>
        </w:r>
      </w:hyperlink>
      <w:r>
        <w:rPr>
          <w:sz w:val="20"/>
        </w:rPr>
        <w:t xml:space="preserve"> и </w:t>
      </w:r>
      <w:hyperlink w:history="0" w:anchor="P1330" w:tooltip="ii) физико-химическая обработка;">
        <w:r>
          <w:rPr>
            <w:sz w:val="20"/>
            <w:color w:val="0000ff"/>
          </w:rPr>
          <w:t xml:space="preserve">"ii"</w:t>
        </w:r>
      </w:hyperlink>
      <w:r>
        <w:rPr>
          <w:sz w:val="20"/>
        </w:rPr>
        <w:t xml:space="preserve">, </w:t>
      </w:r>
      <w:hyperlink w:history="0" w:anchor="P1340" w:tooltip="5.4. Свалки в значении статьи 2 &quot;g&quot; Директивы 1999/31/ЕС Совета ЕС от 26 апреля 1999 г. по полигонам захоронения отходов &lt;*&gt;, на которые поступает более 10 тонн отходов в день, или с общей емкостью, превышающей 25000 тонн, за исключением свалок инертных отходов.">
        <w:r>
          <w:rPr>
            <w:sz w:val="20"/>
            <w:color w:val="0000ff"/>
          </w:rPr>
          <w:t xml:space="preserve">пункт 5.4</w:t>
        </w:r>
      </w:hyperlink>
      <w:r>
        <w:rPr>
          <w:sz w:val="20"/>
        </w:rPr>
        <w:t xml:space="preserve">, </w:t>
      </w:r>
      <w:hyperlink w:history="0" w:anchor="P1348" w:tooltip="a) целлюлозы из древесины или иных волокнистых материалов;">
        <w:r>
          <w:rPr>
            <w:sz w:val="20"/>
            <w:color w:val="0000ff"/>
          </w:rPr>
          <w:t xml:space="preserve">пункт 6.1 "a"</w:t>
        </w:r>
      </w:hyperlink>
      <w:r>
        <w:rPr>
          <w:sz w:val="20"/>
        </w:rPr>
        <w:t xml:space="preserve"> и </w:t>
      </w:r>
      <w:hyperlink w:history="0" w:anchor="P1349" w:tooltip="b) бумаги и картона с производственной мощностью, превышающей 20 тонн в день;">
        <w:r>
          <w:rPr>
            <w:sz w:val="20"/>
            <w:color w:val="0000ff"/>
          </w:rPr>
          <w:t xml:space="preserve">"b"</w:t>
        </w:r>
      </w:hyperlink>
      <w:r>
        <w:rPr>
          <w:sz w:val="20"/>
        </w:rPr>
        <w:t xml:space="preserve">, </w:t>
      </w:r>
      <w:hyperlink w:history="0" w:anchor="P1351" w:tooltip="6.2. Предварительная обработка (такие операции, как промывка, отбеливание, мерсеризация) или окрашивание волокна или текстиля, где производительность превышает 10 тонн в день">
        <w:r>
          <w:rPr>
            <w:sz w:val="20"/>
            <w:color w:val="0000ff"/>
          </w:rPr>
          <w:t xml:space="preserve">пункты 6.2</w:t>
        </w:r>
      </w:hyperlink>
      <w:r>
        <w:rPr>
          <w:sz w:val="20"/>
        </w:rPr>
        <w:t xml:space="preserve"> и </w:t>
      </w:r>
      <w:hyperlink w:history="0" w:anchor="P1352" w:tooltip="6.3. Дубление кож и шкур, где производительность превышает 12 тонн обработанных продуктов в день">
        <w:r>
          <w:rPr>
            <w:sz w:val="20"/>
            <w:color w:val="0000ff"/>
          </w:rPr>
          <w:t xml:space="preserve">6.3</w:t>
        </w:r>
      </w:hyperlink>
      <w:r>
        <w:rPr>
          <w:sz w:val="20"/>
        </w:rPr>
        <w:t xml:space="preserve">, </w:t>
      </w:r>
      <w:hyperlink w:history="0" w:anchor="P1353" w:tooltip="6.4. a) Бойни с мощностями по переработке туш, превышающими 50 тонн в день">
        <w:r>
          <w:rPr>
            <w:sz w:val="20"/>
            <w:color w:val="0000ff"/>
          </w:rPr>
          <w:t xml:space="preserve">пункт 6.4 "a"</w:t>
        </w:r>
      </w:hyperlink>
      <w:r>
        <w:rPr>
          <w:sz w:val="20"/>
        </w:rPr>
        <w:t xml:space="preserve">, </w:t>
      </w:r>
      <w:hyperlink w:history="0" w:anchor="P1354" w:tooltip="b) Обработка и переработка, за исключением упаковки, следующего сырья независимо от его предыдущей обработки с целью производства пищевых продуктов или кормов из:">
        <w:r>
          <w:rPr>
            <w:sz w:val="20"/>
            <w:color w:val="0000ff"/>
          </w:rPr>
          <w:t xml:space="preserve">пункт 6.4 "b"</w:t>
        </w:r>
      </w:hyperlink>
      <w:r>
        <w:rPr>
          <w:sz w:val="20"/>
        </w:rPr>
        <w:t xml:space="preserve"> для видов деятельности, подпадающих под действие Директивы 2008/1/ЕС; </w:t>
      </w:r>
      <w:hyperlink w:history="0" w:anchor="P1400" w:tooltip="c) Обработка и переработка молока, когда количество получаемого молока превышает 200 тонн в день (средний показатель на ежегодной основе).">
        <w:r>
          <w:rPr>
            <w:sz w:val="20"/>
            <w:color w:val="0000ff"/>
          </w:rPr>
          <w:t xml:space="preserve">пункт 6.4 "c"</w:t>
        </w:r>
      </w:hyperlink>
      <w:r>
        <w:rPr>
          <w:sz w:val="20"/>
        </w:rPr>
        <w:t xml:space="preserve"> и </w:t>
      </w:r>
      <w:hyperlink w:history="0" w:anchor="P1401" w:tooltip="6.5. Захоронение или переработка туш животных или отходов животноводства с перерабатывающей мощностью, превышающей 10 тонн в день.">
        <w:r>
          <w:rPr>
            <w:sz w:val="20"/>
            <w:color w:val="0000ff"/>
          </w:rPr>
          <w:t xml:space="preserve">пункты 6.5</w:t>
        </w:r>
      </w:hyperlink>
      <w:r>
        <w:rPr>
          <w:sz w:val="20"/>
        </w:rPr>
        <w:t xml:space="preserve"> - </w:t>
      </w:r>
      <w:hyperlink w:history="0" w:anchor="P1408" w:tooltip="    6.9.  Улавливание  потоков  CO   от установок, подпадающих под действие">
        <w:r>
          <w:rPr>
            <w:sz w:val="20"/>
            <w:color w:val="0000ff"/>
          </w:rPr>
          <w:t xml:space="preserve">6.9</w:t>
        </w:r>
      </w:hyperlink>
      <w:r>
        <w:rPr>
          <w:sz w:val="20"/>
        </w:rPr>
        <w:t xml:space="preserve">; данное положение применяется, если такие установки функционировали и получили разрешение до 7 января 2013 г., или их операторы подали полностью оформленное заявление на выдачу разрешения до указанной даты, при условии, что такие установки введены в эксплуатацию не позднее 7 января 2014 г.</w:t>
      </w:r>
    </w:p>
    <w:p>
      <w:pPr>
        <w:pStyle w:val="0"/>
        <w:spacing w:before="200" w:line-rule="auto"/>
        <w:ind w:firstLine="540"/>
        <w:jc w:val="both"/>
      </w:pPr>
      <w:r>
        <w:rPr>
          <w:sz w:val="20"/>
        </w:rPr>
        <w:t xml:space="preserve">2. Государства-члены ЕС применяют законодательные, регламентарные и административные положения, принятые в соответствии с настоящей Директивой, с 7 июля 2015 г., за исключением </w:t>
      </w:r>
      <w:hyperlink w:history="0" w:anchor="P574" w:tooltip="Глава III. СПЕЦИАЛЬНЫЕ ПОЛОЖЕНИЯ ДЛЯ ЗАВОДОВ ПО СЖИГАНИЮ">
        <w:r>
          <w:rPr>
            <w:sz w:val="20"/>
            <w:color w:val="0000ff"/>
          </w:rPr>
          <w:t xml:space="preserve">глав III</w:t>
        </w:r>
      </w:hyperlink>
      <w:r>
        <w:rPr>
          <w:sz w:val="20"/>
        </w:rPr>
        <w:t xml:space="preserve"> и </w:t>
      </w:r>
      <w:hyperlink w:history="0" w:anchor="P766" w:tooltip="Глава IV. СПЕЦИАЛЬНЫЕ ПОЛОЖЕНИЯ ДЛЯ ЗАВОДОВ ПО СЖИГАНИЮ">
        <w:r>
          <w:rPr>
            <w:sz w:val="20"/>
            <w:color w:val="0000ff"/>
          </w:rPr>
          <w:t xml:space="preserve">IV</w:t>
        </w:r>
      </w:hyperlink>
      <w:r>
        <w:rPr>
          <w:sz w:val="20"/>
        </w:rPr>
        <w:t xml:space="preserve">, а также </w:t>
      </w:r>
      <w:hyperlink w:history="0" w:anchor="P1507" w:tooltip="ТЕХНИЧЕСКИЕ ХАРАКТЕРИСТИКИ">
        <w:r>
          <w:rPr>
            <w:sz w:val="20"/>
            <w:color w:val="0000ff"/>
          </w:rPr>
          <w:t xml:space="preserve">Приложений V</w:t>
        </w:r>
      </w:hyperlink>
      <w:r>
        <w:rPr>
          <w:sz w:val="20"/>
        </w:rPr>
        <w:t xml:space="preserve"> и </w:t>
      </w:r>
      <w:hyperlink w:history="0" w:anchor="P2073" w:tooltip="ТЕХНИЧЕСКИЕ ХАРАКТЕРИСТИКИ">
        <w:r>
          <w:rPr>
            <w:sz w:val="20"/>
            <w:color w:val="0000ff"/>
          </w:rPr>
          <w:t xml:space="preserve">VI</w:t>
        </w:r>
      </w:hyperlink>
      <w:r>
        <w:rPr>
          <w:sz w:val="20"/>
        </w:rPr>
        <w:t xml:space="preserve"> к настоящей Директиве, в отношении установок, на которых осуществляются виды деятельности, предусмотренные </w:t>
      </w:r>
      <w:hyperlink w:history="0" w:anchor="P1250" w:tooltip="КАТЕГОРИИ ВИДОВ ДЕЯТЕЛЬНОСТИ,">
        <w:r>
          <w:rPr>
            <w:sz w:val="20"/>
            <w:color w:val="0000ff"/>
          </w:rPr>
          <w:t xml:space="preserve">Приложением I</w:t>
        </w:r>
      </w:hyperlink>
      <w:r>
        <w:rPr>
          <w:sz w:val="20"/>
        </w:rPr>
        <w:t xml:space="preserve"> к настоящей Директиве: </w:t>
      </w:r>
      <w:hyperlink w:history="0" w:anchor="P1258" w:tooltip="1.1. Сжигание топлива в установках с номинальной тепловой мощностью 50 MW или более">
        <w:r>
          <w:rPr>
            <w:sz w:val="20"/>
            <w:color w:val="0000ff"/>
          </w:rPr>
          <w:t xml:space="preserve">пункт 1.1</w:t>
        </w:r>
      </w:hyperlink>
      <w:r>
        <w:rPr>
          <w:sz w:val="20"/>
        </w:rPr>
        <w:t xml:space="preserve"> для видов деятельности с номинальной тепловой мощностью 50 MW; </w:t>
      </w:r>
      <w:hyperlink w:history="0" w:anchor="P1263" w:tooltip="b) иных видов топлива в установках с номинальной тепловой мощностью 20 MW или более.">
        <w:r>
          <w:rPr>
            <w:sz w:val="20"/>
            <w:color w:val="0000ff"/>
          </w:rPr>
          <w:t xml:space="preserve">пункт 1.4 "b"</w:t>
        </w:r>
      </w:hyperlink>
      <w:r>
        <w:rPr>
          <w:sz w:val="20"/>
        </w:rPr>
        <w:t xml:space="preserve">, </w:t>
      </w:r>
      <w:hyperlink w:history="0" w:anchor="P1287" w:tooltip="4.1. Производство органических химических веществ, таких как:">
        <w:r>
          <w:rPr>
            <w:sz w:val="20"/>
            <w:color w:val="0000ff"/>
          </w:rPr>
          <w:t xml:space="preserve">пункты 4.1</w:t>
        </w:r>
      </w:hyperlink>
      <w:r>
        <w:rPr>
          <w:sz w:val="20"/>
        </w:rPr>
        <w:t xml:space="preserve"> - </w:t>
      </w:r>
      <w:hyperlink w:history="0" w:anchor="P1308" w:tooltip="4.6. Производство взрывчатых веществ">
        <w:r>
          <w:rPr>
            <w:sz w:val="20"/>
            <w:color w:val="0000ff"/>
          </w:rPr>
          <w:t xml:space="preserve">4.6</w:t>
        </w:r>
      </w:hyperlink>
      <w:r>
        <w:rPr>
          <w:sz w:val="20"/>
        </w:rPr>
        <w:t xml:space="preserve"> для видов деятельности, связанных с производством посредством биологической обработки; </w:t>
      </w:r>
      <w:hyperlink w:history="0" w:anchor="P1310" w:tooltip="5.1. Захоронение или извлечение опасных отходов с производительностью, превышающей 10 тонн в день, с использованием одного или нескольких из нижеперечисленных видов деятельности:">
        <w:r>
          <w:rPr>
            <w:sz w:val="20"/>
            <w:color w:val="0000ff"/>
          </w:rPr>
          <w:t xml:space="preserve">пункты 5.1</w:t>
        </w:r>
      </w:hyperlink>
      <w:r>
        <w:rPr>
          <w:sz w:val="20"/>
        </w:rPr>
        <w:t xml:space="preserve"> и </w:t>
      </w:r>
      <w:hyperlink w:history="0" w:anchor="P1322" w:tooltip="5.2. Захоронение или извлечение отходов в заводах по сжиганию отходов или заводах по совместному сжиганию отходов:">
        <w:r>
          <w:rPr>
            <w:sz w:val="20"/>
            <w:color w:val="0000ff"/>
          </w:rPr>
          <w:t xml:space="preserve">5.2</w:t>
        </w:r>
      </w:hyperlink>
      <w:r>
        <w:rPr>
          <w:sz w:val="20"/>
        </w:rPr>
        <w:t xml:space="preserve"> для видов деятельности, не подпадающих под действие </w:t>
      </w:r>
      <w:hyperlink w:history="0" r:id="rId79"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20"/>
            <w:color w:val="0000ff"/>
          </w:rPr>
          <w:t xml:space="preserve">Директивы</w:t>
        </w:r>
      </w:hyperlink>
      <w:r>
        <w:rPr>
          <w:sz w:val="20"/>
        </w:rPr>
        <w:t xml:space="preserve"> 2008/1/ЕС; </w:t>
      </w:r>
      <w:hyperlink w:history="0" w:anchor="P1331" w:tooltip="iii) предварительная обработка отходов для сжигания или совместного сжигания;">
        <w:r>
          <w:rPr>
            <w:sz w:val="20"/>
            <w:color w:val="0000ff"/>
          </w:rPr>
          <w:t xml:space="preserve">пункт 5.3 "a"iii"</w:t>
        </w:r>
      </w:hyperlink>
      <w:r>
        <w:rPr>
          <w:sz w:val="20"/>
        </w:rPr>
        <w:t xml:space="preserve"> - </w:t>
      </w:r>
      <w:hyperlink w:history="0" w:anchor="P1333" w:tooltip="v) обработка в измельчителях металлических отходов, в том числе отходов электрического и электронного оборудования, транспортных средств, срок эксплуатации которых подошел к концу, и их составных частей.">
        <w:r>
          <w:rPr>
            <w:sz w:val="20"/>
            <w:color w:val="0000ff"/>
          </w:rPr>
          <w:t xml:space="preserve">"v"</w:t>
        </w:r>
      </w:hyperlink>
      <w:r>
        <w:rPr>
          <w:sz w:val="20"/>
        </w:rPr>
        <w:t xml:space="preserve">, </w:t>
      </w:r>
      <w:hyperlink w:history="0" w:anchor="P1334" w:tooltip="b) Извлечение или комбинация извлечения и захоронения неопасных отходов с производительностью, превышающей 75 тонн в день, с использованием одного или нескольких из нижеперечисленных видов деятельности, за исключением видов деятельности, подпадающих под действие Директивы 91/271/ЕЭС Совета ЕС:">
        <w:r>
          <w:rPr>
            <w:sz w:val="20"/>
            <w:color w:val="0000ff"/>
          </w:rPr>
          <w:t xml:space="preserve">пункт 5.3 "b"</w:t>
        </w:r>
      </w:hyperlink>
      <w:r>
        <w:rPr>
          <w:sz w:val="20"/>
        </w:rPr>
        <w:t xml:space="preserve">, </w:t>
      </w:r>
      <w:hyperlink w:history="0" w:anchor="P1344" w:tooltip="5.5. Временное хранение опасных отходов, не предусмотренных пунктом 5.4 настоящего Приложения, вплоть до любых видов деятельности, перечисленных в пунктах 5.1, 5.2, 5.4 и 5.6 настоящего Приложения, с общей производительностью, превышающей 50 тонн, за исключением временного хранения, вплоть до сбора, на месте производства отходов">
        <w:r>
          <w:rPr>
            <w:sz w:val="20"/>
            <w:color w:val="0000ff"/>
          </w:rPr>
          <w:t xml:space="preserve">пункты 5.5</w:t>
        </w:r>
      </w:hyperlink>
      <w:r>
        <w:rPr>
          <w:sz w:val="20"/>
        </w:rPr>
        <w:t xml:space="preserve"> и </w:t>
      </w:r>
      <w:hyperlink w:history="0" w:anchor="P1345" w:tooltip="5.6. Подземное хранение опасных отходов с общей производительностью, превышающей 50 тонн">
        <w:r>
          <w:rPr>
            <w:sz w:val="20"/>
            <w:color w:val="0000ff"/>
          </w:rPr>
          <w:t xml:space="preserve">5.6</w:t>
        </w:r>
      </w:hyperlink>
      <w:r>
        <w:rPr>
          <w:sz w:val="20"/>
        </w:rPr>
        <w:t xml:space="preserve">, </w:t>
      </w:r>
      <w:hyperlink w:history="0" w:anchor="P1350" w:tooltip="c) одного или нескольких видов древесных плит: ориентированно-стружечная плита, древесностружечная плита или древесно-волокнистая плита с производственной мощностью, превышающей 600 куб. м в день.">
        <w:r>
          <w:rPr>
            <w:sz w:val="20"/>
            <w:color w:val="0000ff"/>
          </w:rPr>
          <w:t xml:space="preserve">пункт 6.1 "c"</w:t>
        </w:r>
      </w:hyperlink>
      <w:r>
        <w:rPr>
          <w:sz w:val="20"/>
        </w:rPr>
        <w:t xml:space="preserve">, </w:t>
      </w:r>
      <w:hyperlink w:history="0" w:anchor="P1354" w:tooltip="b) Обработка и переработка, за исключением упаковки, следующего сырья независимо от его предыдущей обработки с целью производства пищевых продуктов или кормов из:">
        <w:r>
          <w:rPr>
            <w:sz w:val="20"/>
            <w:color w:val="0000ff"/>
          </w:rPr>
          <w:t xml:space="preserve">пункт 6.4 "b"</w:t>
        </w:r>
      </w:hyperlink>
      <w:r>
        <w:rPr>
          <w:sz w:val="20"/>
        </w:rPr>
        <w:t xml:space="preserve"> для видов деятельности, не подпадающих под действие Директивы 2008/1/ЕС; а также </w:t>
      </w:r>
      <w:hyperlink w:history="0" w:anchor="P1412" w:tooltip="6.10. Сохранение лесов и лесоматериалов химическими веществами с производственной мощностью, превышающей 75 куб. м в день, за исключением обработки против сини.">
        <w:r>
          <w:rPr>
            <w:sz w:val="20"/>
            <w:color w:val="0000ff"/>
          </w:rPr>
          <w:t xml:space="preserve">пункты 6.10</w:t>
        </w:r>
      </w:hyperlink>
      <w:r>
        <w:rPr>
          <w:sz w:val="20"/>
        </w:rPr>
        <w:t xml:space="preserve"> и </w:t>
      </w:r>
      <w:hyperlink w:history="0" w:anchor="P1413" w:tooltip="6.11. Не подпадающая под действие Директивы 91/271/ЕС обособленная обработка сточных вод, которые сбрасываются в соответствии с главой II настоящей Директивы.">
        <w:r>
          <w:rPr>
            <w:sz w:val="20"/>
            <w:color w:val="0000ff"/>
          </w:rPr>
          <w:t xml:space="preserve">6.11</w:t>
        </w:r>
      </w:hyperlink>
      <w:r>
        <w:rPr>
          <w:sz w:val="20"/>
        </w:rPr>
        <w:t xml:space="preserve">; данное положение применяется, если такие установки функционировали до 7 января 2013 г.</w:t>
      </w:r>
    </w:p>
    <w:p>
      <w:pPr>
        <w:pStyle w:val="0"/>
        <w:spacing w:before="200" w:line-rule="auto"/>
        <w:ind w:firstLine="540"/>
        <w:jc w:val="both"/>
      </w:pPr>
      <w:r>
        <w:rPr>
          <w:sz w:val="20"/>
        </w:rPr>
        <w:t xml:space="preserve">3. В отношении заводов по сжиганию, указанных в </w:t>
      </w:r>
      <w:hyperlink w:history="0" w:anchor="P606" w:tooltip="2. Все разрешения на установки, содержащие заводы по сжиганию, разрешение на которые были выданы до 7 января 2013 г., или операторы которых подали полностью оформленное заявление на выдачу разрешения до указанной даты, при условии, что такие заводы введены в эксплуатацию не позднее 7 января 2014 г., должны содержать условия, гарантирующие, что выбросы в воздух от таких заводов не превышают пороговые значения выбросов, установленные в части 1 Приложения V к настоящей Директиве.">
        <w:r>
          <w:rPr>
            <w:sz w:val="20"/>
            <w:color w:val="0000ff"/>
          </w:rPr>
          <w:t xml:space="preserve">статье 30 (2)</w:t>
        </w:r>
      </w:hyperlink>
      <w:r>
        <w:rPr>
          <w:sz w:val="20"/>
        </w:rPr>
        <w:t xml:space="preserve"> настоящей Директивы, государства-члены ЕС с 1 января 2016 г. применяют законодательные, регламентарные и административные положения, принятые в соответствии со </w:t>
      </w:r>
      <w:hyperlink w:history="0" w:anchor="P1189" w:tooltip="1. Не позднее 7 января 2013 г. государства-члены ЕС вводят в действие законодательные, регламентарные и административные положения, необходимые для соблюдения статьи 2, пунктов (8), (11) - (15), (18) - (23), (26) - (30), (34) - (38) и (41) статьи 3, статьи 4 (2) и (3), статьи 7, статей 8 и 10, статьи 11 &quot;e&quot; и &quot;h&quot;, статьи 12 (1) &quot;e&quot; и &quot;h&quot;, статьи 13 (7), пункта &quot;ii&quot; статьи 14 (1) &quot;c&quot;, пунктов &quot;d&quot;, &quot;e&quot;, &quot;f&quot; и &quot;h&quot; статьи 14 (1), статьи 14 (2) - (7), статьи 15 (2) - (5), статей 16, 17 и 19, статьи 21 (2) - (...">
        <w:r>
          <w:rPr>
            <w:sz w:val="20"/>
            <w:color w:val="0000ff"/>
          </w:rPr>
          <w:t xml:space="preserve">статьей 80 (1)</w:t>
        </w:r>
      </w:hyperlink>
      <w:r>
        <w:rPr>
          <w:sz w:val="20"/>
        </w:rPr>
        <w:t xml:space="preserve"> настоящей Директивы в целях соблюдения </w:t>
      </w:r>
      <w:hyperlink w:history="0" w:anchor="P574" w:tooltip="Глава III. СПЕЦИАЛЬНЫЕ ПОЛОЖЕНИЯ ДЛЯ ЗАВОДОВ ПО СЖИГАНИЮ">
        <w:r>
          <w:rPr>
            <w:sz w:val="20"/>
            <w:color w:val="0000ff"/>
          </w:rPr>
          <w:t xml:space="preserve">главы III</w:t>
        </w:r>
      </w:hyperlink>
      <w:r>
        <w:rPr>
          <w:sz w:val="20"/>
        </w:rPr>
        <w:t xml:space="preserve"> и </w:t>
      </w:r>
      <w:hyperlink w:history="0" w:anchor="P1507" w:tooltip="ТЕХНИЧЕСКИЕ ХАРАКТЕРИСТИКИ">
        <w:r>
          <w:rPr>
            <w:sz w:val="20"/>
            <w:color w:val="0000ff"/>
          </w:rPr>
          <w:t xml:space="preserve">Приложения V</w:t>
        </w:r>
      </w:hyperlink>
      <w:r>
        <w:rPr>
          <w:sz w:val="20"/>
        </w:rPr>
        <w:t xml:space="preserve"> настоящей Директивы.</w:t>
      </w:r>
    </w:p>
    <w:p>
      <w:pPr>
        <w:pStyle w:val="0"/>
        <w:spacing w:before="200" w:line-rule="auto"/>
        <w:ind w:firstLine="540"/>
        <w:jc w:val="both"/>
      </w:pPr>
      <w:r>
        <w:rPr>
          <w:sz w:val="20"/>
        </w:rPr>
        <w:t xml:space="preserve">4. В отношении заводов по сжиганию, указанных в </w:t>
      </w:r>
      <w:hyperlink w:history="0" w:anchor="P608" w:tooltip="3. Все разрешения на установки, содержащие заводы по сжиганию, на которые не распространяется действие параграфа 2 настоящей статьи, должны содержать условия, гарантирующие, что выбросы в воздух от таких заводов не превышают пороговые значения выбросов, установленные в части 2 Приложения V к настоящей Директиве.">
        <w:r>
          <w:rPr>
            <w:sz w:val="20"/>
            <w:color w:val="0000ff"/>
          </w:rPr>
          <w:t xml:space="preserve">статье 30 (3)</w:t>
        </w:r>
      </w:hyperlink>
      <w:r>
        <w:rPr>
          <w:sz w:val="20"/>
        </w:rPr>
        <w:t xml:space="preserve"> настоящей Директивы, государства-члены ЕС не применяют </w:t>
      </w:r>
      <w:hyperlink w:history="0" r:id="rId80"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20"/>
            <w:color w:val="0000ff"/>
          </w:rPr>
          <w:t xml:space="preserve">Директиву</w:t>
        </w:r>
      </w:hyperlink>
      <w:r>
        <w:rPr>
          <w:sz w:val="20"/>
        </w:rPr>
        <w:t xml:space="preserve"> 2001/80/ЕС с 7 января 2013 г.</w:t>
      </w:r>
    </w:p>
    <w:bookmarkStart w:id="1210" w:name="P1210"/>
    <w:bookmarkEnd w:id="1210"/>
    <w:p>
      <w:pPr>
        <w:pStyle w:val="0"/>
        <w:spacing w:before="200" w:line-rule="auto"/>
        <w:ind w:firstLine="540"/>
        <w:jc w:val="both"/>
      </w:pPr>
      <w:r>
        <w:rPr>
          <w:sz w:val="20"/>
        </w:rPr>
        <w:t xml:space="preserve">5. В отношении заводов по сжиганию, осуществляющих совместное сжигание отходов, </w:t>
      </w:r>
      <w:hyperlink w:history="0" w:anchor="P2380" w:tooltip="    3.1.   Значение   C       ,   выраженное  как  среднесуточное  значение">
        <w:r>
          <w:rPr>
            <w:sz w:val="20"/>
            <w:color w:val="0000ff"/>
          </w:rPr>
          <w:t xml:space="preserve">пункт 3.1 части 4</w:t>
        </w:r>
      </w:hyperlink>
      <w:r>
        <w:rPr>
          <w:sz w:val="20"/>
        </w:rPr>
        <w:t xml:space="preserve"> Приложения VI к настоящей Директиве применяется до:</w:t>
      </w:r>
    </w:p>
    <w:p>
      <w:pPr>
        <w:pStyle w:val="0"/>
        <w:spacing w:before="200" w:line-rule="auto"/>
        <w:ind w:firstLine="540"/>
        <w:jc w:val="both"/>
      </w:pPr>
      <w:r>
        <w:rPr>
          <w:sz w:val="20"/>
        </w:rPr>
        <w:t xml:space="preserve">a) 31 декабря 2015 г. - в отношении заводов по сжиганию, указанных в </w:t>
      </w:r>
      <w:hyperlink w:history="0" w:anchor="P606" w:tooltip="2. Все разрешения на установки, содержащие заводы по сжиганию, разрешение на которые были выданы до 7 января 2013 г., или операторы которых подали полностью оформленное заявление на выдачу разрешения до указанной даты, при условии, что такие заводы введены в эксплуатацию не позднее 7 января 2014 г., должны содержать условия, гарантирующие, что выбросы в воздух от таких заводов не превышают пороговые значения выбросов, установленные в части 1 Приложения V к настоящей Директиве.">
        <w:r>
          <w:rPr>
            <w:sz w:val="20"/>
            <w:color w:val="0000ff"/>
          </w:rPr>
          <w:t xml:space="preserve">статье 30 (2)</w:t>
        </w:r>
      </w:hyperlink>
      <w:r>
        <w:rPr>
          <w:sz w:val="20"/>
        </w:rPr>
        <w:t xml:space="preserve"> настоящей Директивы;</w:t>
      </w:r>
    </w:p>
    <w:p>
      <w:pPr>
        <w:pStyle w:val="0"/>
        <w:spacing w:before="200" w:line-rule="auto"/>
        <w:ind w:firstLine="540"/>
        <w:jc w:val="both"/>
      </w:pPr>
      <w:r>
        <w:rPr>
          <w:sz w:val="20"/>
        </w:rPr>
        <w:t xml:space="preserve">b) 7 января 2013 г. - в отношении заводов по сжиганию, указанных в </w:t>
      </w:r>
      <w:hyperlink w:history="0" w:anchor="P608" w:tooltip="3. Все разрешения на установки, содержащие заводы по сжиганию, на которые не распространяется действие параграфа 2 настоящей статьи, должны содержать условия, гарантирующие, что выбросы в воздух от таких заводов не превышают пороговые значения выбросов, установленные в части 2 Приложения V к настоящей Директиве.">
        <w:r>
          <w:rPr>
            <w:sz w:val="20"/>
            <w:color w:val="0000ff"/>
          </w:rPr>
          <w:t xml:space="preserve">статье 30 (3)</w:t>
        </w:r>
      </w:hyperlink>
      <w:r>
        <w:rPr>
          <w:sz w:val="20"/>
        </w:rPr>
        <w:t xml:space="preserve"> настоящей Директивы.</w:t>
      </w:r>
    </w:p>
    <w:bookmarkStart w:id="1213" w:name="P1213"/>
    <w:bookmarkEnd w:id="1213"/>
    <w:p>
      <w:pPr>
        <w:pStyle w:val="0"/>
        <w:spacing w:before="200" w:line-rule="auto"/>
        <w:ind w:firstLine="540"/>
        <w:jc w:val="both"/>
      </w:pPr>
      <w:r>
        <w:rPr>
          <w:sz w:val="20"/>
        </w:rPr>
        <w:t xml:space="preserve">6. </w:t>
      </w:r>
      <w:hyperlink w:history="0" w:anchor="P2436" w:tooltip="    3.2.   Значение   C       ,   выраженное  как  среднесуточное  значение">
        <w:r>
          <w:rPr>
            <w:sz w:val="20"/>
            <w:color w:val="0000ff"/>
          </w:rPr>
          <w:t xml:space="preserve">Пункт 3.2 части 4</w:t>
        </w:r>
      </w:hyperlink>
      <w:r>
        <w:rPr>
          <w:sz w:val="20"/>
        </w:rPr>
        <w:t xml:space="preserve"> Приложения VI к настоящей Директиве применяется в отношении заводов по сжиганию, осуществляющих совместное сжигание отходов, с:</w:t>
      </w:r>
    </w:p>
    <w:p>
      <w:pPr>
        <w:pStyle w:val="0"/>
        <w:spacing w:before="200" w:line-rule="auto"/>
        <w:ind w:firstLine="540"/>
        <w:jc w:val="both"/>
      </w:pPr>
      <w:r>
        <w:rPr>
          <w:sz w:val="20"/>
        </w:rPr>
        <w:t xml:space="preserve">a) 1 января 2016 г. - в отношении заводов по сжиганию, указанных в статье 30 (2) настоящей Директивы;</w:t>
      </w:r>
    </w:p>
    <w:p>
      <w:pPr>
        <w:pStyle w:val="0"/>
        <w:spacing w:before="200" w:line-rule="auto"/>
        <w:ind w:firstLine="540"/>
        <w:jc w:val="both"/>
      </w:pPr>
      <w:r>
        <w:rPr>
          <w:sz w:val="20"/>
        </w:rPr>
        <w:t xml:space="preserve">b) 7 января 2013 г. - в отношении заводов по сжиганию, указанных в статье 30 (3) настоящей Директивы.</w:t>
      </w:r>
    </w:p>
    <w:bookmarkStart w:id="1216" w:name="P1216"/>
    <w:bookmarkEnd w:id="1216"/>
    <w:p>
      <w:pPr>
        <w:pStyle w:val="0"/>
        <w:spacing w:before="200" w:line-rule="auto"/>
        <w:ind w:firstLine="540"/>
        <w:jc w:val="both"/>
      </w:pPr>
      <w:r>
        <w:rPr>
          <w:sz w:val="20"/>
        </w:rPr>
        <w:t xml:space="preserve">7. </w:t>
      </w:r>
      <w:hyperlink w:history="0" w:anchor="P970" w:tooltip="Статья 58">
        <w:r>
          <w:rPr>
            <w:sz w:val="20"/>
            <w:color w:val="0000ff"/>
          </w:rPr>
          <w:t xml:space="preserve">Статья 58</w:t>
        </w:r>
      </w:hyperlink>
      <w:r>
        <w:rPr>
          <w:sz w:val="20"/>
        </w:rPr>
        <w:t xml:space="preserve"> настоящей Директивы применяется с 1 июня 2015 г. До указанной даты вещества или смеси, которые вследствие содержания летучих органических соединений, соответствующих критериям классификации как канцерогенные, мутагенные или токсичные для репродукции в соответствии с </w:t>
      </w:r>
      <w:hyperlink w:history="0" r:id="rId81" w:tooltip="Регламент N 1272/2008 Европейского парламента и Совета Европейского Союза &quot;О классификации, маркировке и упаковке веществ и смесей, изменяющий и отменяющий Директивы 67/548/ЕЭС и 1999/45/ЕС и изменяющий Регламент (ЕС) 1907/2006&quot; [рус., англ.] (Вместе с Приложениями I, II) (Принят в г. Страсбурге 16.12.2008) (с изм. и доп. от 07.08.2013) {КонсультантПлюс}">
        <w:r>
          <w:rPr>
            <w:sz w:val="20"/>
            <w:color w:val="0000ff"/>
          </w:rPr>
          <w:t xml:space="preserve">Регламентом</w:t>
        </w:r>
      </w:hyperlink>
      <w:r>
        <w:rPr>
          <w:sz w:val="20"/>
        </w:rPr>
        <w:t xml:space="preserve"> (ЕС) 1272/2008, должны иметь обозначения опасности H340, H350, H350i, H360D или H360F или обозначения риска R45, R46, R49, R60 или R61, необходимо заменить, насколько это возможно, менее опасными веществами или смесями в течение максимально короткого периода.</w:t>
      </w:r>
    </w:p>
    <w:bookmarkStart w:id="1217" w:name="P1217"/>
    <w:bookmarkEnd w:id="1217"/>
    <w:p>
      <w:pPr>
        <w:pStyle w:val="0"/>
        <w:spacing w:before="200" w:line-rule="auto"/>
        <w:ind w:firstLine="540"/>
        <w:jc w:val="both"/>
      </w:pPr>
      <w:r>
        <w:rPr>
          <w:sz w:val="20"/>
        </w:rPr>
        <w:t xml:space="preserve">8. </w:t>
      </w:r>
      <w:hyperlink w:history="0" w:anchor="P988" w:tooltip="5. Выбросы летучих органических соединений, которые должны иметь обозначения опасности H340, H350, H350i, H360D или H360F, либо галогенированные летучие органические соединения, которые должны иметь обозначения опасности H341 или H351, осуществляются под контролем при условиях использования, насколько это экономически и технически возможно, в целях охраны общественного здоровья и окружающей среды и не должны превышать соответствующие пороговые значения выбросов, установленные частью 4 Приложения VII к на...">
        <w:r>
          <w:rPr>
            <w:sz w:val="20"/>
            <w:color w:val="0000ff"/>
          </w:rPr>
          <w:t xml:space="preserve">Статья 59 (5)</w:t>
        </w:r>
      </w:hyperlink>
      <w:r>
        <w:rPr>
          <w:sz w:val="20"/>
        </w:rPr>
        <w:t xml:space="preserve"> настоящей Директивы применяется с 1 июня 2015 г. До указанной даты выбросы летучих органических соединений, которые должны иметь обозначения опасности H340, H350, H350i, H360D или H360F или обозначения риска R45, R46, R49, R60 или R61, либо выбросы галогенизированных летучих органических соединений, которые должны иметь обозначения опасности H341 или H351 или обозначения риска R40 или R68, осуществляются под контролем при условиях использования, насколько это экономически и технически возможно, в целях охраны общественного здоровья и окружающей среды и не должны превышать соответствующие пороговые значения выбросов, установленные </w:t>
      </w:r>
      <w:hyperlink w:history="0" w:anchor="P3248" w:tooltip="Часть 4">
        <w:r>
          <w:rPr>
            <w:sz w:val="20"/>
            <w:color w:val="0000ff"/>
          </w:rPr>
          <w:t xml:space="preserve">частью 4</w:t>
        </w:r>
      </w:hyperlink>
      <w:r>
        <w:rPr>
          <w:sz w:val="20"/>
        </w:rPr>
        <w:t xml:space="preserve"> Приложения VII к настоящей Директиве.</w:t>
      </w:r>
    </w:p>
    <w:bookmarkStart w:id="1218" w:name="P1218"/>
    <w:bookmarkEnd w:id="1218"/>
    <w:p>
      <w:pPr>
        <w:pStyle w:val="1"/>
        <w:spacing w:before="200" w:line-rule="auto"/>
        <w:jc w:val="both"/>
      </w:pPr>
      <w:r>
        <w:rPr>
          <w:sz w:val="20"/>
        </w:rPr>
        <w:t xml:space="preserve">    9. </w:t>
      </w:r>
      <w:hyperlink w:history="0" w:anchor="P3261" w:tooltip="    2.  Для  выбросов  галогенированных  летучих  органических  соединений,">
        <w:r>
          <w:rPr>
            <w:sz w:val="20"/>
            <w:color w:val="0000ff"/>
          </w:rPr>
          <w:t xml:space="preserve">Пункт 2 части 4</w:t>
        </w:r>
      </w:hyperlink>
      <w:r>
        <w:rPr>
          <w:sz w:val="20"/>
        </w:rPr>
        <w:t xml:space="preserve"> Приложения VII к настоящей Директиве применяется с 1</w:t>
      </w:r>
    </w:p>
    <w:p>
      <w:pPr>
        <w:pStyle w:val="1"/>
        <w:jc w:val="both"/>
      </w:pPr>
      <w:r>
        <w:rPr>
          <w:sz w:val="20"/>
        </w:rPr>
        <w:t xml:space="preserve">июня  2015  г.  До  указанной  даты в отношении выбросов галогенизированных</w:t>
      </w:r>
    </w:p>
    <w:p>
      <w:pPr>
        <w:pStyle w:val="1"/>
        <w:jc w:val="both"/>
      </w:pPr>
      <w:r>
        <w:rPr>
          <w:sz w:val="20"/>
        </w:rPr>
        <w:t xml:space="preserve">летучих органических соединений, которые должны иметь обозначения опасности</w:t>
      </w:r>
    </w:p>
    <w:p>
      <w:pPr>
        <w:pStyle w:val="1"/>
        <w:jc w:val="both"/>
      </w:pPr>
      <w:r>
        <w:rPr>
          <w:sz w:val="20"/>
        </w:rPr>
        <w:t xml:space="preserve">H341  или  H351  или  обозначения риска R40 или R68, в случае если массовый</w:t>
      </w:r>
    </w:p>
    <w:p>
      <w:pPr>
        <w:pStyle w:val="1"/>
        <w:jc w:val="both"/>
      </w:pPr>
      <w:r>
        <w:rPr>
          <w:sz w:val="20"/>
        </w:rPr>
        <w:t xml:space="preserve">расход  суммы соединений, вызвавших необходимость применения указанных выше</w:t>
      </w:r>
    </w:p>
    <w:p>
      <w:pPr>
        <w:pStyle w:val="1"/>
        <w:jc w:val="both"/>
      </w:pPr>
      <w:r>
        <w:rPr>
          <w:sz w:val="20"/>
        </w:rPr>
        <w:t xml:space="preserve">обозначений,  больше  или  равен  100 г/час, необходимо соблюдать пороговое</w:t>
      </w:r>
    </w:p>
    <w:p>
      <w:pPr>
        <w:pStyle w:val="1"/>
        <w:jc w:val="both"/>
      </w:pPr>
      <w:r>
        <w:rPr>
          <w:sz w:val="20"/>
        </w:rPr>
        <w:t xml:space="preserve">                                   3</w:t>
      </w:r>
    </w:p>
    <w:p>
      <w:pPr>
        <w:pStyle w:val="1"/>
        <w:jc w:val="both"/>
      </w:pPr>
      <w:r>
        <w:rPr>
          <w:sz w:val="20"/>
        </w:rPr>
        <w:t xml:space="preserve">значение  выбросов, равное 20 мг/Nm . Пороговое значение выбросов относится</w:t>
      </w:r>
    </w:p>
    <w:p>
      <w:pPr>
        <w:pStyle w:val="1"/>
        <w:jc w:val="both"/>
      </w:pPr>
      <w:r>
        <w:rPr>
          <w:sz w:val="20"/>
        </w:rPr>
        <w:t xml:space="preserve">к сумме отдельных соединений.</w:t>
      </w:r>
    </w:p>
    <w:p>
      <w:pPr>
        <w:pStyle w:val="0"/>
        <w:ind w:firstLine="540"/>
        <w:jc w:val="both"/>
      </w:pPr>
      <w:r>
        <w:rPr>
          <w:sz w:val="20"/>
        </w:rPr>
      </w:r>
    </w:p>
    <w:bookmarkStart w:id="1228" w:name="P1228"/>
    <w:bookmarkEnd w:id="1228"/>
    <w:p>
      <w:pPr>
        <w:pStyle w:val="0"/>
        <w:outlineLvl w:val="2"/>
        <w:jc w:val="center"/>
      </w:pPr>
      <w:r>
        <w:rPr>
          <w:sz w:val="20"/>
        </w:rPr>
        <w:t xml:space="preserve">Статья 83</w:t>
      </w:r>
    </w:p>
    <w:p>
      <w:pPr>
        <w:pStyle w:val="0"/>
        <w:jc w:val="center"/>
      </w:pPr>
      <w:r>
        <w:rPr>
          <w:sz w:val="20"/>
        </w:rPr>
      </w:r>
    </w:p>
    <w:p>
      <w:pPr>
        <w:pStyle w:val="0"/>
        <w:jc w:val="center"/>
      </w:pPr>
      <w:r>
        <w:rPr>
          <w:sz w:val="20"/>
        </w:rPr>
        <w:t xml:space="preserve">Вступление в силу</w:t>
      </w:r>
    </w:p>
    <w:p>
      <w:pPr>
        <w:pStyle w:val="0"/>
        <w:jc w:val="center"/>
      </w:pPr>
      <w:r>
        <w:rPr>
          <w:sz w:val="20"/>
        </w:rPr>
      </w:r>
    </w:p>
    <w:p>
      <w:pPr>
        <w:pStyle w:val="0"/>
        <w:ind w:firstLine="540"/>
        <w:jc w:val="both"/>
      </w:pPr>
      <w:r>
        <w:rPr>
          <w:sz w:val="20"/>
        </w:rPr>
        <w:t xml:space="preserve">Настоящая Директива вступает в силу на двадцатый день после ее публикации в Официальном журнале Европейского Союза.</w:t>
      </w:r>
    </w:p>
    <w:p>
      <w:pPr>
        <w:pStyle w:val="0"/>
        <w:ind w:firstLine="540"/>
        <w:jc w:val="both"/>
      </w:pPr>
      <w:r>
        <w:rPr>
          <w:sz w:val="20"/>
        </w:rPr>
      </w:r>
    </w:p>
    <w:bookmarkStart w:id="1234" w:name="P1234"/>
    <w:bookmarkEnd w:id="1234"/>
    <w:p>
      <w:pPr>
        <w:pStyle w:val="0"/>
        <w:outlineLvl w:val="2"/>
        <w:jc w:val="center"/>
      </w:pPr>
      <w:r>
        <w:rPr>
          <w:sz w:val="20"/>
        </w:rPr>
        <w:t xml:space="preserve">Статья 84</w:t>
      </w:r>
    </w:p>
    <w:p>
      <w:pPr>
        <w:pStyle w:val="0"/>
        <w:jc w:val="center"/>
      </w:pPr>
      <w:r>
        <w:rPr>
          <w:sz w:val="20"/>
        </w:rPr>
      </w:r>
    </w:p>
    <w:p>
      <w:pPr>
        <w:pStyle w:val="0"/>
        <w:jc w:val="center"/>
      </w:pPr>
      <w:r>
        <w:rPr>
          <w:sz w:val="20"/>
        </w:rPr>
        <w:t xml:space="preserve">Адресаты</w:t>
      </w:r>
    </w:p>
    <w:p>
      <w:pPr>
        <w:pStyle w:val="0"/>
        <w:jc w:val="center"/>
      </w:pPr>
      <w:r>
        <w:rPr>
          <w:sz w:val="20"/>
        </w:rPr>
      </w:r>
    </w:p>
    <w:p>
      <w:pPr>
        <w:pStyle w:val="0"/>
        <w:ind w:firstLine="540"/>
        <w:jc w:val="both"/>
      </w:pPr>
      <w:r>
        <w:rPr>
          <w:sz w:val="20"/>
        </w:rPr>
        <w:t xml:space="preserve">Настоящая Директива адресована государствам-членам ЕС.</w:t>
      </w:r>
    </w:p>
    <w:p>
      <w:pPr>
        <w:pStyle w:val="0"/>
        <w:ind w:firstLine="540"/>
        <w:jc w:val="both"/>
      </w:pPr>
      <w:r>
        <w:rPr>
          <w:sz w:val="20"/>
        </w:rPr>
      </w:r>
    </w:p>
    <w:p>
      <w:pPr>
        <w:pStyle w:val="0"/>
        <w:ind w:firstLine="540"/>
        <w:jc w:val="both"/>
      </w:pPr>
      <w:r>
        <w:rPr>
          <w:sz w:val="20"/>
        </w:rPr>
        <w:t xml:space="preserve">Совершено в Страсбурге 24 ноября 2010 г.</w:t>
      </w:r>
    </w:p>
    <w:p>
      <w:pPr>
        <w:pStyle w:val="0"/>
        <w:ind w:firstLine="540"/>
        <w:jc w:val="both"/>
      </w:pPr>
      <w:r>
        <w:rPr>
          <w:sz w:val="20"/>
        </w:rPr>
      </w:r>
    </w:p>
    <w:p>
      <w:pPr>
        <w:pStyle w:val="0"/>
        <w:jc w:val="right"/>
      </w:pPr>
      <w:r>
        <w:rPr>
          <w:sz w:val="20"/>
        </w:rPr>
        <w:t xml:space="preserve">(Подписи)</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 I</w:t>
      </w:r>
    </w:p>
    <w:p>
      <w:pPr>
        <w:pStyle w:val="0"/>
        <w:jc w:val="right"/>
      </w:pPr>
      <w:r>
        <w:rPr>
          <w:sz w:val="20"/>
        </w:rPr>
      </w:r>
    </w:p>
    <w:bookmarkStart w:id="1250" w:name="P1250"/>
    <w:bookmarkEnd w:id="1250"/>
    <w:p>
      <w:pPr>
        <w:pStyle w:val="2"/>
        <w:jc w:val="center"/>
      </w:pPr>
      <w:r>
        <w:rPr>
          <w:sz w:val="20"/>
        </w:rPr>
        <w:t xml:space="preserve">КАТЕГОРИИ ВИДОВ ДЕЯТЕЛЬНОСТИ,</w:t>
      </w:r>
    </w:p>
    <w:p>
      <w:pPr>
        <w:pStyle w:val="2"/>
        <w:jc w:val="center"/>
      </w:pPr>
      <w:r>
        <w:rPr>
          <w:sz w:val="20"/>
        </w:rPr>
        <w:t xml:space="preserve">УКАЗАННЫЕ В </w:t>
      </w:r>
      <w:hyperlink w:history="0" w:anchor="P300" w:tooltip="Статья 10">
        <w:r>
          <w:rPr>
            <w:sz w:val="20"/>
            <w:color w:val="0000ff"/>
          </w:rPr>
          <w:t xml:space="preserve">СТАТЬЕ 10</w:t>
        </w:r>
      </w:hyperlink>
      <w:r>
        <w:rPr>
          <w:sz w:val="20"/>
        </w:rPr>
        <w:t xml:space="preserve"> НАСТОЯЩЕЙ ДИРЕКТИВЫ</w:t>
      </w:r>
    </w:p>
    <w:p>
      <w:pPr>
        <w:pStyle w:val="0"/>
        <w:jc w:val="center"/>
      </w:pPr>
      <w:r>
        <w:rPr>
          <w:sz w:val="20"/>
        </w:rPr>
      </w:r>
    </w:p>
    <w:bookmarkStart w:id="1253" w:name="P1253"/>
    <w:bookmarkEnd w:id="1253"/>
    <w:p>
      <w:pPr>
        <w:pStyle w:val="0"/>
        <w:ind w:firstLine="540"/>
        <w:jc w:val="both"/>
      </w:pPr>
      <w:r>
        <w:rPr>
          <w:sz w:val="20"/>
        </w:rPr>
        <w:t xml:space="preserve">Пороговые значения, установленные ниже, относятся к производственным мощностям или объемам выпуска. При осуществлении одной установкой нескольких видов деятельности, подпадающих под одно и то же описание пороговых значений, производственные мощности таких видов деятельности складываются. В отношении деятельности по управлению отходами данное правило применяется на уровне видов деятельности, указанных в </w:t>
      </w:r>
      <w:hyperlink w:history="0" w:anchor="P1310" w:tooltip="5.1. Захоронение или извлечение опасных отходов с производительностью, превышающей 10 тонн в день, с использованием одного или нескольких из нижеперечисленных видов деятельности:">
        <w:r>
          <w:rPr>
            <w:sz w:val="20"/>
            <w:color w:val="0000ff"/>
          </w:rPr>
          <w:t xml:space="preserve">пунктах 5.1</w:t>
        </w:r>
      </w:hyperlink>
      <w:r>
        <w:rPr>
          <w:sz w:val="20"/>
        </w:rPr>
        <w:t xml:space="preserve">, </w:t>
      </w:r>
      <w:hyperlink w:history="0" w:anchor="P1325" w:tooltip="5.3. a) Захоронение неопасных отходов с производительностью, превышающей 50 тонн в день с использованием одного или нескольких из нижеперечисленных видов деятельности, за исключением видов деятельности, подпадающих под действие Директивы 91/271/ЕЭС Совета ЕС от 21 мая 1991 г. об очистке городских сточных вод &lt;*&gt;:">
        <w:r>
          <w:rPr>
            <w:sz w:val="20"/>
            <w:color w:val="0000ff"/>
          </w:rPr>
          <w:t xml:space="preserve">5.3 "a"</w:t>
        </w:r>
      </w:hyperlink>
      <w:r>
        <w:rPr>
          <w:sz w:val="20"/>
        </w:rPr>
        <w:t xml:space="preserve"> и </w:t>
      </w:r>
      <w:hyperlink w:history="0" w:anchor="P1334" w:tooltip="b) Извлечение или комбинация извлечения и захоронения неопасных отходов с производительностью, превышающей 75 тонн в день, с использованием одного или нескольких из нижеперечисленных видов деятельности, за исключением видов деятельности, подпадающих под действие Директивы 91/271/ЕЭС Совета ЕС:">
        <w:r>
          <w:rPr>
            <w:sz w:val="20"/>
            <w:color w:val="0000ff"/>
          </w:rPr>
          <w:t xml:space="preserve">5.3 "b"</w:t>
        </w:r>
      </w:hyperlink>
      <w:r>
        <w:rPr>
          <w:sz w:val="20"/>
        </w:rPr>
        <w:t xml:space="preserve"> настоящего Приложения.</w:t>
      </w:r>
    </w:p>
    <w:bookmarkStart w:id="1254" w:name="P1254"/>
    <w:bookmarkEnd w:id="1254"/>
    <w:p>
      <w:pPr>
        <w:pStyle w:val="0"/>
        <w:spacing w:before="200" w:line-rule="auto"/>
        <w:ind w:firstLine="540"/>
        <w:jc w:val="both"/>
      </w:pPr>
      <w:r>
        <w:rPr>
          <w:sz w:val="20"/>
        </w:rPr>
        <w:t xml:space="preserve">Европейская комиссия разрабатывает рекомендации:</w:t>
      </w:r>
    </w:p>
    <w:p>
      <w:pPr>
        <w:pStyle w:val="0"/>
        <w:spacing w:before="200" w:line-rule="auto"/>
        <w:ind w:firstLine="540"/>
        <w:jc w:val="both"/>
      </w:pPr>
      <w:r>
        <w:rPr>
          <w:sz w:val="20"/>
        </w:rPr>
        <w:t xml:space="preserve">a) по вопросам соотношения видов деятельности по управлению отходами, указанных в настоящем Приложении, и видов соответствующей деятельности, указанных в </w:t>
      </w:r>
      <w:hyperlink w:history="0" r:id="rId82" w:tooltip="Директива N 2008/98/ЕС Европейского парламента и Совета Европейского Союза &quot;Об отходах и отмене ряда Директив&quot; [рус., англ.] (Вместе с &lt;Операциями по уничтожению, утилизации&gt;, &quot;Свойствами отходов, которые превращают их в опасные&quot;, &lt;Примерами мер по предотвращению образования отходов, экономических инструментов, предоставляющих льготы при применении иерархии&gt;, &lt;Планом реализации&gt;, &quot;Корреляционной таблицей&quot;) (Принята в г. Страсбурге 19.11.2008) (с изм. и доп. от 30.05.2018) {КонсультантПлюс}">
        <w:r>
          <w:rPr>
            <w:sz w:val="20"/>
            <w:color w:val="0000ff"/>
          </w:rPr>
          <w:t xml:space="preserve">приложениях I</w:t>
        </w:r>
      </w:hyperlink>
      <w:r>
        <w:rPr>
          <w:sz w:val="20"/>
        </w:rPr>
        <w:t xml:space="preserve"> и </w:t>
      </w:r>
      <w:hyperlink w:history="0" r:id="rId83" w:tooltip="Директива N 2008/98/ЕС Европейского парламента и Совета Европейского Союза &quot;Об отходах и отмене ряда Директив&quot; [рус., англ.] (Вместе с &lt;Операциями по уничтожению, утилизации&gt;, &quot;Свойствами отходов, которые превращают их в опасные&quot;, &lt;Примерами мер по предотвращению образования отходов, экономических инструментов, предоставляющих льготы при применении иерархии&gt;, &lt;Планом реализации&gt;, &quot;Корреляционной таблицей&quot;) (Принята в г. Страсбурге 19.11.2008) (с изм. и доп. от 30.05.2018) {КонсультантПлюс}">
        <w:r>
          <w:rPr>
            <w:sz w:val="20"/>
            <w:color w:val="0000ff"/>
          </w:rPr>
          <w:t xml:space="preserve">II</w:t>
        </w:r>
      </w:hyperlink>
      <w:r>
        <w:rPr>
          <w:sz w:val="20"/>
        </w:rPr>
        <w:t xml:space="preserve"> к Директиве 2008/98/ЕС;</w:t>
      </w:r>
    </w:p>
    <w:p>
      <w:pPr>
        <w:pStyle w:val="0"/>
        <w:spacing w:before="200" w:line-rule="auto"/>
        <w:ind w:firstLine="540"/>
        <w:jc w:val="both"/>
      </w:pPr>
      <w:r>
        <w:rPr>
          <w:sz w:val="20"/>
        </w:rPr>
        <w:t xml:space="preserve">b) по вопросам толкования термина "промышленный масштаб", который используется при описании видов деятельности химической промышленности, указанных в настоящем Приложении.</w:t>
      </w:r>
    </w:p>
    <w:p>
      <w:pPr>
        <w:pStyle w:val="0"/>
        <w:spacing w:before="200" w:line-rule="auto"/>
        <w:ind w:firstLine="540"/>
        <w:jc w:val="both"/>
      </w:pPr>
      <w:r>
        <w:rPr>
          <w:sz w:val="20"/>
        </w:rPr>
        <w:t xml:space="preserve">1. Энергетические отрасли промышленности</w:t>
      </w:r>
    </w:p>
    <w:bookmarkStart w:id="1258" w:name="P1258"/>
    <w:bookmarkEnd w:id="1258"/>
    <w:p>
      <w:pPr>
        <w:pStyle w:val="0"/>
        <w:spacing w:before="200" w:line-rule="auto"/>
        <w:ind w:firstLine="540"/>
        <w:jc w:val="both"/>
      </w:pPr>
      <w:r>
        <w:rPr>
          <w:sz w:val="20"/>
        </w:rPr>
        <w:t xml:space="preserve">1.1. Сжигание топлива в установках с номинальной тепловой мощностью 50 MW или более</w:t>
      </w:r>
    </w:p>
    <w:bookmarkStart w:id="1259" w:name="P1259"/>
    <w:bookmarkEnd w:id="1259"/>
    <w:p>
      <w:pPr>
        <w:pStyle w:val="0"/>
        <w:spacing w:before="200" w:line-rule="auto"/>
        <w:ind w:firstLine="540"/>
        <w:jc w:val="both"/>
      </w:pPr>
      <w:r>
        <w:rPr>
          <w:sz w:val="20"/>
        </w:rPr>
        <w:t xml:space="preserve">1.2. Очистка нефти и газа</w:t>
      </w:r>
    </w:p>
    <w:bookmarkStart w:id="1260" w:name="P1260"/>
    <w:bookmarkEnd w:id="1260"/>
    <w:p>
      <w:pPr>
        <w:pStyle w:val="0"/>
        <w:spacing w:before="200" w:line-rule="auto"/>
        <w:ind w:firstLine="540"/>
        <w:jc w:val="both"/>
      </w:pPr>
      <w:r>
        <w:rPr>
          <w:sz w:val="20"/>
        </w:rPr>
        <w:t xml:space="preserve">1.3. Производство кокса</w:t>
      </w:r>
    </w:p>
    <w:bookmarkStart w:id="1261" w:name="P1261"/>
    <w:bookmarkEnd w:id="1261"/>
    <w:p>
      <w:pPr>
        <w:pStyle w:val="0"/>
        <w:spacing w:before="200" w:line-rule="auto"/>
        <w:ind w:firstLine="540"/>
        <w:jc w:val="both"/>
      </w:pPr>
      <w:r>
        <w:rPr>
          <w:sz w:val="20"/>
        </w:rPr>
        <w:t xml:space="preserve">1.4. Газификация или сжижение:</w:t>
      </w:r>
    </w:p>
    <w:bookmarkStart w:id="1262" w:name="P1262"/>
    <w:bookmarkEnd w:id="1262"/>
    <w:p>
      <w:pPr>
        <w:pStyle w:val="0"/>
        <w:spacing w:before="200" w:line-rule="auto"/>
        <w:ind w:firstLine="540"/>
        <w:jc w:val="both"/>
      </w:pPr>
      <w:r>
        <w:rPr>
          <w:sz w:val="20"/>
        </w:rPr>
        <w:t xml:space="preserve">a) угля;</w:t>
      </w:r>
    </w:p>
    <w:bookmarkStart w:id="1263" w:name="P1263"/>
    <w:bookmarkEnd w:id="1263"/>
    <w:p>
      <w:pPr>
        <w:pStyle w:val="0"/>
        <w:spacing w:before="200" w:line-rule="auto"/>
        <w:ind w:firstLine="540"/>
        <w:jc w:val="both"/>
      </w:pPr>
      <w:r>
        <w:rPr>
          <w:sz w:val="20"/>
        </w:rPr>
        <w:t xml:space="preserve">b) иных видов топлива в установках с номинальной тепловой мощностью 20 MW или более.</w:t>
      </w:r>
    </w:p>
    <w:bookmarkStart w:id="1264" w:name="P1264"/>
    <w:bookmarkEnd w:id="1264"/>
    <w:p>
      <w:pPr>
        <w:pStyle w:val="0"/>
        <w:spacing w:before="200" w:line-rule="auto"/>
        <w:ind w:firstLine="540"/>
        <w:jc w:val="both"/>
      </w:pPr>
      <w:r>
        <w:rPr>
          <w:sz w:val="20"/>
        </w:rPr>
        <w:t xml:space="preserve">2. Производство и обработка металлов</w:t>
      </w:r>
    </w:p>
    <w:bookmarkStart w:id="1265" w:name="P1265"/>
    <w:bookmarkEnd w:id="1265"/>
    <w:p>
      <w:pPr>
        <w:pStyle w:val="0"/>
        <w:spacing w:before="200" w:line-rule="auto"/>
        <w:ind w:firstLine="540"/>
        <w:jc w:val="both"/>
      </w:pPr>
      <w:r>
        <w:rPr>
          <w:sz w:val="20"/>
        </w:rPr>
        <w:t xml:space="preserve">2.1. Обжиг или агломерация металлических руд (в том числе сульфидных руд)</w:t>
      </w:r>
    </w:p>
    <w:p>
      <w:pPr>
        <w:pStyle w:val="0"/>
        <w:spacing w:before="200" w:line-rule="auto"/>
        <w:ind w:firstLine="540"/>
        <w:jc w:val="both"/>
      </w:pPr>
      <w:r>
        <w:rPr>
          <w:sz w:val="20"/>
        </w:rPr>
        <w:t xml:space="preserve">2.2. Производство чугуна или стали (первичная или вторичная плавка), в том числе непрерывная разливка с производительностью, превышающей 2,5 тонны в час</w:t>
      </w:r>
    </w:p>
    <w:p>
      <w:pPr>
        <w:pStyle w:val="0"/>
        <w:spacing w:before="200" w:line-rule="auto"/>
        <w:ind w:firstLine="540"/>
        <w:jc w:val="both"/>
      </w:pPr>
      <w:r>
        <w:rPr>
          <w:sz w:val="20"/>
        </w:rPr>
        <w:t xml:space="preserve">2.3. Обработка черных металлов:</w:t>
      </w:r>
    </w:p>
    <w:p>
      <w:pPr>
        <w:pStyle w:val="0"/>
        <w:spacing w:before="200" w:line-rule="auto"/>
        <w:ind w:firstLine="540"/>
        <w:jc w:val="both"/>
      </w:pPr>
      <w:r>
        <w:rPr>
          <w:sz w:val="20"/>
        </w:rPr>
        <w:t xml:space="preserve">a) станы горячей прокатки с мощностью, превышающей 20 тонн необработанной стали в час;</w:t>
      </w:r>
    </w:p>
    <w:p>
      <w:pPr>
        <w:pStyle w:val="0"/>
        <w:spacing w:before="200" w:line-rule="auto"/>
        <w:ind w:firstLine="540"/>
        <w:jc w:val="both"/>
      </w:pPr>
      <w:r>
        <w:rPr>
          <w:sz w:val="20"/>
        </w:rPr>
        <w:t xml:space="preserve">b) кузнечные молоты, энергия которых превышает 50 килоджоулей на молот, а потребляемая тепловая мощность превышает 20 MW;</w:t>
      </w:r>
    </w:p>
    <w:p>
      <w:pPr>
        <w:pStyle w:val="0"/>
        <w:spacing w:before="200" w:line-rule="auto"/>
        <w:ind w:firstLine="540"/>
        <w:jc w:val="both"/>
      </w:pPr>
      <w:r>
        <w:rPr>
          <w:sz w:val="20"/>
        </w:rPr>
        <w:t xml:space="preserve">c) нанесение защитных распыленных металлических покрытий с подачей необработанной стали, превышающей 2 тонны в час.</w:t>
      </w:r>
    </w:p>
    <w:p>
      <w:pPr>
        <w:pStyle w:val="0"/>
        <w:spacing w:before="200" w:line-rule="auto"/>
        <w:ind w:firstLine="540"/>
        <w:jc w:val="both"/>
      </w:pPr>
      <w:r>
        <w:rPr>
          <w:sz w:val="20"/>
        </w:rPr>
        <w:t xml:space="preserve">2.4. Литейные цеха черных металлов с производственной мощностью, превышающей 20 тонн в день</w:t>
      </w:r>
    </w:p>
    <w:p>
      <w:pPr>
        <w:pStyle w:val="0"/>
        <w:spacing w:before="200" w:line-rule="auto"/>
        <w:ind w:firstLine="540"/>
        <w:jc w:val="both"/>
      </w:pPr>
      <w:r>
        <w:rPr>
          <w:sz w:val="20"/>
        </w:rPr>
        <w:t xml:space="preserve">2.5. Обработка цветных металлов:</w:t>
      </w:r>
    </w:p>
    <w:p>
      <w:pPr>
        <w:pStyle w:val="0"/>
        <w:spacing w:before="200" w:line-rule="auto"/>
        <w:ind w:firstLine="540"/>
        <w:jc w:val="both"/>
      </w:pPr>
      <w:r>
        <w:rPr>
          <w:sz w:val="20"/>
        </w:rPr>
        <w:t xml:space="preserve">a) производство нераскисленных цветных металлов из руды, концентратов или вторичного сырья посредством металлургических, химических или электролитических процессов;</w:t>
      </w:r>
    </w:p>
    <w:bookmarkStart w:id="1274" w:name="P1274"/>
    <w:bookmarkEnd w:id="1274"/>
    <w:p>
      <w:pPr>
        <w:pStyle w:val="0"/>
        <w:spacing w:before="200" w:line-rule="auto"/>
        <w:ind w:firstLine="540"/>
        <w:jc w:val="both"/>
      </w:pPr>
      <w:r>
        <w:rPr>
          <w:sz w:val="20"/>
        </w:rPr>
        <w:t xml:space="preserve">b) выплавка, включая легирование, цветных металлов, в том числе извлеченных продуктов, и эксплуатация литейных цехов черных металлов с плавильной мощностью, превышающей 4 тонны в день для свинца и кадмия или 20 тонн в день для всех других металлов.</w:t>
      </w:r>
    </w:p>
    <w:bookmarkStart w:id="1275" w:name="P1275"/>
    <w:bookmarkEnd w:id="1275"/>
    <w:p>
      <w:pPr>
        <w:pStyle w:val="0"/>
        <w:spacing w:before="200" w:line-rule="auto"/>
        <w:ind w:firstLine="540"/>
        <w:jc w:val="both"/>
      </w:pPr>
      <w:r>
        <w:rPr>
          <w:sz w:val="20"/>
        </w:rPr>
        <w:t xml:space="preserve">2.6. Поверхностная обработка металлов и пластических материалов с использованием электролитических или химических процессов, при которых объем используемых для обработки чанов превышает 30 куб. м.</w:t>
      </w:r>
    </w:p>
    <w:p>
      <w:pPr>
        <w:pStyle w:val="0"/>
        <w:spacing w:before="200" w:line-rule="auto"/>
        <w:ind w:firstLine="540"/>
        <w:jc w:val="both"/>
      </w:pPr>
      <w:r>
        <w:rPr>
          <w:sz w:val="20"/>
        </w:rPr>
        <w:t xml:space="preserve">3. Горнодобывающая промышленность</w:t>
      </w:r>
    </w:p>
    <w:bookmarkStart w:id="1277" w:name="P1277"/>
    <w:bookmarkEnd w:id="1277"/>
    <w:p>
      <w:pPr>
        <w:pStyle w:val="0"/>
        <w:spacing w:before="200" w:line-rule="auto"/>
        <w:ind w:firstLine="540"/>
        <w:jc w:val="both"/>
      </w:pPr>
      <w:r>
        <w:rPr>
          <w:sz w:val="20"/>
        </w:rPr>
        <w:t xml:space="preserve">3.1. Производство цемента, извести и магнезии:</w:t>
      </w:r>
    </w:p>
    <w:bookmarkStart w:id="1278" w:name="P1278"/>
    <w:bookmarkEnd w:id="1278"/>
    <w:p>
      <w:pPr>
        <w:pStyle w:val="0"/>
        <w:spacing w:before="200" w:line-rule="auto"/>
        <w:ind w:firstLine="540"/>
        <w:jc w:val="both"/>
      </w:pPr>
      <w:r>
        <w:rPr>
          <w:sz w:val="20"/>
        </w:rPr>
        <w:t xml:space="preserve">a) производство цементного клинкера во вращающихся обжиговых печах с производственной мощностью, превышающей 500 тонн в день, или в других печах с производственной мощностью, превышающей 50 тонн в день;</w:t>
      </w:r>
    </w:p>
    <w:bookmarkStart w:id="1279" w:name="P1279"/>
    <w:bookmarkEnd w:id="1279"/>
    <w:p>
      <w:pPr>
        <w:pStyle w:val="0"/>
        <w:spacing w:before="200" w:line-rule="auto"/>
        <w:ind w:firstLine="540"/>
        <w:jc w:val="both"/>
      </w:pPr>
      <w:r>
        <w:rPr>
          <w:sz w:val="20"/>
        </w:rPr>
        <w:t xml:space="preserve">b) производство извести в печах с производственной мощностью, превышающей 50 тонн в день;</w:t>
      </w:r>
    </w:p>
    <w:bookmarkStart w:id="1280" w:name="P1280"/>
    <w:bookmarkEnd w:id="1280"/>
    <w:p>
      <w:pPr>
        <w:pStyle w:val="0"/>
        <w:spacing w:before="200" w:line-rule="auto"/>
        <w:ind w:firstLine="540"/>
        <w:jc w:val="both"/>
      </w:pPr>
      <w:r>
        <w:rPr>
          <w:sz w:val="20"/>
        </w:rPr>
        <w:t xml:space="preserve">c) производство магнезии в печах с производственной мощностью, превышающей 50 тонн в день.</w:t>
      </w:r>
    </w:p>
    <w:bookmarkStart w:id="1281" w:name="P1281"/>
    <w:bookmarkEnd w:id="1281"/>
    <w:p>
      <w:pPr>
        <w:pStyle w:val="0"/>
        <w:spacing w:before="200" w:line-rule="auto"/>
        <w:ind w:firstLine="540"/>
        <w:jc w:val="both"/>
      </w:pPr>
      <w:r>
        <w:rPr>
          <w:sz w:val="20"/>
        </w:rPr>
        <w:t xml:space="preserve">3.2. Производство асбеста или изготовление асбестосодержащих продуктов</w:t>
      </w:r>
    </w:p>
    <w:p>
      <w:pPr>
        <w:pStyle w:val="0"/>
        <w:spacing w:before="200" w:line-rule="auto"/>
        <w:ind w:firstLine="540"/>
        <w:jc w:val="both"/>
      </w:pPr>
      <w:r>
        <w:rPr>
          <w:sz w:val="20"/>
        </w:rPr>
        <w:t xml:space="preserve">3.3. Производство стекла, в том числе стекловолокно, с плавильной мощностью, превышающей 20 тонн в день</w:t>
      </w:r>
    </w:p>
    <w:p>
      <w:pPr>
        <w:pStyle w:val="0"/>
        <w:spacing w:before="200" w:line-rule="auto"/>
        <w:ind w:firstLine="540"/>
        <w:jc w:val="both"/>
      </w:pPr>
      <w:r>
        <w:rPr>
          <w:sz w:val="20"/>
        </w:rPr>
        <w:t xml:space="preserve">3.4. Плавление минеральных веществ, в том числе производство минеральных волокон, с плавильной мощностью, превышающей 20 тонн в день</w:t>
      </w:r>
    </w:p>
    <w:bookmarkStart w:id="1284" w:name="P1284"/>
    <w:bookmarkEnd w:id="1284"/>
    <w:p>
      <w:pPr>
        <w:pStyle w:val="0"/>
        <w:spacing w:before="200" w:line-rule="auto"/>
        <w:ind w:firstLine="540"/>
        <w:jc w:val="both"/>
      </w:pPr>
      <w:r>
        <w:rPr>
          <w:sz w:val="20"/>
        </w:rPr>
        <w:t xml:space="preserve">3.5. Производство керамических продуктов путем обжига, в частности, кровельной черепицы, кирпича, огнеупорного кирпича, керамической плитки, каменной керамики или фарфоровых изделий, с производственной мощностью, превышающей 75 тонн в день, и/или с мощностью обжиговых печей, превышающей 4 куб. м, и плотностью садки на обжиговую печь, превышающей 300 кг/куб. м.</w:t>
      </w:r>
    </w:p>
    <w:bookmarkStart w:id="1285" w:name="P1285"/>
    <w:bookmarkEnd w:id="1285"/>
    <w:p>
      <w:pPr>
        <w:pStyle w:val="0"/>
        <w:spacing w:before="200" w:line-rule="auto"/>
        <w:ind w:firstLine="540"/>
        <w:jc w:val="both"/>
      </w:pPr>
      <w:r>
        <w:rPr>
          <w:sz w:val="20"/>
        </w:rPr>
        <w:t xml:space="preserve">4. Химическая промышленность</w:t>
      </w:r>
    </w:p>
    <w:p>
      <w:pPr>
        <w:pStyle w:val="0"/>
        <w:spacing w:before="200" w:line-rule="auto"/>
        <w:ind w:firstLine="540"/>
        <w:jc w:val="both"/>
      </w:pPr>
      <w:r>
        <w:rPr>
          <w:sz w:val="20"/>
        </w:rPr>
        <w:t xml:space="preserve">В целях настоящего раздела производство в пределах значения категорий видов деятельности, содержащихся в этом разделе, означает производство в промышленных масштабах с помощью химической или биологической обработки веществ или групп веществ, перечисленных в пунктах 4.1 - </w:t>
      </w:r>
      <w:hyperlink w:history="0" w:anchor="P1308" w:tooltip="4.6. Производство взрывчатых веществ">
        <w:r>
          <w:rPr>
            <w:sz w:val="20"/>
            <w:color w:val="0000ff"/>
          </w:rPr>
          <w:t xml:space="preserve">4.6</w:t>
        </w:r>
      </w:hyperlink>
      <w:r>
        <w:rPr>
          <w:sz w:val="20"/>
        </w:rPr>
        <w:t xml:space="preserve">.</w:t>
      </w:r>
    </w:p>
    <w:bookmarkStart w:id="1287" w:name="P1287"/>
    <w:bookmarkEnd w:id="1287"/>
    <w:p>
      <w:pPr>
        <w:pStyle w:val="0"/>
        <w:spacing w:before="200" w:line-rule="auto"/>
        <w:ind w:firstLine="540"/>
        <w:jc w:val="both"/>
      </w:pPr>
      <w:r>
        <w:rPr>
          <w:sz w:val="20"/>
        </w:rPr>
        <w:t xml:space="preserve">4.1. Производство органических химических веществ, таких как:</w:t>
      </w:r>
    </w:p>
    <w:p>
      <w:pPr>
        <w:pStyle w:val="0"/>
        <w:spacing w:before="200" w:line-rule="auto"/>
        <w:ind w:firstLine="540"/>
        <w:jc w:val="both"/>
      </w:pPr>
      <w:r>
        <w:rPr>
          <w:sz w:val="20"/>
        </w:rPr>
        <w:t xml:space="preserve">a) простые углеводороды (линейные или циклические, насыщенные или ненасыщенные, алифатические или ароматические);</w:t>
      </w:r>
    </w:p>
    <w:p>
      <w:pPr>
        <w:pStyle w:val="0"/>
        <w:spacing w:before="200" w:line-rule="auto"/>
        <w:ind w:firstLine="540"/>
        <w:jc w:val="both"/>
      </w:pPr>
      <w:r>
        <w:rPr>
          <w:sz w:val="20"/>
        </w:rPr>
        <w:t xml:space="preserve">b) кислородсодержащие углеводороды, такие, как спирты, альдегиды, кетоны, карбоновые кислоты, сложные эфиры и их смеси, ацетаты, простые эфиры, перекиси, эпоксидные смолы;</w:t>
      </w:r>
    </w:p>
    <w:p>
      <w:pPr>
        <w:pStyle w:val="0"/>
        <w:spacing w:before="200" w:line-rule="auto"/>
        <w:ind w:firstLine="540"/>
        <w:jc w:val="both"/>
      </w:pPr>
      <w:r>
        <w:rPr>
          <w:sz w:val="20"/>
        </w:rPr>
        <w:t xml:space="preserve">c) сернистые углеводороды;</w:t>
      </w:r>
    </w:p>
    <w:p>
      <w:pPr>
        <w:pStyle w:val="0"/>
        <w:spacing w:before="200" w:line-rule="auto"/>
        <w:ind w:firstLine="540"/>
        <w:jc w:val="both"/>
      </w:pPr>
      <w:r>
        <w:rPr>
          <w:sz w:val="20"/>
        </w:rPr>
        <w:t xml:space="preserve">d) азотные углеводороды, такие как амины, амиды, соединения азота, нитросоединения или нитратные соединения, нитрилы, цианаты, изоцианаты;</w:t>
      </w:r>
    </w:p>
    <w:p>
      <w:pPr>
        <w:pStyle w:val="0"/>
        <w:spacing w:before="200" w:line-rule="auto"/>
        <w:ind w:firstLine="540"/>
        <w:jc w:val="both"/>
      </w:pPr>
      <w:r>
        <w:rPr>
          <w:sz w:val="20"/>
        </w:rPr>
        <w:t xml:space="preserve">e) фосфорсодержащие углеводороды;</w:t>
      </w:r>
    </w:p>
    <w:p>
      <w:pPr>
        <w:pStyle w:val="0"/>
        <w:spacing w:before="200" w:line-rule="auto"/>
        <w:ind w:firstLine="540"/>
        <w:jc w:val="both"/>
      </w:pPr>
      <w:r>
        <w:rPr>
          <w:sz w:val="20"/>
        </w:rPr>
        <w:t xml:space="preserve">f) галогенизированные углеводороды;</w:t>
      </w:r>
    </w:p>
    <w:p>
      <w:pPr>
        <w:pStyle w:val="0"/>
        <w:spacing w:before="200" w:line-rule="auto"/>
        <w:ind w:firstLine="540"/>
        <w:jc w:val="both"/>
      </w:pPr>
      <w:r>
        <w:rPr>
          <w:sz w:val="20"/>
        </w:rPr>
        <w:t xml:space="preserve">g) органометаллические соединения;</w:t>
      </w:r>
    </w:p>
    <w:p>
      <w:pPr>
        <w:pStyle w:val="0"/>
        <w:spacing w:before="200" w:line-rule="auto"/>
        <w:ind w:firstLine="540"/>
        <w:jc w:val="both"/>
      </w:pPr>
      <w:r>
        <w:rPr>
          <w:sz w:val="20"/>
        </w:rPr>
        <w:t xml:space="preserve">h) пластические материалы (полимеры, синтетические волокна и волокна на базе целлюлозы);</w:t>
      </w:r>
    </w:p>
    <w:p>
      <w:pPr>
        <w:pStyle w:val="0"/>
        <w:spacing w:before="200" w:line-rule="auto"/>
        <w:ind w:firstLine="540"/>
        <w:jc w:val="both"/>
      </w:pPr>
      <w:r>
        <w:rPr>
          <w:sz w:val="20"/>
        </w:rPr>
        <w:t xml:space="preserve">i) синтетический каучук;</w:t>
      </w:r>
    </w:p>
    <w:p>
      <w:pPr>
        <w:pStyle w:val="0"/>
        <w:spacing w:before="200" w:line-rule="auto"/>
        <w:ind w:firstLine="540"/>
        <w:jc w:val="both"/>
      </w:pPr>
      <w:r>
        <w:rPr>
          <w:sz w:val="20"/>
        </w:rPr>
        <w:t xml:space="preserve">j) красители и пигменты;</w:t>
      </w:r>
    </w:p>
    <w:p>
      <w:pPr>
        <w:pStyle w:val="0"/>
        <w:spacing w:before="200" w:line-rule="auto"/>
        <w:ind w:firstLine="540"/>
        <w:jc w:val="both"/>
      </w:pPr>
      <w:r>
        <w:rPr>
          <w:sz w:val="20"/>
        </w:rPr>
        <w:t xml:space="preserve">k) поверхностно-активные вещества.</w:t>
      </w:r>
    </w:p>
    <w:p>
      <w:pPr>
        <w:pStyle w:val="0"/>
        <w:spacing w:before="200" w:line-rule="auto"/>
        <w:ind w:firstLine="540"/>
        <w:jc w:val="both"/>
      </w:pPr>
      <w:r>
        <w:rPr>
          <w:sz w:val="20"/>
        </w:rPr>
        <w:t xml:space="preserve">4.2. Производство неорганических химических веществ, таких, как:</w:t>
      </w:r>
    </w:p>
    <w:p>
      <w:pPr>
        <w:pStyle w:val="0"/>
        <w:spacing w:before="200" w:line-rule="auto"/>
        <w:ind w:firstLine="540"/>
        <w:jc w:val="both"/>
      </w:pPr>
      <w:r>
        <w:rPr>
          <w:sz w:val="20"/>
        </w:rPr>
        <w:t xml:space="preserve">a) газы, такие как аммиак, хлор или хлористый водород, фтор или фтористый водород, оксиды углерода, соединения серы, оксиды азота, водород, диоксид серы, хлорокись углерода;</w:t>
      </w:r>
    </w:p>
    <w:p>
      <w:pPr>
        <w:pStyle w:val="0"/>
        <w:spacing w:before="200" w:line-rule="auto"/>
        <w:ind w:firstLine="540"/>
        <w:jc w:val="both"/>
      </w:pPr>
      <w:r>
        <w:rPr>
          <w:sz w:val="20"/>
        </w:rPr>
        <w:t xml:space="preserve">b) кислоты, такие как хромовая кислота, фтористоводородная кислота, фосфорная кислота, азотная кислота, хлористоводородная кислота, серная кислота, олеум, сернистая кислота;</w:t>
      </w:r>
    </w:p>
    <w:p>
      <w:pPr>
        <w:pStyle w:val="0"/>
        <w:spacing w:before="200" w:line-rule="auto"/>
        <w:ind w:firstLine="540"/>
        <w:jc w:val="both"/>
      </w:pPr>
      <w:r>
        <w:rPr>
          <w:sz w:val="20"/>
        </w:rPr>
        <w:t xml:space="preserve">c) щелочи, такие как гидроксид аммония, гидроксид калия, гидроксид натрия;</w:t>
      </w:r>
    </w:p>
    <w:p>
      <w:pPr>
        <w:pStyle w:val="0"/>
        <w:spacing w:before="200" w:line-rule="auto"/>
        <w:ind w:firstLine="540"/>
        <w:jc w:val="both"/>
      </w:pPr>
      <w:r>
        <w:rPr>
          <w:sz w:val="20"/>
        </w:rPr>
        <w:t xml:space="preserve">d) соли, такие как хлористый аммоний, хлорноватокислый калий, углекислый калий, углекислый натрий, перборат, азотнокислое серебро;</w:t>
      </w:r>
    </w:p>
    <w:p>
      <w:pPr>
        <w:pStyle w:val="0"/>
        <w:spacing w:before="200" w:line-rule="auto"/>
        <w:ind w:firstLine="540"/>
        <w:jc w:val="both"/>
      </w:pPr>
      <w:r>
        <w:rPr>
          <w:sz w:val="20"/>
        </w:rPr>
        <w:t xml:space="preserve">e) неметаллы, оксиды металлов или другие неорганические соединения, такие как карбид кальция, кремний, карбид кремния.</w:t>
      </w:r>
    </w:p>
    <w:p>
      <w:pPr>
        <w:pStyle w:val="0"/>
        <w:spacing w:before="200" w:line-rule="auto"/>
        <w:ind w:firstLine="540"/>
        <w:jc w:val="both"/>
      </w:pPr>
      <w:r>
        <w:rPr>
          <w:sz w:val="20"/>
        </w:rPr>
        <w:t xml:space="preserve">4.3. Производство фосфорных, азотных или калийных минеральных удобрений (простых или сложных удобрений)</w:t>
      </w:r>
    </w:p>
    <w:p>
      <w:pPr>
        <w:pStyle w:val="0"/>
        <w:spacing w:before="200" w:line-rule="auto"/>
        <w:ind w:firstLine="540"/>
        <w:jc w:val="both"/>
      </w:pPr>
      <w:r>
        <w:rPr>
          <w:sz w:val="20"/>
        </w:rPr>
        <w:t xml:space="preserve">4.4. Производство продуктов для защиты растений и биоцидов</w:t>
      </w:r>
    </w:p>
    <w:p>
      <w:pPr>
        <w:pStyle w:val="0"/>
        <w:spacing w:before="200" w:line-rule="auto"/>
        <w:ind w:firstLine="540"/>
        <w:jc w:val="both"/>
      </w:pPr>
      <w:r>
        <w:rPr>
          <w:sz w:val="20"/>
        </w:rPr>
        <w:t xml:space="preserve">4.5. Производство фармацевтических продуктов, в том числе промежуточных продуктов</w:t>
      </w:r>
    </w:p>
    <w:bookmarkStart w:id="1308" w:name="P1308"/>
    <w:bookmarkEnd w:id="1308"/>
    <w:p>
      <w:pPr>
        <w:pStyle w:val="0"/>
        <w:spacing w:before="200" w:line-rule="auto"/>
        <w:ind w:firstLine="540"/>
        <w:jc w:val="both"/>
      </w:pPr>
      <w:r>
        <w:rPr>
          <w:sz w:val="20"/>
        </w:rPr>
        <w:t xml:space="preserve">4.6. Производство взрывчатых веществ</w:t>
      </w:r>
    </w:p>
    <w:bookmarkStart w:id="1309" w:name="P1309"/>
    <w:bookmarkEnd w:id="1309"/>
    <w:p>
      <w:pPr>
        <w:pStyle w:val="0"/>
        <w:spacing w:before="200" w:line-rule="auto"/>
        <w:ind w:firstLine="540"/>
        <w:jc w:val="both"/>
      </w:pPr>
      <w:r>
        <w:rPr>
          <w:sz w:val="20"/>
        </w:rPr>
        <w:t xml:space="preserve">5. Управление отходами</w:t>
      </w:r>
    </w:p>
    <w:bookmarkStart w:id="1310" w:name="P1310"/>
    <w:bookmarkEnd w:id="1310"/>
    <w:p>
      <w:pPr>
        <w:pStyle w:val="0"/>
        <w:spacing w:before="200" w:line-rule="auto"/>
        <w:ind w:firstLine="540"/>
        <w:jc w:val="both"/>
      </w:pPr>
      <w:r>
        <w:rPr>
          <w:sz w:val="20"/>
        </w:rPr>
        <w:t xml:space="preserve">5.1. Захоронение или извлечение опасных отходов с производительностью, превышающей 10 тонн в день, с использованием одного или нескольких из нижеперечисленных видов деятельности:</w:t>
      </w:r>
    </w:p>
    <w:bookmarkStart w:id="1311" w:name="P1311"/>
    <w:bookmarkEnd w:id="1311"/>
    <w:p>
      <w:pPr>
        <w:pStyle w:val="0"/>
        <w:spacing w:before="200" w:line-rule="auto"/>
        <w:ind w:firstLine="540"/>
        <w:jc w:val="both"/>
      </w:pPr>
      <w:r>
        <w:rPr>
          <w:sz w:val="20"/>
        </w:rPr>
        <w:t xml:space="preserve">a) биологическая обработка;</w:t>
      </w:r>
    </w:p>
    <w:bookmarkStart w:id="1312" w:name="P1312"/>
    <w:bookmarkEnd w:id="1312"/>
    <w:p>
      <w:pPr>
        <w:pStyle w:val="0"/>
        <w:spacing w:before="200" w:line-rule="auto"/>
        <w:ind w:firstLine="540"/>
        <w:jc w:val="both"/>
      </w:pPr>
      <w:r>
        <w:rPr>
          <w:sz w:val="20"/>
        </w:rPr>
        <w:t xml:space="preserve">b) физико-химическая обработка;</w:t>
      </w:r>
    </w:p>
    <w:bookmarkStart w:id="1313" w:name="P1313"/>
    <w:bookmarkEnd w:id="1313"/>
    <w:p>
      <w:pPr>
        <w:pStyle w:val="0"/>
        <w:spacing w:before="200" w:line-rule="auto"/>
        <w:ind w:firstLine="540"/>
        <w:jc w:val="both"/>
      </w:pPr>
      <w:r>
        <w:rPr>
          <w:sz w:val="20"/>
        </w:rPr>
        <w:t xml:space="preserve">c) смешение отходов перед осуществлением одного из других видов деятельности, перечисленных в </w:t>
      </w:r>
      <w:hyperlink w:history="0" w:anchor="P1310" w:tooltip="5.1. Захоронение или извлечение опасных отходов с производительностью, превышающей 10 тонн в день, с использованием одного или нескольких из нижеперечисленных видов деятельности:">
        <w:r>
          <w:rPr>
            <w:sz w:val="20"/>
            <w:color w:val="0000ff"/>
          </w:rPr>
          <w:t xml:space="preserve">пунктах 5.1</w:t>
        </w:r>
      </w:hyperlink>
      <w:r>
        <w:rPr>
          <w:sz w:val="20"/>
        </w:rPr>
        <w:t xml:space="preserve"> и </w:t>
      </w:r>
      <w:hyperlink w:history="0" w:anchor="P1322" w:tooltip="5.2. Захоронение или извлечение отходов в заводах по сжиганию отходов или заводах по совместному сжиганию отходов:">
        <w:r>
          <w:rPr>
            <w:sz w:val="20"/>
            <w:color w:val="0000ff"/>
          </w:rPr>
          <w:t xml:space="preserve">5.2</w:t>
        </w:r>
      </w:hyperlink>
      <w:r>
        <w:rPr>
          <w:sz w:val="20"/>
        </w:rPr>
        <w:t xml:space="preserve">;</w:t>
      </w:r>
    </w:p>
    <w:bookmarkStart w:id="1314" w:name="P1314"/>
    <w:bookmarkEnd w:id="1314"/>
    <w:p>
      <w:pPr>
        <w:pStyle w:val="0"/>
        <w:spacing w:before="200" w:line-rule="auto"/>
        <w:ind w:firstLine="540"/>
        <w:jc w:val="both"/>
      </w:pPr>
      <w:r>
        <w:rPr>
          <w:sz w:val="20"/>
        </w:rPr>
        <w:t xml:space="preserve">d) переупаковка отходов перед осуществлением одного из других видов деятельности, перечисленных в пунктах 5.1 и 5.2;</w:t>
      </w:r>
    </w:p>
    <w:bookmarkStart w:id="1315" w:name="P1315"/>
    <w:bookmarkEnd w:id="1315"/>
    <w:p>
      <w:pPr>
        <w:pStyle w:val="0"/>
        <w:spacing w:before="200" w:line-rule="auto"/>
        <w:ind w:firstLine="540"/>
        <w:jc w:val="both"/>
      </w:pPr>
      <w:r>
        <w:rPr>
          <w:sz w:val="20"/>
        </w:rPr>
        <w:t xml:space="preserve">e) утилизация/рекуперация растворителя;</w:t>
      </w:r>
    </w:p>
    <w:bookmarkStart w:id="1316" w:name="P1316"/>
    <w:bookmarkEnd w:id="1316"/>
    <w:p>
      <w:pPr>
        <w:pStyle w:val="0"/>
        <w:spacing w:before="200" w:line-rule="auto"/>
        <w:ind w:firstLine="540"/>
        <w:jc w:val="both"/>
      </w:pPr>
      <w:r>
        <w:rPr>
          <w:sz w:val="20"/>
        </w:rPr>
        <w:t xml:space="preserve">f) переработка/утилизация неорганических материалов, за исключением металлов и металлических соединений;</w:t>
      </w:r>
    </w:p>
    <w:bookmarkStart w:id="1317" w:name="P1317"/>
    <w:bookmarkEnd w:id="1317"/>
    <w:p>
      <w:pPr>
        <w:pStyle w:val="0"/>
        <w:spacing w:before="200" w:line-rule="auto"/>
        <w:ind w:firstLine="540"/>
        <w:jc w:val="both"/>
      </w:pPr>
      <w:r>
        <w:rPr>
          <w:sz w:val="20"/>
        </w:rPr>
        <w:t xml:space="preserve">g) рекуперация кислот или щелочей;</w:t>
      </w:r>
    </w:p>
    <w:bookmarkStart w:id="1318" w:name="P1318"/>
    <w:bookmarkEnd w:id="1318"/>
    <w:p>
      <w:pPr>
        <w:pStyle w:val="0"/>
        <w:spacing w:before="200" w:line-rule="auto"/>
        <w:ind w:firstLine="540"/>
        <w:jc w:val="both"/>
      </w:pPr>
      <w:r>
        <w:rPr>
          <w:sz w:val="20"/>
        </w:rPr>
        <w:t xml:space="preserve">h) извлечение компонентов, используемых для снижения уровня загрязнения;</w:t>
      </w:r>
    </w:p>
    <w:bookmarkStart w:id="1319" w:name="P1319"/>
    <w:bookmarkEnd w:id="1319"/>
    <w:p>
      <w:pPr>
        <w:pStyle w:val="0"/>
        <w:spacing w:before="200" w:line-rule="auto"/>
        <w:ind w:firstLine="540"/>
        <w:jc w:val="both"/>
      </w:pPr>
      <w:r>
        <w:rPr>
          <w:sz w:val="20"/>
        </w:rPr>
        <w:t xml:space="preserve">i) извлечение компонентов катализатора;</w:t>
      </w:r>
    </w:p>
    <w:bookmarkStart w:id="1320" w:name="P1320"/>
    <w:bookmarkEnd w:id="1320"/>
    <w:p>
      <w:pPr>
        <w:pStyle w:val="0"/>
        <w:spacing w:before="200" w:line-rule="auto"/>
        <w:ind w:firstLine="540"/>
        <w:jc w:val="both"/>
      </w:pPr>
      <w:r>
        <w:rPr>
          <w:sz w:val="20"/>
        </w:rPr>
        <w:t xml:space="preserve">j) повторная переработка нефти или иные виды повторного использования нефти;</w:t>
      </w:r>
    </w:p>
    <w:bookmarkStart w:id="1321" w:name="P1321"/>
    <w:bookmarkEnd w:id="1321"/>
    <w:p>
      <w:pPr>
        <w:pStyle w:val="0"/>
        <w:spacing w:before="200" w:line-rule="auto"/>
        <w:ind w:firstLine="540"/>
        <w:jc w:val="both"/>
      </w:pPr>
      <w:r>
        <w:rPr>
          <w:sz w:val="20"/>
        </w:rPr>
        <w:t xml:space="preserve">k) сброс в поверхностные водоемы.</w:t>
      </w:r>
    </w:p>
    <w:bookmarkStart w:id="1322" w:name="P1322"/>
    <w:bookmarkEnd w:id="1322"/>
    <w:p>
      <w:pPr>
        <w:pStyle w:val="0"/>
        <w:spacing w:before="200" w:line-rule="auto"/>
        <w:ind w:firstLine="540"/>
        <w:jc w:val="both"/>
      </w:pPr>
      <w:r>
        <w:rPr>
          <w:sz w:val="20"/>
        </w:rPr>
        <w:t xml:space="preserve">5.2. Захоронение или извлечение отходов в заводах по сжиганию отходов или заводах по совместному сжиганию отходов:</w:t>
      </w:r>
    </w:p>
    <w:bookmarkStart w:id="1323" w:name="P1323"/>
    <w:bookmarkEnd w:id="1323"/>
    <w:p>
      <w:pPr>
        <w:pStyle w:val="0"/>
        <w:spacing w:before="200" w:line-rule="auto"/>
        <w:ind w:firstLine="540"/>
        <w:jc w:val="both"/>
      </w:pPr>
      <w:r>
        <w:rPr>
          <w:sz w:val="20"/>
        </w:rPr>
        <w:t xml:space="preserve">a) для неопасных отходов - с производительностью, превышающей 3 тонны в час;</w:t>
      </w:r>
    </w:p>
    <w:bookmarkStart w:id="1324" w:name="P1324"/>
    <w:bookmarkEnd w:id="1324"/>
    <w:p>
      <w:pPr>
        <w:pStyle w:val="0"/>
        <w:spacing w:before="200" w:line-rule="auto"/>
        <w:ind w:firstLine="540"/>
        <w:jc w:val="both"/>
      </w:pPr>
      <w:r>
        <w:rPr>
          <w:sz w:val="20"/>
        </w:rPr>
        <w:t xml:space="preserve">b) для опасных отходов - с производительностью, превышающей 10 тонн в день.</w:t>
      </w:r>
    </w:p>
    <w:bookmarkStart w:id="1325" w:name="P1325"/>
    <w:bookmarkEnd w:id="1325"/>
    <w:p>
      <w:pPr>
        <w:pStyle w:val="0"/>
        <w:spacing w:before="200" w:line-rule="auto"/>
        <w:ind w:firstLine="540"/>
        <w:jc w:val="both"/>
      </w:pPr>
      <w:r>
        <w:rPr>
          <w:sz w:val="20"/>
        </w:rPr>
        <w:t xml:space="preserve">5.3. a) Захоронение неопасных отходов с производительностью, превышающей 50 тонн в день с использованием одного или нескольких из нижеперечисленных видов деятельности, за исключением видов деятельности, подпадающих под действие </w:t>
      </w:r>
      <w:hyperlink w:history="0" r:id="rId84" w:tooltip="Директива N 91/271/ЕЭС Совета Европейских сообществ &quot;Об очистке городских сточных вод&quot; [рус., англ.] (Вместе с &quot;Требованиями для городских сточных вод&quot;, &quot;Критериями определения уязвимых и менее уязвимых районов&quot;, &quot;Отраслями промышленности&quot;) (Принята в г. Брюсселе 21.05.1991) (с изм. и доп. от 17.12.2013) {КонсультантПлюс}">
        <w:r>
          <w:rPr>
            <w:sz w:val="20"/>
            <w:color w:val="0000ff"/>
          </w:rPr>
          <w:t xml:space="preserve">Директивы</w:t>
        </w:r>
      </w:hyperlink>
      <w:r>
        <w:rPr>
          <w:sz w:val="20"/>
        </w:rPr>
        <w:t xml:space="preserve"> 91/271/ЕЭС Совета ЕС от 21 мая 1991 г. об очистке городских сточных вод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ОЖ N L 135, 30.5.1991, стр. 40.</w:t>
      </w:r>
    </w:p>
    <w:p>
      <w:pPr>
        <w:pStyle w:val="0"/>
        <w:ind w:firstLine="540"/>
        <w:jc w:val="both"/>
      </w:pPr>
      <w:r>
        <w:rPr>
          <w:sz w:val="20"/>
        </w:rPr>
      </w:r>
    </w:p>
    <w:bookmarkStart w:id="1329" w:name="P1329"/>
    <w:bookmarkEnd w:id="1329"/>
    <w:p>
      <w:pPr>
        <w:pStyle w:val="0"/>
        <w:ind w:firstLine="540"/>
        <w:jc w:val="both"/>
      </w:pPr>
      <w:r>
        <w:rPr>
          <w:sz w:val="20"/>
        </w:rPr>
        <w:t xml:space="preserve">i) биологическая обработка;</w:t>
      </w:r>
    </w:p>
    <w:bookmarkStart w:id="1330" w:name="P1330"/>
    <w:bookmarkEnd w:id="1330"/>
    <w:p>
      <w:pPr>
        <w:pStyle w:val="0"/>
        <w:spacing w:before="200" w:line-rule="auto"/>
        <w:ind w:firstLine="540"/>
        <w:jc w:val="both"/>
      </w:pPr>
      <w:r>
        <w:rPr>
          <w:sz w:val="20"/>
        </w:rPr>
        <w:t xml:space="preserve">ii) физико-химическая обработка;</w:t>
      </w:r>
    </w:p>
    <w:bookmarkStart w:id="1331" w:name="P1331"/>
    <w:bookmarkEnd w:id="1331"/>
    <w:p>
      <w:pPr>
        <w:pStyle w:val="0"/>
        <w:spacing w:before="200" w:line-rule="auto"/>
        <w:ind w:firstLine="540"/>
        <w:jc w:val="both"/>
      </w:pPr>
      <w:r>
        <w:rPr>
          <w:sz w:val="20"/>
        </w:rPr>
        <w:t xml:space="preserve">iii) предварительная обработка отходов для сжигания или совместного сжигания;</w:t>
      </w:r>
    </w:p>
    <w:p>
      <w:pPr>
        <w:pStyle w:val="0"/>
        <w:spacing w:before="200" w:line-rule="auto"/>
        <w:ind w:firstLine="540"/>
        <w:jc w:val="both"/>
      </w:pPr>
      <w:r>
        <w:rPr>
          <w:sz w:val="20"/>
        </w:rPr>
        <w:t xml:space="preserve">iv) обработка шлаков и зол;</w:t>
      </w:r>
    </w:p>
    <w:bookmarkStart w:id="1333" w:name="P1333"/>
    <w:bookmarkEnd w:id="1333"/>
    <w:p>
      <w:pPr>
        <w:pStyle w:val="0"/>
        <w:spacing w:before="200" w:line-rule="auto"/>
        <w:ind w:firstLine="540"/>
        <w:jc w:val="both"/>
      </w:pPr>
      <w:r>
        <w:rPr>
          <w:sz w:val="20"/>
        </w:rPr>
        <w:t xml:space="preserve">v) обработка в измельчителях металлических отходов, в том числе отходов электрического и электронного оборудования, транспортных средств, срок эксплуатации которых подошел к концу, и их составных частей.</w:t>
      </w:r>
    </w:p>
    <w:bookmarkStart w:id="1334" w:name="P1334"/>
    <w:bookmarkEnd w:id="1334"/>
    <w:p>
      <w:pPr>
        <w:pStyle w:val="0"/>
        <w:spacing w:before="200" w:line-rule="auto"/>
        <w:ind w:firstLine="540"/>
        <w:jc w:val="both"/>
      </w:pPr>
      <w:r>
        <w:rPr>
          <w:sz w:val="20"/>
        </w:rPr>
        <w:t xml:space="preserve">b) Извлечение или комбинация извлечения и захоронения неопасных отходов с производительностью, превышающей 75 тонн в день, с использованием одного или нескольких из нижеперечисленных видов деятельности, за исключением видов деятельности, подпадающих под действие </w:t>
      </w:r>
      <w:hyperlink w:history="0" r:id="rId85" w:tooltip="Директива N 91/271/ЕЭС Совета Европейских сообществ &quot;Об очистке городских сточных вод&quot; [рус., англ.] (Вместе с &quot;Требованиями для городских сточных вод&quot;, &quot;Критериями определения уязвимых и менее уязвимых районов&quot;, &quot;Отраслями промышленности&quot;) (Принята в г. Брюсселе 21.05.1991) (с изм. и доп. от 17.12.2013) {КонсультантПлюс}">
        <w:r>
          <w:rPr>
            <w:sz w:val="20"/>
            <w:color w:val="0000ff"/>
          </w:rPr>
          <w:t xml:space="preserve">Директивы</w:t>
        </w:r>
      </w:hyperlink>
      <w:r>
        <w:rPr>
          <w:sz w:val="20"/>
        </w:rPr>
        <w:t xml:space="preserve"> 91/271/ЕЭС Совета ЕС:</w:t>
      </w:r>
    </w:p>
    <w:p>
      <w:pPr>
        <w:pStyle w:val="0"/>
        <w:spacing w:before="200" w:line-rule="auto"/>
        <w:ind w:firstLine="540"/>
        <w:jc w:val="both"/>
      </w:pPr>
      <w:r>
        <w:rPr>
          <w:sz w:val="20"/>
        </w:rPr>
        <w:t xml:space="preserve">i) биологическая обработка;</w:t>
      </w:r>
    </w:p>
    <w:p>
      <w:pPr>
        <w:pStyle w:val="0"/>
        <w:spacing w:before="200" w:line-rule="auto"/>
        <w:ind w:firstLine="540"/>
        <w:jc w:val="both"/>
      </w:pPr>
      <w:r>
        <w:rPr>
          <w:sz w:val="20"/>
        </w:rPr>
        <w:t xml:space="preserve">ii) предварительная обработка отходов для сжигания или совместного сжигания;</w:t>
      </w:r>
    </w:p>
    <w:p>
      <w:pPr>
        <w:pStyle w:val="0"/>
        <w:spacing w:before="200" w:line-rule="auto"/>
        <w:ind w:firstLine="540"/>
        <w:jc w:val="both"/>
      </w:pPr>
      <w:r>
        <w:rPr>
          <w:sz w:val="20"/>
        </w:rPr>
        <w:t xml:space="preserve">iii) обработка шлаков и зол;</w:t>
      </w:r>
    </w:p>
    <w:p>
      <w:pPr>
        <w:pStyle w:val="0"/>
        <w:spacing w:before="200" w:line-rule="auto"/>
        <w:ind w:firstLine="540"/>
        <w:jc w:val="both"/>
      </w:pPr>
      <w:r>
        <w:rPr>
          <w:sz w:val="20"/>
        </w:rPr>
        <w:t xml:space="preserve">iv) обработка в измельчителях металлических отходов, в том числе отходов электрического и электронного оборудования, транспортных средств, срок эксплуатации которых подошел к концу, и их составных частей.</w:t>
      </w:r>
    </w:p>
    <w:p>
      <w:pPr>
        <w:pStyle w:val="0"/>
        <w:spacing w:before="200" w:line-rule="auto"/>
        <w:ind w:firstLine="540"/>
        <w:jc w:val="both"/>
      </w:pPr>
      <w:r>
        <w:rPr>
          <w:sz w:val="20"/>
        </w:rPr>
        <w:t xml:space="preserve">В случае если единственным осуществляемым видом переработки отходов является анаэробное перегнивание, пороговая производительность устанавливается равной 100 тоннам в день.</w:t>
      </w:r>
    </w:p>
    <w:bookmarkStart w:id="1340" w:name="P1340"/>
    <w:bookmarkEnd w:id="1340"/>
    <w:p>
      <w:pPr>
        <w:pStyle w:val="0"/>
        <w:spacing w:before="200" w:line-rule="auto"/>
        <w:ind w:firstLine="540"/>
        <w:jc w:val="both"/>
      </w:pPr>
      <w:r>
        <w:rPr>
          <w:sz w:val="20"/>
        </w:rPr>
        <w:t xml:space="preserve">5.4. Свалки в значении </w:t>
      </w:r>
      <w:hyperlink w:history="0" r:id="rId86" w:tooltip="Директива N 1999/31/ЕС Совета Европейского Союза &quot;о полигонах для отходов&quot; [рус., англ.] (Вместе с &quot;Общими требованиями для всех классов полигонов&quot;, &quot;Критериями и процедурами приемки отходов&quot;, &quot;Процедурами контроля и мониторинга в течение фаз эксплуатации и рекультивации&quot;, &quot;Имплементационным планом, который должен представляться на основании статьи 5(6)&quot;) (Принята в г. Люксембурге 26.04.1999) (с изм. и доп. от 30.05.2018) {КонсультантПлюс}">
        <w:r>
          <w:rPr>
            <w:sz w:val="20"/>
            <w:color w:val="0000ff"/>
          </w:rPr>
          <w:t xml:space="preserve">статьи 2 "g"</w:t>
        </w:r>
      </w:hyperlink>
      <w:r>
        <w:rPr>
          <w:sz w:val="20"/>
        </w:rPr>
        <w:t xml:space="preserve"> Директивы 1999/31/ЕС Совета ЕС от 26 апреля 1999 г. по полигонам захоронения отходов &lt;*&gt;, на которые поступает более 10 тонн отходов в день, или с общей емкостью, превышающей 25000 тонн, за исключением свалок инертных отходов.</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ОЖ N L 182, 16.7.1999, стр. 1.</w:t>
      </w:r>
    </w:p>
    <w:p>
      <w:pPr>
        <w:pStyle w:val="0"/>
        <w:ind w:firstLine="540"/>
        <w:jc w:val="both"/>
      </w:pPr>
      <w:r>
        <w:rPr>
          <w:sz w:val="20"/>
        </w:rPr>
      </w:r>
    </w:p>
    <w:bookmarkStart w:id="1344" w:name="P1344"/>
    <w:bookmarkEnd w:id="1344"/>
    <w:p>
      <w:pPr>
        <w:pStyle w:val="0"/>
        <w:ind w:firstLine="540"/>
        <w:jc w:val="both"/>
      </w:pPr>
      <w:r>
        <w:rPr>
          <w:sz w:val="20"/>
        </w:rPr>
        <w:t xml:space="preserve">5.5. Временное хранение опасных отходов, не предусмотренных </w:t>
      </w:r>
      <w:hyperlink w:history="0" w:anchor="P1340" w:tooltip="5.4. Свалки в значении статьи 2 &quot;g&quot; Директивы 1999/31/ЕС Совета ЕС от 26 апреля 1999 г. по полигонам захоронения отходов &lt;*&gt;, на которые поступает более 10 тонн отходов в день, или с общей емкостью, превышающей 25000 тонн, за исключением свалок инертных отходов.">
        <w:r>
          <w:rPr>
            <w:sz w:val="20"/>
            <w:color w:val="0000ff"/>
          </w:rPr>
          <w:t xml:space="preserve">пунктом 5.4</w:t>
        </w:r>
      </w:hyperlink>
      <w:r>
        <w:rPr>
          <w:sz w:val="20"/>
        </w:rPr>
        <w:t xml:space="preserve"> настоящего Приложения, вплоть до любых видов деятельности, перечисленных в </w:t>
      </w:r>
      <w:hyperlink w:history="0" w:anchor="P1310" w:tooltip="5.1. Захоронение или извлечение опасных отходов с производительностью, превышающей 10 тонн в день, с использованием одного или нескольких из нижеперечисленных видов деятельности:">
        <w:r>
          <w:rPr>
            <w:sz w:val="20"/>
            <w:color w:val="0000ff"/>
          </w:rPr>
          <w:t xml:space="preserve">пунктах 5.1</w:t>
        </w:r>
      </w:hyperlink>
      <w:r>
        <w:rPr>
          <w:sz w:val="20"/>
        </w:rPr>
        <w:t xml:space="preserve">, </w:t>
      </w:r>
      <w:hyperlink w:history="0" w:anchor="P1322" w:tooltip="5.2. Захоронение или извлечение отходов в заводах по сжиганию отходов или заводах по совместному сжиганию отходов:">
        <w:r>
          <w:rPr>
            <w:sz w:val="20"/>
            <w:color w:val="0000ff"/>
          </w:rPr>
          <w:t xml:space="preserve">5.2</w:t>
        </w:r>
      </w:hyperlink>
      <w:r>
        <w:rPr>
          <w:sz w:val="20"/>
        </w:rPr>
        <w:t xml:space="preserve">, 5.4 и 5.6 настоящего Приложения, с общей производительностью, превышающей 50 тонн, за исключением временного хранения, вплоть до сбора, на месте производства отходов</w:t>
      </w:r>
    </w:p>
    <w:bookmarkStart w:id="1345" w:name="P1345"/>
    <w:bookmarkEnd w:id="1345"/>
    <w:p>
      <w:pPr>
        <w:pStyle w:val="0"/>
        <w:spacing w:before="200" w:line-rule="auto"/>
        <w:ind w:firstLine="540"/>
        <w:jc w:val="both"/>
      </w:pPr>
      <w:r>
        <w:rPr>
          <w:sz w:val="20"/>
        </w:rPr>
        <w:t xml:space="preserve">5.6. Подземное хранение опасных отходов с общей производительностью, превышающей 50 тонн</w:t>
      </w:r>
    </w:p>
    <w:p>
      <w:pPr>
        <w:pStyle w:val="0"/>
        <w:spacing w:before="200" w:line-rule="auto"/>
        <w:ind w:firstLine="540"/>
        <w:jc w:val="both"/>
      </w:pPr>
      <w:r>
        <w:rPr>
          <w:sz w:val="20"/>
        </w:rPr>
        <w:t xml:space="preserve">6. Прочие виды деятельности</w:t>
      </w:r>
    </w:p>
    <w:p>
      <w:pPr>
        <w:pStyle w:val="0"/>
        <w:spacing w:before="200" w:line-rule="auto"/>
        <w:ind w:firstLine="540"/>
        <w:jc w:val="both"/>
      </w:pPr>
      <w:r>
        <w:rPr>
          <w:sz w:val="20"/>
        </w:rPr>
        <w:t xml:space="preserve">6.1. Производство в промышленных установках:</w:t>
      </w:r>
    </w:p>
    <w:bookmarkStart w:id="1348" w:name="P1348"/>
    <w:bookmarkEnd w:id="1348"/>
    <w:p>
      <w:pPr>
        <w:pStyle w:val="0"/>
        <w:spacing w:before="200" w:line-rule="auto"/>
        <w:ind w:firstLine="540"/>
        <w:jc w:val="both"/>
      </w:pPr>
      <w:r>
        <w:rPr>
          <w:sz w:val="20"/>
        </w:rPr>
        <w:t xml:space="preserve">a) целлюлозы из древесины или иных волокнистых материалов;</w:t>
      </w:r>
    </w:p>
    <w:bookmarkStart w:id="1349" w:name="P1349"/>
    <w:bookmarkEnd w:id="1349"/>
    <w:p>
      <w:pPr>
        <w:pStyle w:val="0"/>
        <w:spacing w:before="200" w:line-rule="auto"/>
        <w:ind w:firstLine="540"/>
        <w:jc w:val="both"/>
      </w:pPr>
      <w:r>
        <w:rPr>
          <w:sz w:val="20"/>
        </w:rPr>
        <w:t xml:space="preserve">b) бумаги и картона с производственной мощностью, превышающей 20 тонн в день;</w:t>
      </w:r>
    </w:p>
    <w:bookmarkStart w:id="1350" w:name="P1350"/>
    <w:bookmarkEnd w:id="1350"/>
    <w:p>
      <w:pPr>
        <w:pStyle w:val="0"/>
        <w:spacing w:before="200" w:line-rule="auto"/>
        <w:ind w:firstLine="540"/>
        <w:jc w:val="both"/>
      </w:pPr>
      <w:r>
        <w:rPr>
          <w:sz w:val="20"/>
        </w:rPr>
        <w:t xml:space="preserve">c) одного или нескольких видов древесных плит: ориентированно-стружечная плита, древесностружечная плита или древесно-волокнистая плита с производственной мощностью, превышающей 600 куб. м в день.</w:t>
      </w:r>
    </w:p>
    <w:bookmarkStart w:id="1351" w:name="P1351"/>
    <w:bookmarkEnd w:id="1351"/>
    <w:p>
      <w:pPr>
        <w:pStyle w:val="0"/>
        <w:spacing w:before="200" w:line-rule="auto"/>
        <w:ind w:firstLine="540"/>
        <w:jc w:val="both"/>
      </w:pPr>
      <w:r>
        <w:rPr>
          <w:sz w:val="20"/>
        </w:rPr>
        <w:t xml:space="preserve">6.2. Предварительная обработка (такие операции, как промывка, отбеливание, мерсеризация) или окрашивание волокна или текстиля, где производительность превышает 10 тонн в день</w:t>
      </w:r>
    </w:p>
    <w:bookmarkStart w:id="1352" w:name="P1352"/>
    <w:bookmarkEnd w:id="1352"/>
    <w:p>
      <w:pPr>
        <w:pStyle w:val="0"/>
        <w:spacing w:before="200" w:line-rule="auto"/>
        <w:ind w:firstLine="540"/>
        <w:jc w:val="both"/>
      </w:pPr>
      <w:r>
        <w:rPr>
          <w:sz w:val="20"/>
        </w:rPr>
        <w:t xml:space="preserve">6.3. Дубление кож и шкур, где производительность превышает 12 тонн обработанных продуктов в день</w:t>
      </w:r>
    </w:p>
    <w:bookmarkStart w:id="1353" w:name="P1353"/>
    <w:bookmarkEnd w:id="1353"/>
    <w:p>
      <w:pPr>
        <w:pStyle w:val="0"/>
        <w:spacing w:before="200" w:line-rule="auto"/>
        <w:ind w:firstLine="540"/>
        <w:jc w:val="both"/>
      </w:pPr>
      <w:r>
        <w:rPr>
          <w:sz w:val="20"/>
        </w:rPr>
        <w:t xml:space="preserve">6.4. a) Бойни с мощностями по переработке туш, превышающими 50 тонн в день</w:t>
      </w:r>
    </w:p>
    <w:bookmarkStart w:id="1354" w:name="P1354"/>
    <w:bookmarkEnd w:id="1354"/>
    <w:p>
      <w:pPr>
        <w:pStyle w:val="0"/>
        <w:spacing w:before="200" w:line-rule="auto"/>
        <w:ind w:firstLine="540"/>
        <w:jc w:val="both"/>
      </w:pPr>
      <w:r>
        <w:rPr>
          <w:sz w:val="20"/>
        </w:rPr>
        <w:t xml:space="preserve">b) Обработка и переработка, за исключением упаковки, следующего сырья независимо от его предыдущей обработки с целью производства пищевых продуктов или кормов из:</w:t>
      </w:r>
    </w:p>
    <w:p>
      <w:pPr>
        <w:pStyle w:val="0"/>
        <w:spacing w:before="200" w:line-rule="auto"/>
        <w:ind w:firstLine="540"/>
        <w:jc w:val="both"/>
      </w:pPr>
      <w:r>
        <w:rPr>
          <w:sz w:val="20"/>
        </w:rPr>
        <w:t xml:space="preserve">i) животного сырья (за исключением молока) с мощностями по производству готовой продукции, превышающими 75 тонн в день;</w:t>
      </w:r>
    </w:p>
    <w:bookmarkStart w:id="1356" w:name="P1356"/>
    <w:bookmarkEnd w:id="1356"/>
    <w:p>
      <w:pPr>
        <w:pStyle w:val="0"/>
        <w:spacing w:before="200" w:line-rule="auto"/>
        <w:ind w:firstLine="540"/>
        <w:jc w:val="both"/>
      </w:pPr>
      <w:r>
        <w:rPr>
          <w:sz w:val="20"/>
        </w:rPr>
        <w:t xml:space="preserve">ii) растительного сырья с мощностями по производству готовой продукции, превышающими 300 тонн в день или 600 тонн в день, если установка функционирует не более 90 дней подряд за год;</w:t>
      </w:r>
    </w:p>
    <w:bookmarkStart w:id="1357" w:name="P1357"/>
    <w:bookmarkEnd w:id="1357"/>
    <w:p>
      <w:pPr>
        <w:pStyle w:val="0"/>
        <w:spacing w:before="200" w:line-rule="auto"/>
        <w:ind w:firstLine="540"/>
        <w:jc w:val="both"/>
      </w:pPr>
      <w:r>
        <w:rPr>
          <w:sz w:val="20"/>
        </w:rPr>
        <w:t xml:space="preserve">iii) животного и растительного сырья, как в комбинированных, так и в отдельных продуктах, где мощность по производству готовой продукции в тоннах в день превышает:</w:t>
      </w:r>
    </w:p>
    <w:p>
      <w:pPr>
        <w:pStyle w:val="0"/>
        <w:spacing w:before="200" w:line-rule="auto"/>
        <w:ind w:firstLine="540"/>
        <w:jc w:val="both"/>
      </w:pPr>
      <w:r>
        <w:rPr>
          <w:sz w:val="20"/>
        </w:rPr>
        <w:t xml:space="preserve">- 75, если A равно 10 или выше; или</w:t>
      </w:r>
    </w:p>
    <w:p>
      <w:pPr>
        <w:pStyle w:val="0"/>
        <w:spacing w:before="200" w:line-rule="auto"/>
        <w:ind w:firstLine="540"/>
        <w:jc w:val="both"/>
      </w:pPr>
      <w:r>
        <w:rPr>
          <w:sz w:val="20"/>
        </w:rPr>
        <w:t xml:space="preserve">- [300 - (22,5 x A)] в иных случаях,</w:t>
      </w:r>
    </w:p>
    <w:p>
      <w:pPr>
        <w:pStyle w:val="0"/>
        <w:spacing w:before="200" w:line-rule="auto"/>
        <w:ind w:firstLine="540"/>
        <w:jc w:val="both"/>
      </w:pPr>
      <w:r>
        <w:rPr>
          <w:sz w:val="20"/>
        </w:rPr>
        <w:t xml:space="preserve">где "A" - доля животного материала (в процентах от веса) мощности по производству готовой продукции.</w:t>
      </w:r>
    </w:p>
    <w:p>
      <w:pPr>
        <w:pStyle w:val="0"/>
        <w:spacing w:before="200" w:line-rule="auto"/>
        <w:ind w:firstLine="540"/>
        <w:jc w:val="both"/>
      </w:pPr>
      <w:r>
        <w:rPr>
          <w:sz w:val="20"/>
        </w:rPr>
        <w:t xml:space="preserve">Упаковка не включается в окончательный вес продукта.</w:t>
      </w:r>
    </w:p>
    <w:p>
      <w:pPr>
        <w:pStyle w:val="0"/>
        <w:spacing w:before="200" w:line-rule="auto"/>
        <w:ind w:firstLine="540"/>
        <w:jc w:val="both"/>
      </w:pPr>
      <w:r>
        <w:rPr>
          <w:sz w:val="20"/>
        </w:rPr>
        <w:t xml:space="preserve">Настоящий подраздел не применяется, когда сырьем служит исключительно молоко.</w:t>
      </w:r>
    </w:p>
    <w:p>
      <w:pPr>
        <w:pStyle w:val="0"/>
        <w:jc w:val="center"/>
      </w:pPr>
      <w:r>
        <w:rPr>
          <w:sz w:val="20"/>
        </w:rPr>
      </w:r>
    </w:p>
    <w:p>
      <w:pPr>
        <w:pStyle w:val="0"/>
        <w:outlineLvl w:val="1"/>
        <w:jc w:val="center"/>
      </w:pPr>
      <w:r>
        <w:rPr>
          <w:sz w:val="20"/>
        </w:rPr>
        <w:t xml:space="preserve">Рисунок</w:t>
      </w:r>
    </w:p>
    <w:p>
      <w:pPr>
        <w:pStyle w:val="0"/>
        <w:jc w:val="center"/>
      </w:pPr>
      <w:r>
        <w:rPr>
          <w:sz w:val="20"/>
        </w:rPr>
      </w:r>
    </w:p>
    <w:p>
      <w:pPr>
        <w:pStyle w:val="1"/>
        <w:jc w:val="both"/>
      </w:pPr>
      <w:r>
        <w:rPr>
          <w:sz w:val="20"/>
        </w:rPr>
        <w:t xml:space="preserve"> П</w:t>
      </w:r>
    </w:p>
    <w:p>
      <w:pPr>
        <w:pStyle w:val="1"/>
        <w:jc w:val="both"/>
      </w:pPr>
      <w:r>
        <w:rPr>
          <w:sz w:val="20"/>
        </w:rPr>
        <w:t xml:space="preserve"> о       350 ─┐</w:t>
      </w:r>
    </w:p>
    <w:p>
      <w:pPr>
        <w:pStyle w:val="1"/>
        <w:jc w:val="both"/>
      </w:pPr>
      <w:r>
        <w:rPr>
          <w:sz w:val="20"/>
        </w:rPr>
        <w:t xml:space="preserve"> р            │</w:t>
      </w:r>
    </w:p>
    <w:p>
      <w:pPr>
        <w:pStyle w:val="1"/>
        <w:jc w:val="both"/>
      </w:pPr>
      <w:r>
        <w:rPr>
          <w:sz w:val="20"/>
        </w:rPr>
        <w:t xml:space="preserve"> о            │</w:t>
      </w:r>
    </w:p>
    <w:p>
      <w:pPr>
        <w:pStyle w:val="1"/>
        <w:jc w:val="both"/>
      </w:pPr>
      <w:r>
        <w:rPr>
          <w:sz w:val="20"/>
        </w:rPr>
        <w:t xml:space="preserve"> г            │</w:t>
      </w:r>
    </w:p>
    <w:p>
      <w:pPr>
        <w:pStyle w:val="1"/>
        <w:jc w:val="both"/>
      </w:pPr>
      <w:r>
        <w:rPr>
          <w:sz w:val="20"/>
        </w:rPr>
        <w:t xml:space="preserve"> о       300 ─┤.</w:t>
      </w:r>
    </w:p>
    <w:p>
      <w:pPr>
        <w:pStyle w:val="1"/>
        <w:jc w:val="both"/>
      </w:pPr>
      <w:r>
        <w:rPr>
          <w:sz w:val="20"/>
        </w:rPr>
        <w:t xml:space="preserve"> в            │...</w:t>
      </w:r>
    </w:p>
    <w:p>
      <w:pPr>
        <w:pStyle w:val="1"/>
        <w:jc w:val="both"/>
      </w:pPr>
      <w:r>
        <w:rPr>
          <w:sz w:val="20"/>
        </w:rPr>
        <w:t xml:space="preserve"> о            │.....</w:t>
      </w:r>
    </w:p>
    <w:p>
      <w:pPr>
        <w:pStyle w:val="1"/>
        <w:jc w:val="both"/>
      </w:pPr>
      <w:r>
        <w:rPr>
          <w:sz w:val="20"/>
        </w:rPr>
        <w:t xml:space="preserve"> е            │........</w:t>
      </w:r>
    </w:p>
    <w:p>
      <w:pPr>
        <w:pStyle w:val="1"/>
        <w:jc w:val="both"/>
      </w:pPr>
      <w:r>
        <w:rPr>
          <w:sz w:val="20"/>
        </w:rPr>
        <w:t xml:space="preserve">         250 ─┤..........</w:t>
      </w:r>
    </w:p>
    <w:p>
      <w:pPr>
        <w:pStyle w:val="1"/>
        <w:jc w:val="both"/>
      </w:pPr>
      <w:r>
        <w:rPr>
          <w:sz w:val="20"/>
        </w:rPr>
        <w:t xml:space="preserve"> з            │.............</w:t>
      </w:r>
    </w:p>
    <w:p>
      <w:pPr>
        <w:pStyle w:val="1"/>
        <w:jc w:val="both"/>
      </w:pPr>
      <w:r>
        <w:rPr>
          <w:sz w:val="20"/>
        </w:rPr>
        <w:t xml:space="preserve"> н            │...............</w:t>
      </w:r>
    </w:p>
    <w:p>
      <w:pPr>
        <w:pStyle w:val="1"/>
        <w:jc w:val="both"/>
      </w:pPr>
      <w:r>
        <w:rPr>
          <w:sz w:val="20"/>
        </w:rPr>
        <w:t xml:space="preserve"> а            │.................</w:t>
      </w:r>
    </w:p>
    <w:p>
      <w:pPr>
        <w:pStyle w:val="1"/>
        <w:jc w:val="both"/>
      </w:pPr>
      <w:r>
        <w:rPr>
          <w:sz w:val="20"/>
        </w:rPr>
        <w:t xml:space="preserve"> ч       200 ─┤...................</w:t>
      </w:r>
    </w:p>
    <w:p>
      <w:pPr>
        <w:pStyle w:val="1"/>
        <w:jc w:val="both"/>
      </w:pPr>
      <w:r>
        <w:rPr>
          <w:sz w:val="20"/>
        </w:rPr>
        <w:t xml:space="preserve"> е            │.....................</w:t>
      </w:r>
    </w:p>
    <w:p>
      <w:pPr>
        <w:pStyle w:val="1"/>
        <w:jc w:val="both"/>
      </w:pPr>
      <w:r>
        <w:rPr>
          <w:sz w:val="20"/>
        </w:rPr>
        <w:t xml:space="preserve"> н            │........................</w:t>
      </w:r>
    </w:p>
    <w:p>
      <w:pPr>
        <w:pStyle w:val="1"/>
        <w:jc w:val="both"/>
      </w:pPr>
      <w:r>
        <w:rPr>
          <w:sz w:val="20"/>
        </w:rPr>
        <w:t xml:space="preserve"> и            │...........................</w:t>
      </w:r>
    </w:p>
    <w:p>
      <w:pPr>
        <w:pStyle w:val="1"/>
        <w:jc w:val="both"/>
      </w:pPr>
      <w:r>
        <w:rPr>
          <w:sz w:val="20"/>
        </w:rPr>
        <w:t xml:space="preserve"> е       150 ─┤..............................</w:t>
      </w:r>
    </w:p>
    <w:p>
      <w:pPr>
        <w:pStyle w:val="1"/>
        <w:jc w:val="both"/>
      </w:pPr>
      <w:r>
        <w:rPr>
          <w:sz w:val="20"/>
        </w:rPr>
        <w:t xml:space="preserve">              │.................................</w:t>
      </w:r>
    </w:p>
    <w:p>
      <w:pPr>
        <w:pStyle w:val="1"/>
        <w:jc w:val="both"/>
      </w:pPr>
      <w:r>
        <w:rPr>
          <w:sz w:val="20"/>
        </w:rPr>
        <w:t xml:space="preserve">(т            │....................................</w:t>
      </w:r>
    </w:p>
    <w:p>
      <w:pPr>
        <w:pStyle w:val="1"/>
        <w:jc w:val="both"/>
      </w:pPr>
      <w:r>
        <w:rPr>
          <w:sz w:val="20"/>
        </w:rPr>
        <w:t xml:space="preserve"> о            │.......................................</w:t>
      </w:r>
    </w:p>
    <w:p>
      <w:pPr>
        <w:pStyle w:val="1"/>
        <w:jc w:val="both"/>
      </w:pPr>
      <w:r>
        <w:rPr>
          <w:sz w:val="20"/>
        </w:rPr>
        <w:t xml:space="preserve"> н       100 ─┤...........................................</w:t>
      </w:r>
    </w:p>
    <w:p>
      <w:pPr>
        <w:pStyle w:val="1"/>
        <w:jc w:val="both"/>
      </w:pPr>
      <w:r>
        <w:rPr>
          <w:sz w:val="20"/>
        </w:rPr>
        <w:t xml:space="preserve"> н            │...............................................</w:t>
      </w:r>
    </w:p>
    <w:p>
      <w:pPr>
        <w:pStyle w:val="1"/>
        <w:jc w:val="both"/>
      </w:pPr>
      <w:r>
        <w:rPr>
          <w:sz w:val="20"/>
        </w:rPr>
        <w:t xml:space="preserve"> ы            │............................................................</w:t>
      </w:r>
    </w:p>
    <w:p>
      <w:pPr>
        <w:pStyle w:val="1"/>
        <w:jc w:val="both"/>
      </w:pPr>
      <w:r>
        <w:rPr>
          <w:sz w:val="20"/>
        </w:rPr>
        <w:t xml:space="preserve">              │............................................................</w:t>
      </w:r>
    </w:p>
    <w:p>
      <w:pPr>
        <w:pStyle w:val="1"/>
        <w:jc w:val="both"/>
      </w:pPr>
      <w:r>
        <w:rPr>
          <w:sz w:val="20"/>
        </w:rPr>
        <w:t xml:space="preserve"> в        50 ─┤............................................................</w:t>
      </w:r>
    </w:p>
    <w:p>
      <w:pPr>
        <w:pStyle w:val="1"/>
        <w:jc w:val="both"/>
      </w:pPr>
      <w:r>
        <w:rPr>
          <w:sz w:val="20"/>
        </w:rPr>
        <w:t xml:space="preserve">              │............................................................</w:t>
      </w:r>
    </w:p>
    <w:p>
      <w:pPr>
        <w:pStyle w:val="1"/>
        <w:jc w:val="both"/>
      </w:pPr>
      <w:r>
        <w:rPr>
          <w:sz w:val="20"/>
        </w:rPr>
        <w:t xml:space="preserve"> д            │............................................................</w:t>
      </w:r>
    </w:p>
    <w:p>
      <w:pPr>
        <w:pStyle w:val="1"/>
        <w:jc w:val="both"/>
      </w:pPr>
      <w:r>
        <w:rPr>
          <w:sz w:val="20"/>
        </w:rPr>
        <w:t xml:space="preserve"> е            │............................................................</w:t>
      </w:r>
    </w:p>
    <w:p>
      <w:pPr>
        <w:pStyle w:val="1"/>
        <w:jc w:val="both"/>
      </w:pPr>
      <w:r>
        <w:rPr>
          <w:sz w:val="20"/>
        </w:rPr>
        <w:t xml:space="preserve"> н         0 ─┼────┬────┬────┬────┬────┬────┬────┬────┬────┬────┬────┬────┐</w:t>
      </w:r>
    </w:p>
    <w:p>
      <w:pPr>
        <w:pStyle w:val="1"/>
        <w:jc w:val="both"/>
      </w:pPr>
      <w:r>
        <w:rPr>
          <w:sz w:val="20"/>
        </w:rPr>
        <w:t xml:space="preserve"> ь)           0    1    2    3    4    5    6    7    8    9   10   11   12</w:t>
      </w:r>
    </w:p>
    <w:p>
      <w:pPr>
        <w:pStyle w:val="0"/>
        <w:jc w:val="center"/>
      </w:pPr>
      <w:r>
        <w:rPr>
          <w:sz w:val="20"/>
        </w:rPr>
      </w:r>
    </w:p>
    <w:p>
      <w:pPr>
        <w:pStyle w:val="0"/>
        <w:jc w:val="center"/>
      </w:pPr>
      <w:r>
        <w:rPr>
          <w:sz w:val="20"/>
        </w:rPr>
        <w:t xml:space="preserve">Животный материал (% мощности по производству готовой продукции)</w:t>
      </w:r>
    </w:p>
    <w:p>
      <w:pPr>
        <w:pStyle w:val="0"/>
        <w:jc w:val="center"/>
      </w:pPr>
      <w:r>
        <w:rPr>
          <w:sz w:val="20"/>
        </w:rPr>
      </w:r>
    </w:p>
    <w:bookmarkStart w:id="1400" w:name="P1400"/>
    <w:bookmarkEnd w:id="1400"/>
    <w:p>
      <w:pPr>
        <w:pStyle w:val="0"/>
        <w:ind w:firstLine="540"/>
        <w:jc w:val="both"/>
      </w:pPr>
      <w:r>
        <w:rPr>
          <w:sz w:val="20"/>
        </w:rPr>
        <w:t xml:space="preserve">c) Обработка и переработка молока, когда количество получаемого молока превышает 200 тонн в день (средний показатель на ежегодной основе).</w:t>
      </w:r>
    </w:p>
    <w:bookmarkStart w:id="1401" w:name="P1401"/>
    <w:bookmarkEnd w:id="1401"/>
    <w:p>
      <w:pPr>
        <w:pStyle w:val="0"/>
        <w:spacing w:before="200" w:line-rule="auto"/>
        <w:ind w:firstLine="540"/>
        <w:jc w:val="both"/>
      </w:pPr>
      <w:r>
        <w:rPr>
          <w:sz w:val="20"/>
        </w:rPr>
        <w:t xml:space="preserve">6.5. Захоронение или переработка туш животных или отходов животноводства с перерабатывающей мощностью, превышающей 10 тонн в день.</w:t>
      </w:r>
    </w:p>
    <w:bookmarkStart w:id="1402" w:name="P1402"/>
    <w:bookmarkEnd w:id="1402"/>
    <w:p>
      <w:pPr>
        <w:pStyle w:val="0"/>
        <w:spacing w:before="200" w:line-rule="auto"/>
        <w:ind w:firstLine="540"/>
        <w:jc w:val="both"/>
      </w:pPr>
      <w:r>
        <w:rPr>
          <w:sz w:val="20"/>
        </w:rPr>
        <w:t xml:space="preserve">6.6. Интенсивное разведение домашней птицы или свиней в установках, рассчитанных на более чем:</w:t>
      </w:r>
    </w:p>
    <w:p>
      <w:pPr>
        <w:pStyle w:val="0"/>
        <w:spacing w:before="200" w:line-rule="auto"/>
        <w:ind w:firstLine="540"/>
        <w:jc w:val="both"/>
      </w:pPr>
      <w:r>
        <w:rPr>
          <w:sz w:val="20"/>
        </w:rPr>
        <w:t xml:space="preserve">a) 40000 мест для домашней птицы;</w:t>
      </w:r>
    </w:p>
    <w:p>
      <w:pPr>
        <w:pStyle w:val="0"/>
        <w:spacing w:before="200" w:line-rule="auto"/>
        <w:ind w:firstLine="540"/>
        <w:jc w:val="both"/>
      </w:pPr>
      <w:r>
        <w:rPr>
          <w:sz w:val="20"/>
        </w:rPr>
        <w:t xml:space="preserve">b) 2000 мест для свиней-производителей (весом более 30 кг); или</w:t>
      </w:r>
    </w:p>
    <w:p>
      <w:pPr>
        <w:pStyle w:val="0"/>
        <w:spacing w:before="200" w:line-rule="auto"/>
        <w:ind w:firstLine="540"/>
        <w:jc w:val="both"/>
      </w:pPr>
      <w:r>
        <w:rPr>
          <w:sz w:val="20"/>
        </w:rPr>
        <w:t xml:space="preserve">c) 750 мест для свиноматок.</w:t>
      </w:r>
    </w:p>
    <w:p>
      <w:pPr>
        <w:pStyle w:val="0"/>
        <w:spacing w:before="200" w:line-rule="auto"/>
        <w:ind w:firstLine="540"/>
        <w:jc w:val="both"/>
      </w:pPr>
      <w:r>
        <w:rPr>
          <w:sz w:val="20"/>
        </w:rPr>
        <w:t xml:space="preserve">6.7. Поверхностная обработка веществ, предметов или продуктов с использованием органических растворителей, в частности, для отделки, печати, покрытия, обезжиривания, гидроизолирования, калибровки, окраски, очистки или пропитки с мощностью потребления органического растворителя более 150 кг в час или более 200 тонн в год.</w:t>
      </w:r>
    </w:p>
    <w:p>
      <w:pPr>
        <w:pStyle w:val="0"/>
        <w:spacing w:before="200" w:line-rule="auto"/>
        <w:ind w:firstLine="540"/>
        <w:jc w:val="both"/>
      </w:pPr>
      <w:r>
        <w:rPr>
          <w:sz w:val="20"/>
        </w:rPr>
        <w:t xml:space="preserve">6.8. Производство углерода (обожженного угля) или электрографита путем сжигания или графитизации.</w:t>
      </w:r>
    </w:p>
    <w:bookmarkStart w:id="1408" w:name="P1408"/>
    <w:bookmarkEnd w:id="1408"/>
    <w:p>
      <w:pPr>
        <w:pStyle w:val="1"/>
        <w:spacing w:before="200" w:line-rule="auto"/>
        <w:jc w:val="both"/>
      </w:pPr>
      <w:r>
        <w:rPr>
          <w:sz w:val="20"/>
        </w:rPr>
        <w:t xml:space="preserve">    6.9.  Улавливание  потоков  CO   от установок, подпадающих под действие</w:t>
      </w:r>
    </w:p>
    <w:p>
      <w:pPr>
        <w:pStyle w:val="1"/>
        <w:jc w:val="both"/>
      </w:pPr>
      <w:r>
        <w:rPr>
          <w:sz w:val="20"/>
        </w:rPr>
        <w:t xml:space="preserve">                                  2</w:t>
      </w:r>
    </w:p>
    <w:p>
      <w:pPr>
        <w:pStyle w:val="1"/>
        <w:jc w:val="both"/>
      </w:pPr>
      <w:r>
        <w:rPr>
          <w:sz w:val="20"/>
        </w:rPr>
        <w:t xml:space="preserve">настоящей  </w:t>
      </w:r>
      <w:hyperlink w:history="0" w:anchor="P5" w:tooltip="ДИРЕКТИВА N 2010/75/ЕС">
        <w:r>
          <w:rPr>
            <w:sz w:val="20"/>
            <w:color w:val="0000ff"/>
          </w:rPr>
          <w:t xml:space="preserve">Директивы</w:t>
        </w:r>
      </w:hyperlink>
      <w:r>
        <w:rPr>
          <w:sz w:val="20"/>
        </w:rPr>
        <w:t xml:space="preserve">,  в  целях  геологического  хранения  в соответствии с</w:t>
      </w:r>
    </w:p>
    <w:p>
      <w:pPr>
        <w:pStyle w:val="1"/>
        <w:jc w:val="both"/>
      </w:pPr>
      <w:hyperlink w:history="0" r:id="rId87" w:tooltip="Директива N 2009/31/ЕС Европейского парламента и Совета Европейского Союза &quot;О геологическом хранении диоксида углерода (углекислого газа) и внесении изменений и дополнений в Директиву Совета ЕС 85/337/ЕЭС, Директиву Европейского парламента и Совета ЕС 2000/60/ЕС, 2001/80/ЕС, 2004/35/ЕС, 2006/12/ЕС, 2008/1/ЕС и Регламент (ЕС) 1013/2006&quot; [рус., англ.] (Вместе с &lt;Критериями для определения параметров и оценки потенциальных комплексов для хранения и прилегающей территории, для разработки и обновления плана мони {КонсультантПлюс}">
        <w:r>
          <w:rPr>
            <w:sz w:val="20"/>
            <w:color w:val="0000ff"/>
          </w:rPr>
          <w:t xml:space="preserve">Директивой</w:t>
        </w:r>
      </w:hyperlink>
      <w:r>
        <w:rPr>
          <w:sz w:val="20"/>
        </w:rPr>
        <w:t xml:space="preserve"> 2009/31/ЕС.</w:t>
      </w:r>
    </w:p>
    <w:bookmarkStart w:id="1412" w:name="P1412"/>
    <w:bookmarkEnd w:id="1412"/>
    <w:p>
      <w:pPr>
        <w:pStyle w:val="0"/>
        <w:ind w:firstLine="540"/>
        <w:jc w:val="both"/>
      </w:pPr>
      <w:r>
        <w:rPr>
          <w:sz w:val="20"/>
        </w:rPr>
        <w:t xml:space="preserve">6.10. Сохранение лесов и лесоматериалов химическими веществами с производственной мощностью, превышающей 75 куб. м в день, за исключением обработки против сини.</w:t>
      </w:r>
    </w:p>
    <w:bookmarkStart w:id="1413" w:name="P1413"/>
    <w:bookmarkEnd w:id="1413"/>
    <w:p>
      <w:pPr>
        <w:pStyle w:val="0"/>
        <w:spacing w:before="200" w:line-rule="auto"/>
        <w:ind w:firstLine="540"/>
        <w:jc w:val="both"/>
      </w:pPr>
      <w:r>
        <w:rPr>
          <w:sz w:val="20"/>
        </w:rPr>
        <w:t xml:space="preserve">6.11. Не подпадающая под действие </w:t>
      </w:r>
      <w:hyperlink w:history="0" r:id="rId88" w:tooltip="Директива N 91/271/ЕЭС Совета Европейских сообществ &quot;Об очистке городских сточных вод&quot; [рус., англ.] (Вместе с &quot;Требованиями для городских сточных вод&quot;, &quot;Критериями определения уязвимых и менее уязвимых районов&quot;, &quot;Отраслями промышленности&quot;) (Принята в г. Брюсселе 21.05.1991) (с изм. и доп. от 17.12.2013) {КонсультантПлюс}">
        <w:r>
          <w:rPr>
            <w:sz w:val="20"/>
            <w:color w:val="0000ff"/>
          </w:rPr>
          <w:t xml:space="preserve">Директивы</w:t>
        </w:r>
      </w:hyperlink>
      <w:r>
        <w:rPr>
          <w:sz w:val="20"/>
        </w:rPr>
        <w:t xml:space="preserve"> 91/271/ЕС обособленная обработка сточных вод, которые сбрасываются в соответствии с </w:t>
      </w:r>
      <w:hyperlink w:history="0" w:anchor="P297" w:tooltip="Глава II. ПОЛОЖЕНИЯ ДЛЯ ВИДОВ ДЕЯТЕЛЬНОСТИ, ПЕРЕЧИСЛЕННЫХ">
        <w:r>
          <w:rPr>
            <w:sz w:val="20"/>
            <w:color w:val="0000ff"/>
          </w:rPr>
          <w:t xml:space="preserve">главой II</w:t>
        </w:r>
      </w:hyperlink>
      <w:r>
        <w:rPr>
          <w:sz w:val="20"/>
        </w:rPr>
        <w:t xml:space="preserve"> настоящей Директивы.</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 II</w:t>
      </w:r>
    </w:p>
    <w:p>
      <w:pPr>
        <w:pStyle w:val="0"/>
        <w:jc w:val="right"/>
      </w:pPr>
      <w:r>
        <w:rPr>
          <w:sz w:val="20"/>
        </w:rPr>
      </w:r>
    </w:p>
    <w:bookmarkStart w:id="1421" w:name="P1421"/>
    <w:bookmarkEnd w:id="1421"/>
    <w:p>
      <w:pPr>
        <w:pStyle w:val="2"/>
        <w:jc w:val="center"/>
      </w:pPr>
      <w:r>
        <w:rPr>
          <w:sz w:val="20"/>
        </w:rPr>
        <w:t xml:space="preserve">СПИСОК</w:t>
      </w:r>
    </w:p>
    <w:p>
      <w:pPr>
        <w:pStyle w:val="2"/>
        <w:jc w:val="center"/>
      </w:pPr>
      <w:r>
        <w:rPr>
          <w:sz w:val="20"/>
        </w:rPr>
        <w:t xml:space="preserve">ЗАГРЯЗНЯЮЩИХ ВЕЩЕСТВ</w:t>
      </w:r>
    </w:p>
    <w:p>
      <w:pPr>
        <w:pStyle w:val="0"/>
        <w:ind w:firstLine="540"/>
        <w:jc w:val="both"/>
      </w:pPr>
      <w:r>
        <w:rPr>
          <w:sz w:val="20"/>
        </w:rPr>
      </w:r>
    </w:p>
    <w:bookmarkStart w:id="1424" w:name="P1424"/>
    <w:bookmarkEnd w:id="1424"/>
    <w:p>
      <w:pPr>
        <w:pStyle w:val="0"/>
        <w:outlineLvl w:val="1"/>
        <w:jc w:val="center"/>
      </w:pPr>
      <w:r>
        <w:rPr>
          <w:sz w:val="20"/>
        </w:rPr>
        <w:t xml:space="preserve">Воздух</w:t>
      </w:r>
    </w:p>
    <w:p>
      <w:pPr>
        <w:pStyle w:val="0"/>
        <w:ind w:firstLine="540"/>
        <w:jc w:val="both"/>
      </w:pPr>
      <w:r>
        <w:rPr>
          <w:sz w:val="20"/>
        </w:rPr>
      </w:r>
    </w:p>
    <w:p>
      <w:pPr>
        <w:pStyle w:val="0"/>
        <w:ind w:firstLine="540"/>
        <w:jc w:val="both"/>
      </w:pPr>
      <w:r>
        <w:rPr>
          <w:sz w:val="20"/>
        </w:rPr>
        <w:t xml:space="preserve">1. Диоксид серы и иные соединения серы</w:t>
      </w:r>
    </w:p>
    <w:p>
      <w:pPr>
        <w:pStyle w:val="0"/>
        <w:spacing w:before="200" w:line-rule="auto"/>
        <w:ind w:firstLine="540"/>
        <w:jc w:val="both"/>
      </w:pPr>
      <w:r>
        <w:rPr>
          <w:sz w:val="20"/>
        </w:rPr>
        <w:t xml:space="preserve">2. Оксиды азота и другие соединения азота</w:t>
      </w:r>
    </w:p>
    <w:p>
      <w:pPr>
        <w:pStyle w:val="0"/>
        <w:spacing w:before="200" w:line-rule="auto"/>
        <w:ind w:firstLine="540"/>
        <w:jc w:val="both"/>
      </w:pPr>
      <w:r>
        <w:rPr>
          <w:sz w:val="20"/>
        </w:rPr>
        <w:t xml:space="preserve">3. Оксид углерода</w:t>
      </w:r>
    </w:p>
    <w:p>
      <w:pPr>
        <w:pStyle w:val="0"/>
        <w:spacing w:before="200" w:line-rule="auto"/>
        <w:ind w:firstLine="540"/>
        <w:jc w:val="both"/>
      </w:pPr>
      <w:r>
        <w:rPr>
          <w:sz w:val="20"/>
        </w:rPr>
        <w:t xml:space="preserve">4. Летучие органические соединения</w:t>
      </w:r>
    </w:p>
    <w:p>
      <w:pPr>
        <w:pStyle w:val="0"/>
        <w:spacing w:before="200" w:line-rule="auto"/>
        <w:ind w:firstLine="540"/>
        <w:jc w:val="both"/>
      </w:pPr>
      <w:r>
        <w:rPr>
          <w:sz w:val="20"/>
        </w:rPr>
        <w:t xml:space="preserve">5. Металлы и их соединения</w:t>
      </w:r>
    </w:p>
    <w:p>
      <w:pPr>
        <w:pStyle w:val="0"/>
        <w:spacing w:before="200" w:line-rule="auto"/>
        <w:ind w:firstLine="540"/>
        <w:jc w:val="both"/>
      </w:pPr>
      <w:r>
        <w:rPr>
          <w:sz w:val="20"/>
        </w:rPr>
        <w:t xml:space="preserve">6. Пыль, в том числе мелкие твердые частицы</w:t>
      </w:r>
    </w:p>
    <w:p>
      <w:pPr>
        <w:pStyle w:val="0"/>
        <w:spacing w:before="200" w:line-rule="auto"/>
        <w:ind w:firstLine="540"/>
        <w:jc w:val="both"/>
      </w:pPr>
      <w:r>
        <w:rPr>
          <w:sz w:val="20"/>
        </w:rPr>
        <w:t xml:space="preserve">7. Асбест (взвешенные частицы, волокно)</w:t>
      </w:r>
    </w:p>
    <w:p>
      <w:pPr>
        <w:pStyle w:val="0"/>
        <w:spacing w:before="200" w:line-rule="auto"/>
        <w:ind w:firstLine="540"/>
        <w:jc w:val="both"/>
      </w:pPr>
      <w:r>
        <w:rPr>
          <w:sz w:val="20"/>
        </w:rPr>
        <w:t xml:space="preserve">8. Хлор и его соединения</w:t>
      </w:r>
    </w:p>
    <w:p>
      <w:pPr>
        <w:pStyle w:val="0"/>
        <w:spacing w:before="200" w:line-rule="auto"/>
        <w:ind w:firstLine="540"/>
        <w:jc w:val="both"/>
      </w:pPr>
      <w:r>
        <w:rPr>
          <w:sz w:val="20"/>
        </w:rPr>
        <w:t xml:space="preserve">9. Фтор и его соединения</w:t>
      </w:r>
    </w:p>
    <w:p>
      <w:pPr>
        <w:pStyle w:val="0"/>
        <w:spacing w:before="200" w:line-rule="auto"/>
        <w:ind w:firstLine="540"/>
        <w:jc w:val="both"/>
      </w:pPr>
      <w:r>
        <w:rPr>
          <w:sz w:val="20"/>
        </w:rPr>
        <w:t xml:space="preserve">10. Мышьяк и его соединения</w:t>
      </w:r>
    </w:p>
    <w:p>
      <w:pPr>
        <w:pStyle w:val="0"/>
        <w:spacing w:before="200" w:line-rule="auto"/>
        <w:ind w:firstLine="540"/>
        <w:jc w:val="both"/>
      </w:pPr>
      <w:r>
        <w:rPr>
          <w:sz w:val="20"/>
        </w:rPr>
        <w:t xml:space="preserve">11. Цианиды</w:t>
      </w:r>
    </w:p>
    <w:p>
      <w:pPr>
        <w:pStyle w:val="0"/>
        <w:spacing w:before="200" w:line-rule="auto"/>
        <w:ind w:firstLine="540"/>
        <w:jc w:val="both"/>
      </w:pPr>
      <w:r>
        <w:rPr>
          <w:sz w:val="20"/>
        </w:rPr>
        <w:t xml:space="preserve">12. Вещества и смеси, обладающие канцерогенными или мутагенными свойствами либо свойствами, которые могут оказать влияние на репродукцию воздушным путем</w:t>
      </w:r>
    </w:p>
    <w:p>
      <w:pPr>
        <w:pStyle w:val="0"/>
        <w:spacing w:before="200" w:line-rule="auto"/>
        <w:ind w:firstLine="540"/>
        <w:jc w:val="both"/>
      </w:pPr>
      <w:r>
        <w:rPr>
          <w:sz w:val="20"/>
        </w:rPr>
        <w:t xml:space="preserve">13. Полихлорированные дибензодиоксины и полихлорированные дибензофураны</w:t>
      </w:r>
    </w:p>
    <w:p>
      <w:pPr>
        <w:pStyle w:val="0"/>
        <w:ind w:firstLine="540"/>
        <w:jc w:val="both"/>
      </w:pPr>
      <w:r>
        <w:rPr>
          <w:sz w:val="20"/>
        </w:rPr>
      </w:r>
    </w:p>
    <w:p>
      <w:pPr>
        <w:pStyle w:val="0"/>
        <w:outlineLvl w:val="1"/>
        <w:jc w:val="center"/>
      </w:pPr>
      <w:r>
        <w:rPr>
          <w:sz w:val="20"/>
        </w:rPr>
        <w:t xml:space="preserve">Вода</w:t>
      </w:r>
    </w:p>
    <w:p>
      <w:pPr>
        <w:pStyle w:val="0"/>
        <w:ind w:firstLine="540"/>
        <w:jc w:val="both"/>
      </w:pPr>
      <w:r>
        <w:rPr>
          <w:sz w:val="20"/>
        </w:rPr>
      </w:r>
    </w:p>
    <w:bookmarkStart w:id="1442" w:name="P1442"/>
    <w:bookmarkEnd w:id="1442"/>
    <w:p>
      <w:pPr>
        <w:pStyle w:val="0"/>
        <w:ind w:firstLine="540"/>
        <w:jc w:val="both"/>
      </w:pPr>
      <w:r>
        <w:rPr>
          <w:sz w:val="20"/>
        </w:rPr>
        <w:t xml:space="preserve">1. Органогалогенные соединения и вещества, способные к образованию таких соединений в водной среде</w:t>
      </w:r>
    </w:p>
    <w:p>
      <w:pPr>
        <w:pStyle w:val="0"/>
        <w:spacing w:before="200" w:line-rule="auto"/>
        <w:ind w:firstLine="540"/>
        <w:jc w:val="both"/>
      </w:pPr>
      <w:r>
        <w:rPr>
          <w:sz w:val="20"/>
        </w:rPr>
        <w:t xml:space="preserve">2. Органофосфорные соединения</w:t>
      </w:r>
    </w:p>
    <w:p>
      <w:pPr>
        <w:pStyle w:val="0"/>
        <w:spacing w:before="200" w:line-rule="auto"/>
        <w:ind w:firstLine="540"/>
        <w:jc w:val="both"/>
      </w:pPr>
      <w:r>
        <w:rPr>
          <w:sz w:val="20"/>
        </w:rPr>
        <w:t xml:space="preserve">3. Оловоорганические соединения</w:t>
      </w:r>
    </w:p>
    <w:p>
      <w:pPr>
        <w:pStyle w:val="0"/>
        <w:spacing w:before="200" w:line-rule="auto"/>
        <w:ind w:firstLine="540"/>
        <w:jc w:val="both"/>
      </w:pPr>
      <w:r>
        <w:rPr>
          <w:sz w:val="20"/>
        </w:rPr>
        <w:t xml:space="preserve">4. Вещества и смеси, обладающие канцерогенными или мутагенными свойствами либо свойствами, которые могут оказать влияние на репродукцию в водной среде или посредством такой среды</w:t>
      </w:r>
    </w:p>
    <w:p>
      <w:pPr>
        <w:pStyle w:val="0"/>
        <w:spacing w:before="200" w:line-rule="auto"/>
        <w:ind w:firstLine="540"/>
        <w:jc w:val="both"/>
      </w:pPr>
      <w:r>
        <w:rPr>
          <w:sz w:val="20"/>
        </w:rPr>
        <w:t xml:space="preserve">5. Устойчивые углеводороды, а также устойчивые и биоаккумулятивные органические токсические вещества</w:t>
      </w:r>
    </w:p>
    <w:p>
      <w:pPr>
        <w:pStyle w:val="0"/>
        <w:spacing w:before="200" w:line-rule="auto"/>
        <w:ind w:firstLine="540"/>
        <w:jc w:val="both"/>
      </w:pPr>
      <w:r>
        <w:rPr>
          <w:sz w:val="20"/>
        </w:rPr>
        <w:t xml:space="preserve">6. Цианиды</w:t>
      </w:r>
    </w:p>
    <w:p>
      <w:pPr>
        <w:pStyle w:val="0"/>
        <w:spacing w:before="200" w:line-rule="auto"/>
        <w:ind w:firstLine="540"/>
        <w:jc w:val="both"/>
      </w:pPr>
      <w:r>
        <w:rPr>
          <w:sz w:val="20"/>
        </w:rPr>
        <w:t xml:space="preserve">7. Металлы и их соединения</w:t>
      </w:r>
    </w:p>
    <w:p>
      <w:pPr>
        <w:pStyle w:val="0"/>
        <w:spacing w:before="200" w:line-rule="auto"/>
        <w:ind w:firstLine="540"/>
        <w:jc w:val="both"/>
      </w:pPr>
      <w:r>
        <w:rPr>
          <w:sz w:val="20"/>
        </w:rPr>
        <w:t xml:space="preserve">8. Мышьяк и его соединения</w:t>
      </w:r>
    </w:p>
    <w:p>
      <w:pPr>
        <w:pStyle w:val="0"/>
        <w:spacing w:before="200" w:line-rule="auto"/>
        <w:ind w:firstLine="540"/>
        <w:jc w:val="both"/>
      </w:pPr>
      <w:r>
        <w:rPr>
          <w:sz w:val="20"/>
        </w:rPr>
        <w:t xml:space="preserve">9. Биоцидные средства и продукты защиты растений</w:t>
      </w:r>
    </w:p>
    <w:p>
      <w:pPr>
        <w:pStyle w:val="0"/>
        <w:spacing w:before="200" w:line-rule="auto"/>
        <w:ind w:firstLine="540"/>
        <w:jc w:val="both"/>
      </w:pPr>
      <w:r>
        <w:rPr>
          <w:sz w:val="20"/>
        </w:rPr>
        <w:t xml:space="preserve">10. Материалы во взвешенном состоянии</w:t>
      </w:r>
    </w:p>
    <w:p>
      <w:pPr>
        <w:pStyle w:val="0"/>
        <w:spacing w:before="200" w:line-rule="auto"/>
        <w:ind w:firstLine="540"/>
        <w:jc w:val="both"/>
      </w:pPr>
      <w:r>
        <w:rPr>
          <w:sz w:val="20"/>
        </w:rPr>
        <w:t xml:space="preserve">11. Вещества, способствующие эвтрофикации (в частности, нитраты и фосфаты)</w:t>
      </w:r>
    </w:p>
    <w:bookmarkStart w:id="1453" w:name="P1453"/>
    <w:bookmarkEnd w:id="1453"/>
    <w:p>
      <w:pPr>
        <w:pStyle w:val="0"/>
        <w:spacing w:before="200" w:line-rule="auto"/>
        <w:ind w:firstLine="540"/>
        <w:jc w:val="both"/>
      </w:pPr>
      <w:r>
        <w:rPr>
          <w:sz w:val="20"/>
        </w:rPr>
        <w:t xml:space="preserve">12. Вещества, оказывающие неблагоприятное воздействие на баланс кислорода (которые могут быть измерены с использованием таких показателей, как BOD, COD и др.)</w:t>
      </w:r>
    </w:p>
    <w:bookmarkStart w:id="1454" w:name="P1454"/>
    <w:bookmarkEnd w:id="1454"/>
    <w:p>
      <w:pPr>
        <w:pStyle w:val="0"/>
        <w:spacing w:before="200" w:line-rule="auto"/>
        <w:ind w:firstLine="540"/>
        <w:jc w:val="both"/>
      </w:pPr>
      <w:r>
        <w:rPr>
          <w:sz w:val="20"/>
        </w:rPr>
        <w:t xml:space="preserve">13. Вещества, перечисленные в </w:t>
      </w:r>
      <w:hyperlink w:history="0" r:id="rId89" w:tooltip="Директива N 2000/60/ЕС Европейского парламента и Совета Европейского Союза &quot;Об установлении рамочных положений для деятельности Сообщества в области водной политики&quot; [рус., англ.] (Вместе с &quot;Информацией, требующейся для списка компетентных органов&quot;, &quot;Экономическим анализом&quot;, &quot;Охраняемыми территориями&quot;, &lt;Индикативным списком основных загрязняющих веществ и списками мер, подлежащими включению в программы мероприятий, приоритетных веществ&gt;, &quot;Планами управления речными бассейнами&quot;, &quot;Предельной величиной выбросо {КонсультантПлюс}">
        <w:r>
          <w:rPr>
            <w:sz w:val="20"/>
            <w:color w:val="0000ff"/>
          </w:rPr>
          <w:t xml:space="preserve">приложении X</w:t>
        </w:r>
      </w:hyperlink>
      <w:r>
        <w:rPr>
          <w:sz w:val="20"/>
        </w:rPr>
        <w:t xml:space="preserve"> к Директиве 2000/60/ЕС</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 III</w:t>
      </w:r>
    </w:p>
    <w:p>
      <w:pPr>
        <w:pStyle w:val="0"/>
        <w:jc w:val="right"/>
      </w:pPr>
      <w:r>
        <w:rPr>
          <w:sz w:val="20"/>
        </w:rPr>
      </w:r>
    </w:p>
    <w:bookmarkStart w:id="1462" w:name="P1462"/>
    <w:bookmarkEnd w:id="1462"/>
    <w:p>
      <w:pPr>
        <w:pStyle w:val="2"/>
        <w:jc w:val="center"/>
      </w:pPr>
      <w:r>
        <w:rPr>
          <w:sz w:val="20"/>
        </w:rPr>
        <w:t xml:space="preserve">КРИТЕРИИ</w:t>
      </w:r>
    </w:p>
    <w:p>
      <w:pPr>
        <w:pStyle w:val="2"/>
        <w:jc w:val="center"/>
      </w:pPr>
      <w:r>
        <w:rPr>
          <w:sz w:val="20"/>
        </w:rPr>
        <w:t xml:space="preserve">ДЛЯ ОПРЕДЕЛЕНИЯ НАИЛУЧШИХ ДОСТУПНЫХ ТЕХНОЛОГИЙ</w:t>
      </w:r>
    </w:p>
    <w:p>
      <w:pPr>
        <w:pStyle w:val="0"/>
        <w:jc w:val="center"/>
      </w:pPr>
      <w:r>
        <w:rPr>
          <w:sz w:val="20"/>
        </w:rPr>
      </w:r>
    </w:p>
    <w:p>
      <w:pPr>
        <w:pStyle w:val="0"/>
        <w:ind w:firstLine="540"/>
        <w:jc w:val="both"/>
      </w:pPr>
      <w:r>
        <w:rPr>
          <w:sz w:val="20"/>
        </w:rPr>
        <w:t xml:space="preserve">1. Использование малоотходных технологий;</w:t>
      </w:r>
    </w:p>
    <w:p>
      <w:pPr>
        <w:pStyle w:val="0"/>
        <w:spacing w:before="200" w:line-rule="auto"/>
        <w:ind w:firstLine="540"/>
        <w:jc w:val="both"/>
      </w:pPr>
      <w:r>
        <w:rPr>
          <w:sz w:val="20"/>
        </w:rPr>
        <w:t xml:space="preserve">2. использование наименее опасных технологий;</w:t>
      </w:r>
    </w:p>
    <w:p>
      <w:pPr>
        <w:pStyle w:val="0"/>
        <w:spacing w:before="200" w:line-rule="auto"/>
        <w:ind w:firstLine="540"/>
        <w:jc w:val="both"/>
      </w:pPr>
      <w:r>
        <w:rPr>
          <w:sz w:val="20"/>
        </w:rPr>
        <w:t xml:space="preserve">3. последующее извлечение или переработка веществ, образующихся и использующихся в процессах, а также отходов, если это применимо;</w:t>
      </w:r>
    </w:p>
    <w:p>
      <w:pPr>
        <w:pStyle w:val="0"/>
        <w:spacing w:before="200" w:line-rule="auto"/>
        <w:ind w:firstLine="540"/>
        <w:jc w:val="both"/>
      </w:pPr>
      <w:r>
        <w:rPr>
          <w:sz w:val="20"/>
        </w:rPr>
        <w:t xml:space="preserve">4. сопоставимые процессы, установки или методы осуществления деятельности, которые успешно применяются в промышленных масштабах;</w:t>
      </w:r>
    </w:p>
    <w:p>
      <w:pPr>
        <w:pStyle w:val="0"/>
        <w:spacing w:before="200" w:line-rule="auto"/>
        <w:ind w:firstLine="540"/>
        <w:jc w:val="both"/>
      </w:pPr>
      <w:r>
        <w:rPr>
          <w:sz w:val="20"/>
        </w:rPr>
        <w:t xml:space="preserve">5. технический прогресс или изменения научного знания и сознания;</w:t>
      </w:r>
    </w:p>
    <w:p>
      <w:pPr>
        <w:pStyle w:val="0"/>
        <w:spacing w:before="200" w:line-rule="auto"/>
        <w:ind w:firstLine="540"/>
        <w:jc w:val="both"/>
      </w:pPr>
      <w:r>
        <w:rPr>
          <w:sz w:val="20"/>
        </w:rPr>
        <w:t xml:space="preserve">6. природа, влияние и объем соответствующих выбросов;</w:t>
      </w:r>
    </w:p>
    <w:p>
      <w:pPr>
        <w:pStyle w:val="0"/>
        <w:spacing w:before="200" w:line-rule="auto"/>
        <w:ind w:firstLine="540"/>
        <w:jc w:val="both"/>
      </w:pPr>
      <w:r>
        <w:rPr>
          <w:sz w:val="20"/>
        </w:rPr>
        <w:t xml:space="preserve">7. даты введения в эксплуатацию новых или существующих установок;</w:t>
      </w:r>
    </w:p>
    <w:p>
      <w:pPr>
        <w:pStyle w:val="0"/>
        <w:spacing w:before="200" w:line-rule="auto"/>
        <w:ind w:firstLine="540"/>
        <w:jc w:val="both"/>
      </w:pPr>
      <w:r>
        <w:rPr>
          <w:sz w:val="20"/>
        </w:rPr>
        <w:t xml:space="preserve">8. протяженность срока, необходимого для введения наилучших доступных технологий;</w:t>
      </w:r>
    </w:p>
    <w:p>
      <w:pPr>
        <w:pStyle w:val="0"/>
        <w:spacing w:before="200" w:line-rule="auto"/>
        <w:ind w:firstLine="540"/>
        <w:jc w:val="both"/>
      </w:pPr>
      <w:r>
        <w:rPr>
          <w:sz w:val="20"/>
        </w:rPr>
        <w:t xml:space="preserve">9. потребление и природа сырья (в том числе воды), используемого в процессах, и энергетическая эффективность;</w:t>
      </w:r>
    </w:p>
    <w:p>
      <w:pPr>
        <w:pStyle w:val="0"/>
        <w:spacing w:before="200" w:line-rule="auto"/>
        <w:ind w:firstLine="540"/>
        <w:jc w:val="both"/>
      </w:pPr>
      <w:r>
        <w:rPr>
          <w:sz w:val="20"/>
        </w:rPr>
        <w:t xml:space="preserve">10. необходимость предотвращения или сведения к минимуму общего влияния выбросов на окружающую среду и рисков для среды;</w:t>
      </w:r>
    </w:p>
    <w:p>
      <w:pPr>
        <w:pStyle w:val="0"/>
        <w:spacing w:before="200" w:line-rule="auto"/>
        <w:ind w:firstLine="540"/>
        <w:jc w:val="both"/>
      </w:pPr>
      <w:r>
        <w:rPr>
          <w:sz w:val="20"/>
        </w:rPr>
        <w:t xml:space="preserve">11. необходимость предотвращения аварий и минимизации последствий для окружающей среды;</w:t>
      </w:r>
    </w:p>
    <w:bookmarkStart w:id="1476" w:name="P1476"/>
    <w:bookmarkEnd w:id="1476"/>
    <w:p>
      <w:pPr>
        <w:pStyle w:val="0"/>
        <w:spacing w:before="200" w:line-rule="auto"/>
        <w:ind w:firstLine="540"/>
        <w:jc w:val="both"/>
      </w:pPr>
      <w:r>
        <w:rPr>
          <w:sz w:val="20"/>
        </w:rPr>
        <w:t xml:space="preserve">12. информация, публикуемая общественными международными организациями.</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 IV</w:t>
      </w:r>
    </w:p>
    <w:p>
      <w:pPr>
        <w:pStyle w:val="0"/>
        <w:jc w:val="right"/>
      </w:pPr>
      <w:r>
        <w:rPr>
          <w:sz w:val="20"/>
        </w:rPr>
      </w:r>
    </w:p>
    <w:bookmarkStart w:id="1484" w:name="P1484"/>
    <w:bookmarkEnd w:id="1484"/>
    <w:p>
      <w:pPr>
        <w:pStyle w:val="2"/>
        <w:jc w:val="center"/>
      </w:pPr>
      <w:r>
        <w:rPr>
          <w:sz w:val="20"/>
        </w:rPr>
        <w:t xml:space="preserve">УЧАСТИЕ ОБЩЕСТВЕННОСТИ В ПРИНЯТИИ РЕШЕНИЙ</w:t>
      </w:r>
    </w:p>
    <w:p>
      <w:pPr>
        <w:pStyle w:val="0"/>
        <w:ind w:firstLine="540"/>
        <w:jc w:val="both"/>
      </w:pPr>
      <w:r>
        <w:rPr>
          <w:sz w:val="20"/>
        </w:rPr>
      </w:r>
    </w:p>
    <w:bookmarkStart w:id="1486" w:name="P1486"/>
    <w:bookmarkEnd w:id="1486"/>
    <w:p>
      <w:pPr>
        <w:pStyle w:val="0"/>
        <w:ind w:firstLine="540"/>
        <w:jc w:val="both"/>
      </w:pPr>
      <w:r>
        <w:rPr>
          <w:sz w:val="20"/>
        </w:rPr>
        <w:t xml:space="preserve">1. Необходимо информировать общественность (посредством официального извещения или иных надлежащих средств, таких как электронные средства массовой информации, если это применимо) о следующих вопросах, в ходе процедуры принятия решений или в разумный срок, когда такая информация может быть предоставлена:</w:t>
      </w:r>
    </w:p>
    <w:p>
      <w:pPr>
        <w:pStyle w:val="0"/>
        <w:spacing w:before="200" w:line-rule="auto"/>
        <w:ind w:firstLine="540"/>
        <w:jc w:val="both"/>
      </w:pPr>
      <w:r>
        <w:rPr>
          <w:sz w:val="20"/>
        </w:rPr>
        <w:t xml:space="preserve">a) заявление на выдачу разрешения или в зависимости от обстоятельств предложение об изменении разрешения или условий разрешения в соответствии со </w:t>
      </w:r>
      <w:hyperlink w:history="0" w:anchor="P449" w:tooltip="Статья 21">
        <w:r>
          <w:rPr>
            <w:sz w:val="20"/>
            <w:color w:val="0000ff"/>
          </w:rPr>
          <w:t xml:space="preserve">статьей 21</w:t>
        </w:r>
      </w:hyperlink>
      <w:r>
        <w:rPr>
          <w:sz w:val="20"/>
        </w:rPr>
        <w:t xml:space="preserve"> настоящей Директивы, в том числе описание элементов, перечисленных в </w:t>
      </w:r>
      <w:hyperlink w:history="0" w:anchor="P324" w:tooltip="1. Государства-члены ЕС принимают необходимые меры, гарантирующие, что заявление на выдачу разрешения содержит указание на:">
        <w:r>
          <w:rPr>
            <w:sz w:val="20"/>
            <w:color w:val="0000ff"/>
          </w:rPr>
          <w:t xml:space="preserve">статье 12 (1)</w:t>
        </w:r>
      </w:hyperlink>
      <w:r>
        <w:rPr>
          <w:sz w:val="20"/>
        </w:rPr>
        <w:t xml:space="preserve"> настоящей Директивы;</w:t>
      </w:r>
    </w:p>
    <w:p>
      <w:pPr>
        <w:pStyle w:val="0"/>
        <w:spacing w:before="200" w:line-rule="auto"/>
        <w:ind w:firstLine="540"/>
        <w:jc w:val="both"/>
      </w:pPr>
      <w:r>
        <w:rPr>
          <w:sz w:val="20"/>
        </w:rPr>
        <w:t xml:space="preserve">b) при необходимости факт того, что на решение распространяется положение о проведении национальной или трансграничной оценки воздействия на окружающую среду или положение о консультациях между государствами-членами ЕС в соответствии со </w:t>
      </w:r>
      <w:hyperlink w:history="0" w:anchor="P557" w:tooltip="Статья 26">
        <w:r>
          <w:rPr>
            <w:sz w:val="20"/>
            <w:color w:val="0000ff"/>
          </w:rPr>
          <w:t xml:space="preserve">статьей 26</w:t>
        </w:r>
      </w:hyperlink>
      <w:r>
        <w:rPr>
          <w:sz w:val="20"/>
        </w:rPr>
        <w:t xml:space="preserve"> настоящей Директивы;</w:t>
      </w:r>
    </w:p>
    <w:p>
      <w:pPr>
        <w:pStyle w:val="0"/>
        <w:spacing w:before="200" w:line-rule="auto"/>
        <w:ind w:firstLine="540"/>
        <w:jc w:val="both"/>
      </w:pPr>
      <w:r>
        <w:rPr>
          <w:sz w:val="20"/>
        </w:rPr>
        <w:t xml:space="preserve">c) информация о компетентных органах, ответственных за принятие решения, органах, которые могут предоставить соответствующую информацию, органах, которым можно представлять комментарии и вопросы, а также информация о сроках предоставления комментариев или вопросов;</w:t>
      </w:r>
    </w:p>
    <w:p>
      <w:pPr>
        <w:pStyle w:val="0"/>
        <w:spacing w:before="200" w:line-rule="auto"/>
        <w:ind w:firstLine="540"/>
        <w:jc w:val="both"/>
      </w:pPr>
      <w:r>
        <w:rPr>
          <w:sz w:val="20"/>
        </w:rPr>
        <w:t xml:space="preserve">d) природа возможных решений или проектов решений, если они имеются;</w:t>
      </w:r>
    </w:p>
    <w:p>
      <w:pPr>
        <w:pStyle w:val="0"/>
        <w:spacing w:before="200" w:line-rule="auto"/>
        <w:ind w:firstLine="540"/>
        <w:jc w:val="both"/>
      </w:pPr>
      <w:r>
        <w:rPr>
          <w:sz w:val="20"/>
        </w:rPr>
        <w:t xml:space="preserve">e) если применимо, информация относительно предложения об изменении разрешения или условий разрешения;</w:t>
      </w:r>
    </w:p>
    <w:p>
      <w:pPr>
        <w:pStyle w:val="0"/>
        <w:spacing w:before="200" w:line-rule="auto"/>
        <w:ind w:firstLine="540"/>
        <w:jc w:val="both"/>
      </w:pPr>
      <w:r>
        <w:rPr>
          <w:sz w:val="20"/>
        </w:rPr>
        <w:t xml:space="preserve">f) указание на время и место, где может быть получена соответствующая информация;</w:t>
      </w:r>
    </w:p>
    <w:p>
      <w:pPr>
        <w:pStyle w:val="0"/>
        <w:spacing w:before="200" w:line-rule="auto"/>
        <w:ind w:firstLine="540"/>
        <w:jc w:val="both"/>
      </w:pPr>
      <w:r>
        <w:rPr>
          <w:sz w:val="20"/>
        </w:rPr>
        <w:t xml:space="preserve">g) информация об организации общественного участия и консультаций, проводимых в соответствии с </w:t>
      </w:r>
      <w:hyperlink w:history="0" w:anchor="P1499" w:tooltip="5. Детальный порядок информирования общественности (например, расклеивание плакатов в определенном районе или публикация в местных газетах), а также порядок консультирования заинтересованных членов общественности (например, путем подачи письменных запросов или опроса общественности) определяется государствами-членами ЕС. Должны быть предоставлены разумные сроки для информирования общественности, чтобы заинтересованные члены общественности могли подготовиться и эффективно участвовать в принятии решений, с...">
        <w:r>
          <w:rPr>
            <w:sz w:val="20"/>
            <w:color w:val="0000ff"/>
          </w:rPr>
          <w:t xml:space="preserve">пунктом 5</w:t>
        </w:r>
      </w:hyperlink>
      <w:r>
        <w:rPr>
          <w:sz w:val="20"/>
        </w:rPr>
        <w:t xml:space="preserve"> настоящего Приложения.</w:t>
      </w:r>
    </w:p>
    <w:p>
      <w:pPr>
        <w:pStyle w:val="0"/>
        <w:spacing w:before="200" w:line-rule="auto"/>
        <w:ind w:firstLine="540"/>
        <w:jc w:val="both"/>
      </w:pPr>
      <w:r>
        <w:rPr>
          <w:sz w:val="20"/>
        </w:rPr>
        <w:t xml:space="preserve">2. Государства-члены ЕС гарантируют, что в надлежащие сроки заинтересованным членам общественности предоставлены:</w:t>
      </w:r>
    </w:p>
    <w:p>
      <w:pPr>
        <w:pStyle w:val="0"/>
        <w:spacing w:before="200" w:line-rule="auto"/>
        <w:ind w:firstLine="540"/>
        <w:jc w:val="both"/>
      </w:pPr>
      <w:r>
        <w:rPr>
          <w:sz w:val="20"/>
        </w:rPr>
        <w:t xml:space="preserve">a) в соответствии с национальным законодательством основные отчеты и рекомендации, выданные компетентному органу или органам в то время, когда общественность была проинформирована в соответствии с </w:t>
      </w:r>
      <w:hyperlink w:history="0" w:anchor="P1486" w:tooltip="1. Необходимо информировать общественность (посредством официального извещения или иных надлежащих средств, таких как электронные средства массовой информации, если это применимо) о следующих вопросах, в ходе процедуры принятия решений или в разумный срок, когда такая информация может быть предоставлена:">
        <w:r>
          <w:rPr>
            <w:sz w:val="20"/>
            <w:color w:val="0000ff"/>
          </w:rPr>
          <w:t xml:space="preserve">пунктом 1</w:t>
        </w:r>
      </w:hyperlink>
      <w:r>
        <w:rPr>
          <w:sz w:val="20"/>
        </w:rPr>
        <w:t xml:space="preserve"> настоящего Приложения;</w:t>
      </w:r>
    </w:p>
    <w:p>
      <w:pPr>
        <w:pStyle w:val="0"/>
        <w:spacing w:before="200" w:line-rule="auto"/>
        <w:ind w:firstLine="540"/>
        <w:jc w:val="both"/>
      </w:pPr>
      <w:r>
        <w:rPr>
          <w:sz w:val="20"/>
        </w:rPr>
        <w:t xml:space="preserve">b) в соответствии с </w:t>
      </w:r>
      <w:hyperlink w:history="0" r:id="rId90" w:tooltip="Директива N 2003/4/ЕС Европейского парламента и Совета Европейского Союза &quot;О доступе общественности к информации об окружающей среде и отмене Директивы 90/313/ЕЭС Совета ЕС&quot; [рус., англ.] (Вместе с &quot;Корреляционной таблицей&quot;) (Принята в г. Брюсселе 28.01.2003) {КонсультантПлюс}">
        <w:r>
          <w:rPr>
            <w:sz w:val="20"/>
            <w:color w:val="0000ff"/>
          </w:rPr>
          <w:t xml:space="preserve">Директивой</w:t>
        </w:r>
      </w:hyperlink>
      <w:r>
        <w:rPr>
          <w:sz w:val="20"/>
        </w:rPr>
        <w:t xml:space="preserve"> 2003/4/ЕС, информация, кроме информации, указанной в пункте 1 настоящего Приложения, касающаяся решения в соответствии со </w:t>
      </w:r>
      <w:hyperlink w:history="0" w:anchor="P250" w:tooltip="Статья 5">
        <w:r>
          <w:rPr>
            <w:sz w:val="20"/>
            <w:color w:val="0000ff"/>
          </w:rPr>
          <w:t xml:space="preserve">статьей 5</w:t>
        </w:r>
      </w:hyperlink>
      <w:r>
        <w:rPr>
          <w:sz w:val="20"/>
        </w:rPr>
        <w:t xml:space="preserve"> настоящей Директивы, которая становится доступной только после того, как общественность была проинформирована в соответствии с пунктом 1 настоящего Приложения.</w:t>
      </w:r>
    </w:p>
    <w:p>
      <w:pPr>
        <w:pStyle w:val="0"/>
        <w:spacing w:before="200" w:line-rule="auto"/>
        <w:ind w:firstLine="540"/>
        <w:jc w:val="both"/>
      </w:pPr>
      <w:r>
        <w:rPr>
          <w:sz w:val="20"/>
        </w:rPr>
        <w:t xml:space="preserve">3. Заинтересованным членам общественности должно быть предоставлено право высказывать комментарии и мнения компетентным органам до принятия решения.</w:t>
      </w:r>
    </w:p>
    <w:p>
      <w:pPr>
        <w:pStyle w:val="0"/>
        <w:spacing w:before="200" w:line-rule="auto"/>
        <w:ind w:firstLine="540"/>
        <w:jc w:val="both"/>
      </w:pPr>
      <w:r>
        <w:rPr>
          <w:sz w:val="20"/>
        </w:rPr>
        <w:t xml:space="preserve">4. Результаты консультаций, проведенных в соответствии с настоящим Приложением, должны быть учтены при принятии решения.</w:t>
      </w:r>
    </w:p>
    <w:bookmarkStart w:id="1499" w:name="P1499"/>
    <w:bookmarkEnd w:id="1499"/>
    <w:p>
      <w:pPr>
        <w:pStyle w:val="0"/>
        <w:spacing w:before="200" w:line-rule="auto"/>
        <w:ind w:firstLine="540"/>
        <w:jc w:val="both"/>
      </w:pPr>
      <w:r>
        <w:rPr>
          <w:sz w:val="20"/>
        </w:rPr>
        <w:t xml:space="preserve">5. Детальный порядок информирования общественности (например, расклеивание плакатов в определенном районе или публикация в местных газетах), а также порядок консультирования заинтересованных членов общественности (например, путем подачи письменных запросов или опроса общественности) определяется государствами-членами ЕС. Должны быть предоставлены разумные сроки для информирования общественности, чтобы заинтересованные члены общественности могли подготовиться и эффективно участвовать в принятии решений, связанных с защитой окружающей среды в соответствии с настоящим Приложением.</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 V</w:t>
      </w:r>
    </w:p>
    <w:p>
      <w:pPr>
        <w:pStyle w:val="0"/>
        <w:jc w:val="right"/>
      </w:pPr>
      <w:r>
        <w:rPr>
          <w:sz w:val="20"/>
        </w:rPr>
      </w:r>
    </w:p>
    <w:bookmarkStart w:id="1507" w:name="P1507"/>
    <w:bookmarkEnd w:id="1507"/>
    <w:p>
      <w:pPr>
        <w:pStyle w:val="2"/>
        <w:jc w:val="center"/>
      </w:pPr>
      <w:r>
        <w:rPr>
          <w:sz w:val="20"/>
        </w:rPr>
        <w:t xml:space="preserve">ТЕХНИЧЕСКИЕ ХАРАКТЕРИСТИКИ</w:t>
      </w:r>
    </w:p>
    <w:p>
      <w:pPr>
        <w:pStyle w:val="2"/>
        <w:jc w:val="center"/>
      </w:pPr>
      <w:r>
        <w:rPr>
          <w:sz w:val="20"/>
        </w:rPr>
        <w:t xml:space="preserve">ЗАВОДОВ ПО СЖИГАНИЮ</w:t>
      </w:r>
    </w:p>
    <w:p>
      <w:pPr>
        <w:pStyle w:val="0"/>
        <w:jc w:val="center"/>
      </w:pPr>
      <w:r>
        <w:rPr>
          <w:sz w:val="20"/>
        </w:rPr>
      </w:r>
    </w:p>
    <w:bookmarkStart w:id="1510" w:name="P1510"/>
    <w:bookmarkEnd w:id="1510"/>
    <w:p>
      <w:pPr>
        <w:pStyle w:val="0"/>
        <w:outlineLvl w:val="1"/>
        <w:jc w:val="center"/>
      </w:pPr>
      <w:r>
        <w:rPr>
          <w:sz w:val="20"/>
        </w:rPr>
        <w:t xml:space="preserve">Часть 1</w:t>
      </w:r>
    </w:p>
    <w:p>
      <w:pPr>
        <w:pStyle w:val="0"/>
        <w:jc w:val="center"/>
      </w:pPr>
      <w:r>
        <w:rPr>
          <w:sz w:val="20"/>
        </w:rPr>
      </w:r>
    </w:p>
    <w:p>
      <w:pPr>
        <w:pStyle w:val="0"/>
        <w:jc w:val="center"/>
      </w:pPr>
      <w:r>
        <w:rPr>
          <w:sz w:val="20"/>
        </w:rPr>
        <w:t xml:space="preserve">Пороговые значения выбросов для заводов по сжиганию,</w:t>
      </w:r>
    </w:p>
    <w:p>
      <w:pPr>
        <w:pStyle w:val="0"/>
        <w:jc w:val="center"/>
      </w:pPr>
      <w:r>
        <w:rPr>
          <w:sz w:val="20"/>
        </w:rPr>
        <w:t xml:space="preserve">перечисленных в </w:t>
      </w:r>
      <w:hyperlink w:history="0" w:anchor="P606" w:tooltip="2. Все разрешения на установки, содержащие заводы по сжиганию, разрешение на которые были выданы до 7 января 2013 г., или операторы которых подали полностью оформленное заявление на выдачу разрешения до указанной даты, при условии, что такие заводы введены в эксплуатацию не позднее 7 января 2014 г., должны содержать условия, гарантирующие, что выбросы в воздух от таких заводов не превышают пороговые значения выбросов, установленные в части 1 Приложения V к настоящей Директиве.">
        <w:r>
          <w:rPr>
            <w:sz w:val="20"/>
            <w:color w:val="0000ff"/>
          </w:rPr>
          <w:t xml:space="preserve">статье 30 (2)</w:t>
        </w:r>
      </w:hyperlink>
      <w:r>
        <w:rPr>
          <w:sz w:val="20"/>
        </w:rPr>
        <w:t xml:space="preserve"> настоящей Директивы</w:t>
      </w:r>
    </w:p>
    <w:p>
      <w:pPr>
        <w:pStyle w:val="0"/>
        <w:jc w:val="center"/>
      </w:pPr>
      <w:r>
        <w:rPr>
          <w:sz w:val="20"/>
        </w:rPr>
      </w:r>
    </w:p>
    <w:bookmarkStart w:id="1515" w:name="P1515"/>
    <w:bookmarkEnd w:id="1515"/>
    <w:p>
      <w:pPr>
        <w:pStyle w:val="1"/>
        <w:jc w:val="both"/>
      </w:pPr>
      <w:r>
        <w:rPr>
          <w:sz w:val="20"/>
        </w:rPr>
        <w:t xml:space="preserve">    1.  Все  пороговые значения выбросов исчисляются при температуре 273,15</w:t>
      </w:r>
    </w:p>
    <w:p>
      <w:pPr>
        <w:pStyle w:val="1"/>
        <w:jc w:val="both"/>
      </w:pPr>
      <w:r>
        <w:rPr>
          <w:sz w:val="20"/>
        </w:rPr>
        <w:t xml:space="preserve">K,  давлении  101,3  kPa  после  корректировок  содержания  водяного пара в</w:t>
      </w:r>
    </w:p>
    <w:p>
      <w:pPr>
        <w:pStyle w:val="1"/>
        <w:jc w:val="both"/>
      </w:pPr>
      <w:r>
        <w:rPr>
          <w:sz w:val="20"/>
        </w:rPr>
        <w:t xml:space="preserve">отработанных  газах и при стандартном содержании O , равном 6% для твердого</w:t>
      </w:r>
    </w:p>
    <w:p>
      <w:pPr>
        <w:pStyle w:val="1"/>
        <w:jc w:val="both"/>
      </w:pPr>
      <w:r>
        <w:rPr>
          <w:sz w:val="20"/>
        </w:rPr>
        <w:t xml:space="preserve">                                                  2</w:t>
      </w:r>
    </w:p>
    <w:p>
      <w:pPr>
        <w:pStyle w:val="1"/>
        <w:jc w:val="both"/>
      </w:pPr>
      <w:r>
        <w:rPr>
          <w:sz w:val="20"/>
        </w:rPr>
        <w:t xml:space="preserve">топлива,  3%  для  заводов  по  сжиганию,  кроме  газовых  турбин и газовых</w:t>
      </w:r>
    </w:p>
    <w:p>
      <w:pPr>
        <w:pStyle w:val="1"/>
        <w:jc w:val="both"/>
      </w:pPr>
      <w:r>
        <w:rPr>
          <w:sz w:val="20"/>
        </w:rPr>
        <w:t xml:space="preserve">двигателей,  использующих  жидкое и газообразное топливо, и 15% для газовых</w:t>
      </w:r>
    </w:p>
    <w:p>
      <w:pPr>
        <w:pStyle w:val="1"/>
        <w:jc w:val="both"/>
      </w:pPr>
      <w:r>
        <w:rPr>
          <w:sz w:val="20"/>
        </w:rPr>
        <w:t xml:space="preserve">турбин и газовых двигателей.</w:t>
      </w:r>
    </w:p>
    <w:p>
      <w:pPr>
        <w:pStyle w:val="1"/>
        <w:jc w:val="both"/>
      </w:pPr>
      <w:r>
        <w:rPr>
          <w:sz w:val="20"/>
        </w:rPr>
        <w:t xml:space="preserve">                                             3</w:t>
      </w:r>
    </w:p>
    <w:bookmarkStart w:id="1523" w:name="P1523"/>
    <w:bookmarkEnd w:id="1523"/>
    <w:p>
      <w:pPr>
        <w:pStyle w:val="1"/>
        <w:jc w:val="both"/>
      </w:pPr>
      <w:r>
        <w:rPr>
          <w:sz w:val="20"/>
        </w:rPr>
        <w:t xml:space="preserve">    2.  Пороговые  значения  выбросов  (мг/Nm )  для  SO   для  заводов  по</w:t>
      </w:r>
    </w:p>
    <w:p>
      <w:pPr>
        <w:pStyle w:val="1"/>
        <w:jc w:val="both"/>
      </w:pPr>
      <w:r>
        <w:rPr>
          <w:sz w:val="20"/>
        </w:rPr>
        <w:t xml:space="preserve">                                                        2</w:t>
      </w:r>
    </w:p>
    <w:p>
      <w:pPr>
        <w:pStyle w:val="1"/>
        <w:jc w:val="both"/>
      </w:pPr>
      <w:r>
        <w:rPr>
          <w:sz w:val="20"/>
        </w:rPr>
        <w:t xml:space="preserve">сжиганию,  использующих  твердое или жидкое топливо, за исключением газовых</w:t>
      </w:r>
    </w:p>
    <w:p>
      <w:pPr>
        <w:pStyle w:val="1"/>
        <w:jc w:val="both"/>
      </w:pPr>
      <w:r>
        <w:rPr>
          <w:sz w:val="20"/>
        </w:rPr>
        <w:t xml:space="preserve">турбин и газовых двигателей</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2106"/>
        <w:gridCol w:w="1872"/>
        <w:gridCol w:w="1521"/>
        <w:gridCol w:w="1404"/>
        <w:gridCol w:w="1755"/>
      </w:tblGrid>
      <w:tr>
        <w:trPr>
          <w:trHeight w:val="240" w:hRule="atLeast"/>
        </w:trPr>
        <w:tc>
          <w:tcPr>
            <w:tcW w:w="2223" w:type="dxa"/>
          </w:tcPr>
          <w:p>
            <w:pPr>
              <w:pStyle w:val="1"/>
              <w:jc w:val="both"/>
            </w:pPr>
            <w:r>
              <w:rPr>
                <w:sz w:val="20"/>
              </w:rPr>
              <w:t xml:space="preserve">   Совокупная    </w:t>
            </w:r>
          </w:p>
          <w:p>
            <w:pPr>
              <w:pStyle w:val="1"/>
              <w:jc w:val="both"/>
            </w:pPr>
            <w:r>
              <w:rPr>
                <w:sz w:val="20"/>
              </w:rPr>
              <w:t xml:space="preserve">   номинальная   </w:t>
            </w:r>
          </w:p>
          <w:p>
            <w:pPr>
              <w:pStyle w:val="1"/>
              <w:jc w:val="both"/>
            </w:pPr>
            <w:r>
              <w:rPr>
                <w:sz w:val="20"/>
              </w:rPr>
              <w:t xml:space="preserve">    тепловая     </w:t>
            </w:r>
          </w:p>
          <w:p>
            <w:pPr>
              <w:pStyle w:val="1"/>
              <w:jc w:val="both"/>
            </w:pPr>
            <w:r>
              <w:rPr>
                <w:sz w:val="20"/>
              </w:rPr>
              <w:t xml:space="preserve">  мощность (MW)  </w:t>
            </w:r>
          </w:p>
        </w:tc>
        <w:tc>
          <w:tcPr>
            <w:tcW w:w="1989" w:type="dxa"/>
          </w:tcPr>
          <w:p>
            <w:pPr>
              <w:pStyle w:val="1"/>
              <w:jc w:val="both"/>
            </w:pPr>
            <w:r>
              <w:rPr>
                <w:sz w:val="20"/>
              </w:rPr>
              <w:t xml:space="preserve"> Уголь и бурый </w:t>
            </w:r>
          </w:p>
          <w:p>
            <w:pPr>
              <w:pStyle w:val="1"/>
              <w:jc w:val="both"/>
            </w:pPr>
            <w:r>
              <w:rPr>
                <w:sz w:val="20"/>
              </w:rPr>
              <w:t xml:space="preserve">уголь, а также </w:t>
            </w:r>
          </w:p>
          <w:p>
            <w:pPr>
              <w:pStyle w:val="1"/>
              <w:jc w:val="both"/>
            </w:pPr>
            <w:r>
              <w:rPr>
                <w:sz w:val="20"/>
              </w:rPr>
              <w:t xml:space="preserve">   иные виды   </w:t>
            </w:r>
          </w:p>
          <w:p>
            <w:pPr>
              <w:pStyle w:val="1"/>
              <w:jc w:val="both"/>
            </w:pPr>
            <w:r>
              <w:rPr>
                <w:sz w:val="20"/>
              </w:rPr>
              <w:t xml:space="preserve">   твердого    </w:t>
            </w:r>
          </w:p>
          <w:p>
            <w:pPr>
              <w:pStyle w:val="1"/>
              <w:jc w:val="both"/>
            </w:pPr>
            <w:r>
              <w:rPr>
                <w:sz w:val="20"/>
              </w:rPr>
              <w:t xml:space="preserve">    топлива    </w:t>
            </w:r>
          </w:p>
        </w:tc>
        <w:tc>
          <w:tcPr>
            <w:tcW w:w="1638" w:type="dxa"/>
          </w:tcPr>
          <w:p>
            <w:pPr>
              <w:pStyle w:val="1"/>
              <w:jc w:val="both"/>
            </w:pPr>
            <w:r>
              <w:rPr>
                <w:sz w:val="20"/>
              </w:rPr>
              <w:t xml:space="preserve">  Биомасса  </w:t>
            </w:r>
          </w:p>
        </w:tc>
        <w:tc>
          <w:tcPr>
            <w:tcW w:w="1521" w:type="dxa"/>
          </w:tcPr>
          <w:p>
            <w:pPr>
              <w:pStyle w:val="1"/>
              <w:jc w:val="both"/>
            </w:pPr>
            <w:r>
              <w:rPr>
                <w:sz w:val="20"/>
              </w:rPr>
              <w:t xml:space="preserve">   Торф    </w:t>
            </w:r>
          </w:p>
        </w:tc>
        <w:tc>
          <w:tcPr>
            <w:tcW w:w="1872" w:type="dxa"/>
          </w:tcPr>
          <w:p>
            <w:pPr>
              <w:pStyle w:val="1"/>
              <w:jc w:val="both"/>
            </w:pPr>
            <w:r>
              <w:rPr>
                <w:sz w:val="20"/>
              </w:rPr>
              <w:t xml:space="preserve">    Жидкое    </w:t>
            </w:r>
          </w:p>
          <w:p>
            <w:pPr>
              <w:pStyle w:val="1"/>
              <w:jc w:val="both"/>
            </w:pPr>
            <w:r>
              <w:rPr>
                <w:sz w:val="20"/>
              </w:rPr>
              <w:t xml:space="preserve">   топливо    </w:t>
            </w:r>
          </w:p>
        </w:tc>
      </w:tr>
      <w:tr>
        <w:trPr>
          <w:trHeight w:val="240" w:hRule="atLeast"/>
        </w:trPr>
        <w:tc>
          <w:tcPr>
            <w:tcW w:w="2223" w:type="dxa"/>
            <w:tcBorders>
              <w:top w:val="nil"/>
            </w:tcBorders>
          </w:tcPr>
          <w:p>
            <w:pPr>
              <w:pStyle w:val="1"/>
              <w:jc w:val="both"/>
            </w:pPr>
            <w:r>
              <w:rPr>
                <w:sz w:val="20"/>
              </w:rPr>
              <w:t xml:space="preserve">         50 - 100</w:t>
            </w:r>
          </w:p>
        </w:tc>
        <w:tc>
          <w:tcPr>
            <w:tcW w:w="1989" w:type="dxa"/>
            <w:tcBorders>
              <w:top w:val="nil"/>
            </w:tcBorders>
          </w:tcPr>
          <w:p>
            <w:pPr>
              <w:pStyle w:val="1"/>
              <w:jc w:val="both"/>
            </w:pPr>
            <w:r>
              <w:rPr>
                <w:sz w:val="20"/>
              </w:rPr>
              <w:t xml:space="preserve">            400</w:t>
            </w:r>
          </w:p>
        </w:tc>
        <w:tc>
          <w:tcPr>
            <w:tcW w:w="1638" w:type="dxa"/>
            <w:tcBorders>
              <w:top w:val="nil"/>
            </w:tcBorders>
          </w:tcPr>
          <w:p>
            <w:pPr>
              <w:pStyle w:val="1"/>
              <w:jc w:val="both"/>
            </w:pPr>
            <w:r>
              <w:rPr>
                <w:sz w:val="20"/>
              </w:rPr>
              <w:t xml:space="preserve">         200</w:t>
            </w:r>
          </w:p>
        </w:tc>
        <w:tc>
          <w:tcPr>
            <w:tcW w:w="1521" w:type="dxa"/>
            <w:tcBorders>
              <w:top w:val="nil"/>
            </w:tcBorders>
          </w:tcPr>
          <w:p>
            <w:pPr>
              <w:pStyle w:val="1"/>
              <w:jc w:val="both"/>
            </w:pPr>
            <w:r>
              <w:rPr>
                <w:sz w:val="20"/>
              </w:rPr>
              <w:t xml:space="preserve">        300</w:t>
            </w:r>
          </w:p>
        </w:tc>
        <w:tc>
          <w:tcPr>
            <w:tcW w:w="1872" w:type="dxa"/>
            <w:tcBorders>
              <w:top w:val="nil"/>
            </w:tcBorders>
          </w:tcPr>
          <w:p>
            <w:pPr>
              <w:pStyle w:val="1"/>
              <w:jc w:val="both"/>
            </w:pPr>
            <w:r>
              <w:rPr>
                <w:sz w:val="20"/>
              </w:rPr>
              <w:t xml:space="preserve">           350</w:t>
            </w:r>
          </w:p>
        </w:tc>
      </w:tr>
      <w:tr>
        <w:trPr>
          <w:trHeight w:val="240" w:hRule="atLeast"/>
        </w:trPr>
        <w:tc>
          <w:tcPr>
            <w:tcW w:w="2223" w:type="dxa"/>
            <w:tcBorders>
              <w:top w:val="nil"/>
            </w:tcBorders>
          </w:tcPr>
          <w:p>
            <w:pPr>
              <w:pStyle w:val="1"/>
              <w:jc w:val="both"/>
            </w:pPr>
            <w:r>
              <w:rPr>
                <w:sz w:val="20"/>
              </w:rPr>
              <w:t xml:space="preserve">        100 - 300</w:t>
            </w:r>
          </w:p>
        </w:tc>
        <w:tc>
          <w:tcPr>
            <w:tcW w:w="1989" w:type="dxa"/>
            <w:tcBorders>
              <w:top w:val="nil"/>
            </w:tcBorders>
          </w:tcPr>
          <w:p>
            <w:pPr>
              <w:pStyle w:val="1"/>
              <w:jc w:val="both"/>
            </w:pPr>
            <w:r>
              <w:rPr>
                <w:sz w:val="20"/>
              </w:rPr>
              <w:t xml:space="preserve">            250</w:t>
            </w:r>
          </w:p>
        </w:tc>
        <w:tc>
          <w:tcPr>
            <w:tcW w:w="1638" w:type="dxa"/>
            <w:tcBorders>
              <w:top w:val="nil"/>
            </w:tcBorders>
          </w:tcPr>
          <w:p>
            <w:pPr>
              <w:pStyle w:val="1"/>
              <w:jc w:val="both"/>
            </w:pPr>
            <w:r>
              <w:rPr>
                <w:sz w:val="20"/>
              </w:rPr>
              <w:t xml:space="preserve">         200</w:t>
            </w:r>
          </w:p>
        </w:tc>
        <w:tc>
          <w:tcPr>
            <w:tcW w:w="1521" w:type="dxa"/>
            <w:tcBorders>
              <w:top w:val="nil"/>
            </w:tcBorders>
          </w:tcPr>
          <w:p>
            <w:pPr>
              <w:pStyle w:val="1"/>
              <w:jc w:val="both"/>
            </w:pPr>
            <w:r>
              <w:rPr>
                <w:sz w:val="20"/>
              </w:rPr>
              <w:t xml:space="preserve">        300</w:t>
            </w:r>
          </w:p>
        </w:tc>
        <w:tc>
          <w:tcPr>
            <w:tcW w:w="1872" w:type="dxa"/>
            <w:tcBorders>
              <w:top w:val="nil"/>
            </w:tcBorders>
          </w:tcPr>
          <w:p>
            <w:pPr>
              <w:pStyle w:val="1"/>
              <w:jc w:val="both"/>
            </w:pPr>
            <w:r>
              <w:rPr>
                <w:sz w:val="20"/>
              </w:rPr>
              <w:t xml:space="preserve">           250</w:t>
            </w:r>
          </w:p>
        </w:tc>
      </w:tr>
      <w:tr>
        <w:trPr>
          <w:trHeight w:val="240" w:hRule="atLeast"/>
        </w:trPr>
        <w:tc>
          <w:tcPr>
            <w:tcW w:w="2223" w:type="dxa"/>
            <w:tcBorders>
              <w:top w:val="nil"/>
            </w:tcBorders>
          </w:tcPr>
          <w:p>
            <w:pPr>
              <w:pStyle w:val="1"/>
              <w:jc w:val="both"/>
            </w:pPr>
            <w:r>
              <w:rPr>
                <w:sz w:val="20"/>
              </w:rPr>
              <w:t xml:space="preserve">            &gt; 300</w:t>
            </w:r>
          </w:p>
        </w:tc>
        <w:tc>
          <w:tcPr>
            <w:tcW w:w="1989" w:type="dxa"/>
            <w:tcBorders>
              <w:top w:val="nil"/>
            </w:tcBorders>
          </w:tcPr>
          <w:p>
            <w:pPr>
              <w:pStyle w:val="1"/>
              <w:jc w:val="both"/>
            </w:pPr>
            <w:r>
              <w:rPr>
                <w:sz w:val="20"/>
              </w:rPr>
              <w:t xml:space="preserve">            200</w:t>
            </w:r>
          </w:p>
        </w:tc>
        <w:tc>
          <w:tcPr>
            <w:tcW w:w="1638" w:type="dxa"/>
            <w:tcBorders>
              <w:top w:val="nil"/>
            </w:tcBorders>
          </w:tcPr>
          <w:p>
            <w:pPr>
              <w:pStyle w:val="1"/>
              <w:jc w:val="both"/>
            </w:pPr>
            <w:r>
              <w:rPr>
                <w:sz w:val="20"/>
              </w:rPr>
              <w:t xml:space="preserve">         200</w:t>
            </w:r>
          </w:p>
        </w:tc>
        <w:tc>
          <w:tcPr>
            <w:tcW w:w="1521" w:type="dxa"/>
            <w:tcBorders>
              <w:top w:val="nil"/>
            </w:tcBorders>
          </w:tcPr>
          <w:p>
            <w:pPr>
              <w:pStyle w:val="1"/>
              <w:jc w:val="both"/>
            </w:pPr>
            <w:r>
              <w:rPr>
                <w:sz w:val="20"/>
              </w:rPr>
              <w:t xml:space="preserve">        200</w:t>
            </w:r>
          </w:p>
        </w:tc>
        <w:tc>
          <w:tcPr>
            <w:tcW w:w="1872" w:type="dxa"/>
            <w:tcBorders>
              <w:top w:val="nil"/>
            </w:tcBorders>
          </w:tcPr>
          <w:p>
            <w:pPr>
              <w:pStyle w:val="1"/>
              <w:jc w:val="both"/>
            </w:pPr>
            <w:r>
              <w:rPr>
                <w:sz w:val="20"/>
              </w:rPr>
              <w:t xml:space="preserve">           200</w:t>
            </w:r>
          </w:p>
        </w:tc>
      </w:tr>
    </w:tbl>
    <w:p>
      <w:pPr>
        <w:pStyle w:val="0"/>
        <w:ind w:firstLine="540"/>
        <w:jc w:val="both"/>
      </w:pPr>
      <w:r>
        <w:rPr>
          <w:sz w:val="20"/>
        </w:rPr>
      </w:r>
    </w:p>
    <w:bookmarkStart w:id="1542" w:name="P1542"/>
    <w:bookmarkEnd w:id="1542"/>
    <w:p>
      <w:pPr>
        <w:pStyle w:val="1"/>
        <w:jc w:val="both"/>
      </w:pPr>
      <w:r>
        <w:rPr>
          <w:sz w:val="20"/>
        </w:rPr>
        <w:t xml:space="preserve">    На  заводы  по сжиганию, использующие твердое топливо, которые получили</w:t>
      </w:r>
    </w:p>
    <w:p>
      <w:pPr>
        <w:pStyle w:val="1"/>
        <w:jc w:val="both"/>
      </w:pPr>
      <w:r>
        <w:rPr>
          <w:sz w:val="20"/>
        </w:rPr>
        <w:t xml:space="preserve">разрешение  до  27  ноября  2002  г. или операторы которых подали полностью</w:t>
      </w:r>
    </w:p>
    <w:p>
      <w:pPr>
        <w:pStyle w:val="1"/>
        <w:jc w:val="both"/>
      </w:pPr>
      <w:r>
        <w:rPr>
          <w:sz w:val="20"/>
        </w:rPr>
        <w:t xml:space="preserve">оформленное  заявление на выдачу разрешения до указанной даты, при условии,</w:t>
      </w:r>
    </w:p>
    <w:p>
      <w:pPr>
        <w:pStyle w:val="1"/>
        <w:jc w:val="both"/>
      </w:pPr>
      <w:r>
        <w:rPr>
          <w:sz w:val="20"/>
        </w:rPr>
        <w:t xml:space="preserve">что  такие  заводы  введены  в  эксплуатацию не позднее 27 ноября 2003 г. и</w:t>
      </w:r>
    </w:p>
    <w:p>
      <w:pPr>
        <w:pStyle w:val="1"/>
        <w:jc w:val="both"/>
      </w:pPr>
      <w:r>
        <w:rPr>
          <w:sz w:val="20"/>
        </w:rPr>
        <w:t xml:space="preserve">функционируют  не  более  1500  часов  в год, выраженных в виде скользящего</w:t>
      </w:r>
    </w:p>
    <w:p>
      <w:pPr>
        <w:pStyle w:val="1"/>
        <w:jc w:val="both"/>
      </w:pPr>
      <w:r>
        <w:rPr>
          <w:sz w:val="20"/>
        </w:rPr>
        <w:t xml:space="preserve">среднего значения за пятилетний период, распространяется пороговое значение</w:t>
      </w:r>
    </w:p>
    <w:p>
      <w:pPr>
        <w:pStyle w:val="1"/>
        <w:jc w:val="both"/>
      </w:pPr>
      <w:r>
        <w:rPr>
          <w:sz w:val="20"/>
        </w:rPr>
        <w:t xml:space="preserve">                                  3</w:t>
      </w:r>
    </w:p>
    <w:p>
      <w:pPr>
        <w:pStyle w:val="1"/>
        <w:jc w:val="both"/>
      </w:pPr>
      <w:r>
        <w:rPr>
          <w:sz w:val="20"/>
        </w:rPr>
        <w:t xml:space="preserve">выбросов для SO , равное 800 мг/Nm .</w:t>
      </w:r>
    </w:p>
    <w:p>
      <w:pPr>
        <w:pStyle w:val="1"/>
        <w:jc w:val="both"/>
      </w:pPr>
      <w:r>
        <w:rPr>
          <w:sz w:val="20"/>
        </w:rPr>
        <w:t xml:space="preserve">               2</w:t>
      </w:r>
    </w:p>
    <w:bookmarkStart w:id="1551" w:name="P1551"/>
    <w:bookmarkEnd w:id="1551"/>
    <w:p>
      <w:pPr>
        <w:pStyle w:val="1"/>
        <w:jc w:val="both"/>
      </w:pPr>
      <w:r>
        <w:rPr>
          <w:sz w:val="20"/>
        </w:rPr>
        <w:t xml:space="preserve">    На  заводы  по  сжиганию, использующие жидкое топливо, которые получили</w:t>
      </w:r>
    </w:p>
    <w:p>
      <w:pPr>
        <w:pStyle w:val="1"/>
        <w:jc w:val="both"/>
      </w:pPr>
      <w:r>
        <w:rPr>
          <w:sz w:val="20"/>
        </w:rPr>
        <w:t xml:space="preserve">разрешение  до  27  ноября  2002  г. или операторы которых подали полностью</w:t>
      </w:r>
    </w:p>
    <w:p>
      <w:pPr>
        <w:pStyle w:val="1"/>
        <w:jc w:val="both"/>
      </w:pPr>
      <w:r>
        <w:rPr>
          <w:sz w:val="20"/>
        </w:rPr>
        <w:t xml:space="preserve">оформленное  заявление на выдачу разрешения до указанной даты, при условии,</w:t>
      </w:r>
    </w:p>
    <w:p>
      <w:pPr>
        <w:pStyle w:val="1"/>
        <w:jc w:val="both"/>
      </w:pPr>
      <w:r>
        <w:rPr>
          <w:sz w:val="20"/>
        </w:rPr>
        <w:t xml:space="preserve">что  такие  заводы  введены  в  эксплуатацию не позднее 27 ноября 2003 г. и</w:t>
      </w:r>
    </w:p>
    <w:p>
      <w:pPr>
        <w:pStyle w:val="1"/>
        <w:jc w:val="both"/>
      </w:pPr>
      <w:r>
        <w:rPr>
          <w:sz w:val="20"/>
        </w:rPr>
        <w:t xml:space="preserve">функционируют  не  более  1500  часов  в год, выраженных в виде скользящего</w:t>
      </w:r>
    </w:p>
    <w:p>
      <w:pPr>
        <w:pStyle w:val="1"/>
        <w:jc w:val="both"/>
      </w:pPr>
      <w:r>
        <w:rPr>
          <w:sz w:val="20"/>
        </w:rPr>
        <w:t xml:space="preserve">среднего значения за пятилетний период, распространяется пороговое значение</w:t>
      </w:r>
    </w:p>
    <w:p>
      <w:pPr>
        <w:pStyle w:val="1"/>
        <w:jc w:val="both"/>
      </w:pPr>
      <w:r>
        <w:rPr>
          <w:sz w:val="20"/>
        </w:rPr>
        <w:t xml:space="preserve">                                     3</w:t>
      </w:r>
    </w:p>
    <w:p>
      <w:pPr>
        <w:pStyle w:val="1"/>
        <w:jc w:val="both"/>
      </w:pPr>
      <w:r>
        <w:rPr>
          <w:sz w:val="20"/>
        </w:rPr>
        <w:t xml:space="preserve">выбросов  для  SO ,  равное 850 мг/Nm , при совокупной номинальной тепловой</w:t>
      </w:r>
    </w:p>
    <w:p>
      <w:pPr>
        <w:pStyle w:val="1"/>
        <w:jc w:val="both"/>
      </w:pPr>
      <w:r>
        <w:rPr>
          <w:sz w:val="20"/>
        </w:rPr>
        <w:t xml:space="preserve">                 2                                       3</w:t>
      </w:r>
    </w:p>
    <w:p>
      <w:pPr>
        <w:pStyle w:val="1"/>
        <w:jc w:val="both"/>
      </w:pPr>
      <w:r>
        <w:rPr>
          <w:sz w:val="20"/>
        </w:rPr>
        <w:t xml:space="preserve">мощности  завода,  не  превышающей  300  MW,  и 400 мг/Nm  - при совокупной</w:t>
      </w:r>
    </w:p>
    <w:p>
      <w:pPr>
        <w:pStyle w:val="1"/>
        <w:jc w:val="both"/>
      </w:pPr>
      <w:r>
        <w:rPr>
          <w:sz w:val="20"/>
        </w:rPr>
        <w:t xml:space="preserve">номинальной тепловой мощности завода выше 300 MW.</w:t>
      </w:r>
    </w:p>
    <w:bookmarkStart w:id="1562" w:name="P1562"/>
    <w:bookmarkEnd w:id="1562"/>
    <w:p>
      <w:pPr>
        <w:pStyle w:val="0"/>
        <w:ind w:firstLine="540"/>
        <w:jc w:val="both"/>
      </w:pPr>
      <w:r>
        <w:rPr>
          <w:sz w:val="20"/>
        </w:rPr>
        <w:t xml:space="preserve">На часть завода по сжиганию, сбрасывающую отработанные газы через один или несколько отдельных газоходов в общей дымовой трубе, которая функционирует не более 1500 часов в год, выраженных в виде скользящего среднего значения за пятилетний период, могут распространяться пороговые значения выбросов, установленные в предыдущих двух параграфах в отношении к совокупной номинальной тепловой мощности всего завода. В таких случаях мониторинг выбросов из каждого газохода осуществляется отдельно.</w:t>
      </w:r>
    </w:p>
    <w:p>
      <w:pPr>
        <w:pStyle w:val="1"/>
        <w:spacing w:before="200" w:line-rule="auto"/>
        <w:jc w:val="both"/>
      </w:pPr>
      <w:r>
        <w:rPr>
          <w:sz w:val="20"/>
        </w:rPr>
        <w:t xml:space="preserve">                                             3</w:t>
      </w:r>
    </w:p>
    <w:bookmarkStart w:id="1564" w:name="P1564"/>
    <w:bookmarkEnd w:id="1564"/>
    <w:p>
      <w:pPr>
        <w:pStyle w:val="1"/>
        <w:jc w:val="both"/>
      </w:pPr>
      <w:r>
        <w:rPr>
          <w:sz w:val="20"/>
        </w:rPr>
        <w:t xml:space="preserve">    3.  Пороговые  значения  выбросов  (мг/Nm )  для  SO   для  заводов  по</w:t>
      </w:r>
    </w:p>
    <w:p>
      <w:pPr>
        <w:pStyle w:val="1"/>
        <w:jc w:val="both"/>
      </w:pPr>
      <w:r>
        <w:rPr>
          <w:sz w:val="20"/>
        </w:rPr>
        <w:t xml:space="preserve">                                                        2</w:t>
      </w:r>
    </w:p>
    <w:p>
      <w:pPr>
        <w:pStyle w:val="1"/>
        <w:jc w:val="both"/>
      </w:pPr>
      <w:r>
        <w:rPr>
          <w:sz w:val="20"/>
        </w:rPr>
        <w:t xml:space="preserve">сжиганию,  использующих газообразное топливо, за исключением газовых турбин</w:t>
      </w:r>
    </w:p>
    <w:p>
      <w:pPr>
        <w:pStyle w:val="1"/>
        <w:jc w:val="both"/>
      </w:pPr>
      <w:r>
        <w:rPr>
          <w:sz w:val="20"/>
        </w:rPr>
        <w:t xml:space="preserve">и газовых двигателей</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6201"/>
        <w:gridCol w:w="2457"/>
      </w:tblGrid>
      <w:tr>
        <w:trPr>
          <w:trHeight w:val="240" w:hRule="atLeast"/>
        </w:trPr>
        <w:tc>
          <w:tcPr>
            <w:tcW w:w="6318" w:type="dxa"/>
          </w:tcPr>
          <w:p>
            <w:pPr>
              <w:pStyle w:val="1"/>
              <w:jc w:val="both"/>
            </w:pPr>
            <w:r>
              <w:rPr>
                <w:sz w:val="20"/>
              </w:rPr>
              <w:t xml:space="preserve">В общем                                             </w:t>
            </w:r>
          </w:p>
        </w:tc>
        <w:tc>
          <w:tcPr>
            <w:tcW w:w="2574" w:type="dxa"/>
          </w:tcPr>
          <w:p>
            <w:pPr>
              <w:pStyle w:val="1"/>
              <w:jc w:val="both"/>
            </w:pPr>
            <w:r>
              <w:rPr>
                <w:sz w:val="20"/>
              </w:rPr>
              <w:t xml:space="preserve">                  35</w:t>
            </w:r>
          </w:p>
        </w:tc>
      </w:tr>
      <w:tr>
        <w:trPr>
          <w:trHeight w:val="240" w:hRule="atLeast"/>
        </w:trPr>
        <w:tc>
          <w:tcPr>
            <w:tcW w:w="6318" w:type="dxa"/>
            <w:tcBorders>
              <w:top w:val="nil"/>
            </w:tcBorders>
          </w:tcPr>
          <w:p>
            <w:pPr>
              <w:pStyle w:val="1"/>
              <w:jc w:val="both"/>
            </w:pPr>
            <w:r>
              <w:rPr>
                <w:sz w:val="20"/>
              </w:rPr>
              <w:t xml:space="preserve">Сжиженный газ                                       </w:t>
            </w:r>
          </w:p>
        </w:tc>
        <w:tc>
          <w:tcPr>
            <w:tcW w:w="2574" w:type="dxa"/>
            <w:tcBorders>
              <w:top w:val="nil"/>
            </w:tcBorders>
          </w:tcPr>
          <w:p>
            <w:pPr>
              <w:pStyle w:val="1"/>
              <w:jc w:val="both"/>
            </w:pPr>
            <w:r>
              <w:rPr>
                <w:sz w:val="20"/>
              </w:rPr>
              <w:t xml:space="preserve">                   5</w:t>
            </w:r>
          </w:p>
        </w:tc>
      </w:tr>
      <w:tr>
        <w:trPr>
          <w:trHeight w:val="240" w:hRule="atLeast"/>
        </w:trPr>
        <w:tc>
          <w:tcPr>
            <w:tcW w:w="6318" w:type="dxa"/>
            <w:tcBorders>
              <w:top w:val="nil"/>
            </w:tcBorders>
          </w:tcPr>
          <w:p>
            <w:pPr>
              <w:pStyle w:val="1"/>
              <w:jc w:val="both"/>
            </w:pPr>
            <w:r>
              <w:rPr>
                <w:sz w:val="20"/>
              </w:rPr>
              <w:t xml:space="preserve">Низкокалорийные газы от коксовых печей              </w:t>
            </w:r>
          </w:p>
        </w:tc>
        <w:tc>
          <w:tcPr>
            <w:tcW w:w="2574" w:type="dxa"/>
            <w:tcBorders>
              <w:top w:val="nil"/>
            </w:tcBorders>
          </w:tcPr>
          <w:p>
            <w:pPr>
              <w:pStyle w:val="1"/>
              <w:jc w:val="both"/>
            </w:pPr>
            <w:r>
              <w:rPr>
                <w:sz w:val="20"/>
              </w:rPr>
              <w:t xml:space="preserve">                 400</w:t>
            </w:r>
          </w:p>
        </w:tc>
      </w:tr>
      <w:tr>
        <w:trPr>
          <w:trHeight w:val="240" w:hRule="atLeast"/>
        </w:trPr>
        <w:tc>
          <w:tcPr>
            <w:tcW w:w="6318" w:type="dxa"/>
            <w:tcBorders>
              <w:top w:val="nil"/>
            </w:tcBorders>
          </w:tcPr>
          <w:p>
            <w:pPr>
              <w:pStyle w:val="1"/>
              <w:jc w:val="both"/>
            </w:pPr>
            <w:r>
              <w:rPr>
                <w:sz w:val="20"/>
              </w:rPr>
              <w:t xml:space="preserve">Низкокалорийные газы от доменных печей              </w:t>
            </w:r>
          </w:p>
        </w:tc>
        <w:tc>
          <w:tcPr>
            <w:tcW w:w="2574" w:type="dxa"/>
            <w:tcBorders>
              <w:top w:val="nil"/>
            </w:tcBorders>
          </w:tcPr>
          <w:p>
            <w:pPr>
              <w:pStyle w:val="1"/>
              <w:jc w:val="both"/>
            </w:pPr>
            <w:r>
              <w:rPr>
                <w:sz w:val="20"/>
              </w:rPr>
              <w:t xml:space="preserve">                 200</w:t>
            </w:r>
          </w:p>
        </w:tc>
      </w:tr>
    </w:tbl>
    <w:p>
      <w:pPr>
        <w:pStyle w:val="0"/>
        <w:ind w:firstLine="540"/>
        <w:jc w:val="both"/>
      </w:pPr>
      <w:r>
        <w:rPr>
          <w:sz w:val="20"/>
        </w:rPr>
      </w:r>
    </w:p>
    <w:p>
      <w:pPr>
        <w:pStyle w:val="1"/>
        <w:jc w:val="both"/>
      </w:pPr>
      <w:r>
        <w:rPr>
          <w:sz w:val="20"/>
        </w:rPr>
        <w:t xml:space="preserve">    На  заводы  по  сжиганию, сжигающие низкокалорийные газы от газификации</w:t>
      </w:r>
    </w:p>
    <w:p>
      <w:pPr>
        <w:pStyle w:val="1"/>
        <w:jc w:val="both"/>
      </w:pPr>
      <w:r>
        <w:rPr>
          <w:sz w:val="20"/>
        </w:rPr>
        <w:t xml:space="preserve">очистных  остатков,  которые  получили  разрешение до 27 ноября 2002 г. или</w:t>
      </w:r>
    </w:p>
    <w:p>
      <w:pPr>
        <w:pStyle w:val="1"/>
        <w:jc w:val="both"/>
      </w:pPr>
      <w:r>
        <w:rPr>
          <w:sz w:val="20"/>
        </w:rPr>
        <w:t xml:space="preserve">операторы   которых   подали  полностью  оформленное  заявление  на  выдачу</w:t>
      </w:r>
    </w:p>
    <w:p>
      <w:pPr>
        <w:pStyle w:val="1"/>
        <w:jc w:val="both"/>
      </w:pPr>
      <w:r>
        <w:rPr>
          <w:sz w:val="20"/>
        </w:rPr>
        <w:t xml:space="preserve">разрешения  до  указанной  даты,  при  условии,  что такие заводы введены в</w:t>
      </w:r>
    </w:p>
    <w:p>
      <w:pPr>
        <w:pStyle w:val="1"/>
        <w:jc w:val="both"/>
      </w:pPr>
      <w:r>
        <w:rPr>
          <w:sz w:val="20"/>
        </w:rPr>
        <w:t xml:space="preserve">эксплуатацию  не  позднее  27  ноября  2003  г., распространяется пороговое</w:t>
      </w:r>
    </w:p>
    <w:p>
      <w:pPr>
        <w:pStyle w:val="1"/>
        <w:jc w:val="both"/>
      </w:pPr>
      <w:r>
        <w:rPr>
          <w:sz w:val="20"/>
        </w:rPr>
        <w:t xml:space="preserve">                                           3</w:t>
      </w:r>
    </w:p>
    <w:p>
      <w:pPr>
        <w:pStyle w:val="1"/>
        <w:jc w:val="both"/>
      </w:pPr>
      <w:r>
        <w:rPr>
          <w:sz w:val="20"/>
        </w:rPr>
        <w:t xml:space="preserve">значение выбросов для SO , равное 800 мг/Nm .</w:t>
      </w:r>
    </w:p>
    <w:p>
      <w:pPr>
        <w:pStyle w:val="1"/>
        <w:jc w:val="both"/>
      </w:pPr>
      <w:r>
        <w:rPr>
          <w:sz w:val="20"/>
        </w:rPr>
        <w:t xml:space="preserve">                        2                    3</w:t>
      </w:r>
    </w:p>
    <w:bookmarkStart w:id="1587" w:name="P1587"/>
    <w:bookmarkEnd w:id="1587"/>
    <w:p>
      <w:pPr>
        <w:pStyle w:val="1"/>
        <w:jc w:val="both"/>
      </w:pPr>
      <w:r>
        <w:rPr>
          <w:sz w:val="20"/>
        </w:rPr>
        <w:t xml:space="preserve">    4.  Пороговые  значения  выбросов  (мг/Nm )  для  NO   для  заводов  по</w:t>
      </w:r>
    </w:p>
    <w:p>
      <w:pPr>
        <w:pStyle w:val="1"/>
        <w:jc w:val="both"/>
      </w:pPr>
      <w:r>
        <w:rPr>
          <w:sz w:val="20"/>
        </w:rPr>
        <w:t xml:space="preserve">                                                        x</w:t>
      </w:r>
    </w:p>
    <w:p>
      <w:pPr>
        <w:pStyle w:val="1"/>
        <w:jc w:val="both"/>
      </w:pPr>
      <w:r>
        <w:rPr>
          <w:sz w:val="20"/>
        </w:rPr>
        <w:t xml:space="preserve">сжиганию,  использующих  твердое или жидкое топливо, за исключением газовых</w:t>
      </w:r>
    </w:p>
    <w:p>
      <w:pPr>
        <w:pStyle w:val="1"/>
        <w:jc w:val="both"/>
      </w:pPr>
      <w:r>
        <w:rPr>
          <w:sz w:val="20"/>
        </w:rPr>
        <w:t xml:space="preserve">турбин и газовых двигателей</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2106"/>
        <w:gridCol w:w="2925"/>
        <w:gridCol w:w="1872"/>
        <w:gridCol w:w="1755"/>
      </w:tblGrid>
      <w:tr>
        <w:trPr>
          <w:trHeight w:val="240" w:hRule="atLeast"/>
        </w:trPr>
        <w:tc>
          <w:tcPr>
            <w:tcW w:w="2223" w:type="dxa"/>
          </w:tcPr>
          <w:p>
            <w:pPr>
              <w:pStyle w:val="1"/>
              <w:jc w:val="both"/>
            </w:pPr>
            <w:r>
              <w:rPr>
                <w:sz w:val="20"/>
              </w:rPr>
              <w:t xml:space="preserve">   Совокупная    </w:t>
            </w:r>
          </w:p>
          <w:p>
            <w:pPr>
              <w:pStyle w:val="1"/>
              <w:jc w:val="both"/>
            </w:pPr>
            <w:r>
              <w:rPr>
                <w:sz w:val="20"/>
              </w:rPr>
              <w:t xml:space="preserve">   номинальная   </w:t>
            </w:r>
          </w:p>
          <w:p>
            <w:pPr>
              <w:pStyle w:val="1"/>
              <w:jc w:val="both"/>
            </w:pPr>
            <w:r>
              <w:rPr>
                <w:sz w:val="20"/>
              </w:rPr>
              <w:t xml:space="preserve">    тепловая     </w:t>
            </w:r>
          </w:p>
          <w:p>
            <w:pPr>
              <w:pStyle w:val="1"/>
              <w:jc w:val="both"/>
            </w:pPr>
            <w:r>
              <w:rPr>
                <w:sz w:val="20"/>
              </w:rPr>
              <w:t xml:space="preserve">  мощность (MW)  </w:t>
            </w:r>
          </w:p>
        </w:tc>
        <w:tc>
          <w:tcPr>
            <w:tcW w:w="3042" w:type="dxa"/>
          </w:tcPr>
          <w:p>
            <w:pPr>
              <w:pStyle w:val="1"/>
              <w:jc w:val="both"/>
            </w:pPr>
            <w:r>
              <w:rPr>
                <w:sz w:val="20"/>
              </w:rPr>
              <w:t xml:space="preserve"> Уголь и бурый уголь, а </w:t>
            </w:r>
          </w:p>
          <w:p>
            <w:pPr>
              <w:pStyle w:val="1"/>
              <w:jc w:val="both"/>
            </w:pPr>
            <w:r>
              <w:rPr>
                <w:sz w:val="20"/>
              </w:rPr>
              <w:t xml:space="preserve">  также виды твердого   </w:t>
            </w:r>
          </w:p>
          <w:p>
            <w:pPr>
              <w:pStyle w:val="1"/>
              <w:jc w:val="both"/>
            </w:pPr>
            <w:r>
              <w:rPr>
                <w:sz w:val="20"/>
              </w:rPr>
              <w:t xml:space="preserve">        топлива         </w:t>
            </w:r>
          </w:p>
        </w:tc>
        <w:tc>
          <w:tcPr>
            <w:tcW w:w="1989" w:type="dxa"/>
          </w:tcPr>
          <w:p>
            <w:pPr>
              <w:pStyle w:val="1"/>
              <w:jc w:val="both"/>
            </w:pPr>
            <w:r>
              <w:rPr>
                <w:sz w:val="20"/>
              </w:rPr>
              <w:t xml:space="preserve">  Биомасса и   </w:t>
            </w:r>
          </w:p>
          <w:p>
            <w:pPr>
              <w:pStyle w:val="1"/>
              <w:jc w:val="both"/>
            </w:pPr>
            <w:r>
              <w:rPr>
                <w:sz w:val="20"/>
              </w:rPr>
              <w:t xml:space="preserve">     торф      </w:t>
            </w:r>
          </w:p>
        </w:tc>
        <w:tc>
          <w:tcPr>
            <w:tcW w:w="1872" w:type="dxa"/>
          </w:tcPr>
          <w:p>
            <w:pPr>
              <w:pStyle w:val="1"/>
              <w:jc w:val="both"/>
            </w:pPr>
            <w:r>
              <w:rPr>
                <w:sz w:val="20"/>
              </w:rPr>
              <w:t xml:space="preserve">    Жидкое    </w:t>
            </w:r>
          </w:p>
          <w:p>
            <w:pPr>
              <w:pStyle w:val="1"/>
              <w:jc w:val="both"/>
            </w:pPr>
            <w:r>
              <w:rPr>
                <w:sz w:val="20"/>
              </w:rPr>
              <w:t xml:space="preserve">   топливо    </w:t>
            </w:r>
          </w:p>
        </w:tc>
      </w:tr>
      <w:tr>
        <w:trPr>
          <w:trHeight w:val="240" w:hRule="atLeast"/>
        </w:trPr>
        <w:tc>
          <w:tcPr>
            <w:tcW w:w="2223" w:type="dxa"/>
            <w:tcBorders>
              <w:top w:val="nil"/>
            </w:tcBorders>
          </w:tcPr>
          <w:p>
            <w:pPr>
              <w:pStyle w:val="1"/>
              <w:jc w:val="both"/>
            </w:pPr>
            <w:r>
              <w:rPr>
                <w:sz w:val="20"/>
              </w:rPr>
              <w:t xml:space="preserve">         50 - 100</w:t>
            </w:r>
          </w:p>
        </w:tc>
        <w:tc>
          <w:tcPr>
            <w:tcW w:w="3042" w:type="dxa"/>
            <w:tcBorders>
              <w:top w:val="nil"/>
            </w:tcBorders>
          </w:tcPr>
          <w:p>
            <w:pPr>
              <w:pStyle w:val="1"/>
              <w:jc w:val="both"/>
            </w:pPr>
            <w:r>
              <w:rPr>
                <w:sz w:val="20"/>
              </w:rPr>
              <w:t xml:space="preserve">300                     </w:t>
            </w:r>
          </w:p>
          <w:p>
            <w:pPr>
              <w:pStyle w:val="1"/>
              <w:jc w:val="both"/>
            </w:pPr>
            <w:r>
              <w:rPr>
                <w:sz w:val="20"/>
              </w:rPr>
              <w:t xml:space="preserve">450 при сжигании        </w:t>
            </w:r>
          </w:p>
          <w:p>
            <w:pPr>
              <w:pStyle w:val="1"/>
              <w:jc w:val="both"/>
            </w:pPr>
            <w:r>
              <w:rPr>
                <w:sz w:val="20"/>
              </w:rPr>
              <w:t xml:space="preserve">пульверизированного     </w:t>
            </w:r>
          </w:p>
          <w:p>
            <w:pPr>
              <w:pStyle w:val="1"/>
              <w:jc w:val="both"/>
            </w:pPr>
            <w:r>
              <w:rPr>
                <w:sz w:val="20"/>
              </w:rPr>
              <w:t xml:space="preserve">бурого угля             </w:t>
            </w:r>
          </w:p>
        </w:tc>
        <w:tc>
          <w:tcPr>
            <w:tcW w:w="1989" w:type="dxa"/>
            <w:tcBorders>
              <w:top w:val="nil"/>
            </w:tcBorders>
          </w:tcPr>
          <w:p>
            <w:pPr>
              <w:pStyle w:val="1"/>
              <w:jc w:val="both"/>
            </w:pPr>
            <w:r>
              <w:rPr>
                <w:sz w:val="20"/>
              </w:rPr>
              <w:t xml:space="preserve">            300</w:t>
            </w:r>
          </w:p>
        </w:tc>
        <w:tc>
          <w:tcPr>
            <w:tcW w:w="1872" w:type="dxa"/>
            <w:tcBorders>
              <w:top w:val="nil"/>
            </w:tcBorders>
          </w:tcPr>
          <w:p>
            <w:pPr>
              <w:pStyle w:val="1"/>
              <w:jc w:val="both"/>
            </w:pPr>
            <w:r>
              <w:rPr>
                <w:sz w:val="20"/>
              </w:rPr>
              <w:t xml:space="preserve">       450    </w:t>
            </w:r>
          </w:p>
        </w:tc>
      </w:tr>
      <w:tr>
        <w:trPr>
          <w:trHeight w:val="240" w:hRule="atLeast"/>
        </w:trPr>
        <w:tc>
          <w:tcPr>
            <w:tcW w:w="2223" w:type="dxa"/>
            <w:tcBorders>
              <w:top w:val="nil"/>
            </w:tcBorders>
          </w:tcPr>
          <w:p>
            <w:pPr>
              <w:pStyle w:val="1"/>
              <w:jc w:val="both"/>
            </w:pPr>
            <w:r>
              <w:rPr>
                <w:sz w:val="20"/>
              </w:rPr>
              <w:t xml:space="preserve">        100 - 300</w:t>
            </w:r>
          </w:p>
        </w:tc>
        <w:tc>
          <w:tcPr>
            <w:tcW w:w="3042" w:type="dxa"/>
            <w:tcBorders>
              <w:top w:val="nil"/>
            </w:tcBorders>
          </w:tcPr>
          <w:p>
            <w:pPr>
              <w:pStyle w:val="1"/>
              <w:jc w:val="both"/>
            </w:pPr>
            <w:r>
              <w:rPr>
                <w:sz w:val="20"/>
              </w:rPr>
              <w:t xml:space="preserve">                     200</w:t>
            </w:r>
          </w:p>
        </w:tc>
        <w:tc>
          <w:tcPr>
            <w:tcW w:w="1989" w:type="dxa"/>
            <w:tcBorders>
              <w:top w:val="nil"/>
            </w:tcBorders>
          </w:tcPr>
          <w:p>
            <w:pPr>
              <w:pStyle w:val="1"/>
              <w:jc w:val="both"/>
            </w:pPr>
            <w:r>
              <w:rPr>
                <w:sz w:val="20"/>
              </w:rPr>
              <w:t xml:space="preserve">            250</w:t>
            </w:r>
          </w:p>
        </w:tc>
        <w:tc>
          <w:tcPr>
            <w:tcW w:w="1872" w:type="dxa"/>
            <w:tcBorders>
              <w:top w:val="nil"/>
            </w:tcBorders>
          </w:tcPr>
          <w:p>
            <w:pPr>
              <w:pStyle w:val="1"/>
              <w:jc w:val="both"/>
            </w:pPr>
            <w:r>
              <w:rPr>
                <w:sz w:val="20"/>
              </w:rPr>
              <w:t xml:space="preserve">       200 </w:t>
            </w:r>
            <w:hyperlink w:history="0" w:anchor="P1609" w:tooltip="&lt;*&gt; Примечание">
              <w:r>
                <w:rPr>
                  <w:sz w:val="20"/>
                  <w:color w:val="0000ff"/>
                </w:rPr>
                <w:t xml:space="preserve">&lt;*&gt;</w:t>
              </w:r>
            </w:hyperlink>
          </w:p>
        </w:tc>
      </w:tr>
      <w:tr>
        <w:trPr>
          <w:trHeight w:val="240" w:hRule="atLeast"/>
        </w:trPr>
        <w:tc>
          <w:tcPr>
            <w:tcW w:w="2223" w:type="dxa"/>
            <w:tcBorders>
              <w:top w:val="nil"/>
            </w:tcBorders>
          </w:tcPr>
          <w:p>
            <w:pPr>
              <w:pStyle w:val="1"/>
              <w:jc w:val="both"/>
            </w:pPr>
            <w:r>
              <w:rPr>
                <w:sz w:val="20"/>
              </w:rPr>
              <w:t xml:space="preserve">            &gt; 300</w:t>
            </w:r>
          </w:p>
        </w:tc>
        <w:tc>
          <w:tcPr>
            <w:tcW w:w="3042" w:type="dxa"/>
            <w:tcBorders>
              <w:top w:val="nil"/>
            </w:tcBorders>
          </w:tcPr>
          <w:p>
            <w:pPr>
              <w:pStyle w:val="1"/>
              <w:jc w:val="both"/>
            </w:pPr>
            <w:r>
              <w:rPr>
                <w:sz w:val="20"/>
              </w:rPr>
              <w:t xml:space="preserve">                     200</w:t>
            </w:r>
          </w:p>
        </w:tc>
        <w:tc>
          <w:tcPr>
            <w:tcW w:w="1989" w:type="dxa"/>
            <w:tcBorders>
              <w:top w:val="nil"/>
            </w:tcBorders>
          </w:tcPr>
          <w:p>
            <w:pPr>
              <w:pStyle w:val="1"/>
              <w:jc w:val="both"/>
            </w:pPr>
            <w:r>
              <w:rPr>
                <w:sz w:val="20"/>
              </w:rPr>
              <w:t xml:space="preserve">            200</w:t>
            </w:r>
          </w:p>
        </w:tc>
        <w:tc>
          <w:tcPr>
            <w:tcW w:w="1872" w:type="dxa"/>
            <w:tcBorders>
              <w:top w:val="nil"/>
            </w:tcBorders>
          </w:tcPr>
          <w:p>
            <w:pPr>
              <w:pStyle w:val="1"/>
              <w:jc w:val="both"/>
            </w:pPr>
            <w:r>
              <w:rPr>
                <w:sz w:val="20"/>
              </w:rPr>
              <w:t xml:space="preserve">       150 &lt;*&gt;</w:t>
            </w:r>
          </w:p>
        </w:tc>
      </w:tr>
    </w:tbl>
    <w:p>
      <w:pPr>
        <w:pStyle w:val="0"/>
        <w:ind w:firstLine="540"/>
        <w:jc w:val="both"/>
      </w:pPr>
      <w:r>
        <w:rPr>
          <w:sz w:val="20"/>
        </w:rPr>
      </w:r>
    </w:p>
    <w:p>
      <w:pPr>
        <w:pStyle w:val="0"/>
        <w:ind w:firstLine="540"/>
        <w:jc w:val="both"/>
      </w:pPr>
      <w:r>
        <w:rPr>
          <w:sz w:val="20"/>
        </w:rPr>
        <w:t xml:space="preserve">--------------------------------</w:t>
      </w:r>
    </w:p>
    <w:bookmarkStart w:id="1609" w:name="P1609"/>
    <w:bookmarkEnd w:id="1609"/>
    <w:p>
      <w:pPr>
        <w:pStyle w:val="0"/>
        <w:spacing w:before="200" w:line-rule="auto"/>
        <w:ind w:firstLine="540"/>
        <w:jc w:val="both"/>
      </w:pPr>
      <w:r>
        <w:rPr>
          <w:sz w:val="20"/>
        </w:rPr>
        <w:t xml:space="preserve">&lt;*&gt; Примечание</w:t>
      </w:r>
    </w:p>
    <w:p>
      <w:pPr>
        <w:pStyle w:val="1"/>
        <w:spacing w:before="200" w:line-rule="auto"/>
        <w:jc w:val="both"/>
      </w:pPr>
      <w:r>
        <w:rPr>
          <w:sz w:val="20"/>
        </w:rPr>
        <w:t xml:space="preserve">                                                      3</w:t>
      </w:r>
    </w:p>
    <w:p>
      <w:pPr>
        <w:pStyle w:val="1"/>
        <w:jc w:val="both"/>
      </w:pPr>
      <w:r>
        <w:rPr>
          <w:sz w:val="20"/>
        </w:rPr>
        <w:t xml:space="preserve">    Пороговое  значение  выбросов составляет 450 мг/Nm  при использовании в</w:t>
      </w:r>
    </w:p>
    <w:p>
      <w:pPr>
        <w:pStyle w:val="1"/>
        <w:jc w:val="both"/>
      </w:pPr>
      <w:r>
        <w:rPr>
          <w:sz w:val="20"/>
        </w:rPr>
        <w:t xml:space="preserve">качестве топлива дистилляции и конверсии остатков перегонки сырой нефти для</w:t>
      </w:r>
    </w:p>
    <w:p>
      <w:pPr>
        <w:pStyle w:val="1"/>
        <w:jc w:val="both"/>
      </w:pPr>
      <w:r>
        <w:rPr>
          <w:sz w:val="20"/>
        </w:rPr>
        <w:t xml:space="preserve">собственных  нужд  в  заводах по сжиганию с совокупной номинальной тепловой</w:t>
      </w:r>
    </w:p>
    <w:p>
      <w:pPr>
        <w:pStyle w:val="1"/>
        <w:jc w:val="both"/>
      </w:pPr>
      <w:r>
        <w:rPr>
          <w:sz w:val="20"/>
        </w:rPr>
        <w:t xml:space="preserve">мощностью,  превышающей  500  MW,  которые получили разрешение до 27 ноября</w:t>
      </w:r>
    </w:p>
    <w:p>
      <w:pPr>
        <w:pStyle w:val="1"/>
        <w:jc w:val="both"/>
      </w:pPr>
      <w:r>
        <w:rPr>
          <w:sz w:val="20"/>
        </w:rPr>
        <w:t xml:space="preserve">2002  г.  или  операторы  которых подали полностью оформленное заявление на</w:t>
      </w:r>
    </w:p>
    <w:p>
      <w:pPr>
        <w:pStyle w:val="1"/>
        <w:jc w:val="both"/>
      </w:pPr>
      <w:r>
        <w:rPr>
          <w:sz w:val="20"/>
        </w:rPr>
        <w:t xml:space="preserve">выдачу  разрешения до указанной даты, при условии, что такие заводы введены</w:t>
      </w:r>
    </w:p>
    <w:p>
      <w:pPr>
        <w:pStyle w:val="1"/>
        <w:jc w:val="both"/>
      </w:pPr>
      <w:r>
        <w:rPr>
          <w:sz w:val="20"/>
        </w:rPr>
        <w:t xml:space="preserve">в эксплуатацию не позднее 27 ноября 2003 г.</w:t>
      </w:r>
    </w:p>
    <w:p>
      <w:pPr>
        <w:pStyle w:val="0"/>
        <w:ind w:firstLine="540"/>
        <w:jc w:val="both"/>
      </w:pPr>
      <w:r>
        <w:rPr>
          <w:sz w:val="20"/>
        </w:rPr>
      </w:r>
    </w:p>
    <w:p>
      <w:pPr>
        <w:pStyle w:val="1"/>
        <w:jc w:val="both"/>
      </w:pPr>
      <w:r>
        <w:rPr>
          <w:sz w:val="20"/>
        </w:rPr>
        <w:t xml:space="preserve">    На  заводы  по  сжиганию  в  составе химических установок, использующие</w:t>
      </w:r>
    </w:p>
    <w:p>
      <w:pPr>
        <w:pStyle w:val="1"/>
        <w:jc w:val="both"/>
      </w:pPr>
      <w:r>
        <w:rPr>
          <w:sz w:val="20"/>
        </w:rPr>
        <w:t xml:space="preserve">жидкие   остатки   производства  в  качестве  некоммерческого  топлива  для</w:t>
      </w:r>
    </w:p>
    <w:p>
      <w:pPr>
        <w:pStyle w:val="1"/>
        <w:jc w:val="both"/>
      </w:pPr>
      <w:r>
        <w:rPr>
          <w:sz w:val="20"/>
        </w:rPr>
        <w:t xml:space="preserve">собственных   нужд,   с   совокупной  номинальной  тепловой  мощностью,  не</w:t>
      </w:r>
    </w:p>
    <w:p>
      <w:pPr>
        <w:pStyle w:val="1"/>
        <w:jc w:val="both"/>
      </w:pPr>
      <w:r>
        <w:rPr>
          <w:sz w:val="20"/>
        </w:rPr>
        <w:t xml:space="preserve">превышающей  500  MW,  которые получили разрешение до 27 ноября 2002 г. или</w:t>
      </w:r>
    </w:p>
    <w:p>
      <w:pPr>
        <w:pStyle w:val="1"/>
        <w:jc w:val="both"/>
      </w:pPr>
      <w:r>
        <w:rPr>
          <w:sz w:val="20"/>
        </w:rPr>
        <w:t xml:space="preserve">операторы   которых   подали  полностью  оформленное  заявление  на  выдачу</w:t>
      </w:r>
    </w:p>
    <w:p>
      <w:pPr>
        <w:pStyle w:val="1"/>
        <w:jc w:val="both"/>
      </w:pPr>
      <w:r>
        <w:rPr>
          <w:sz w:val="20"/>
        </w:rPr>
        <w:t xml:space="preserve">разрешения  до  указанной  даты,  при  условии,  что такие заводы введены в</w:t>
      </w:r>
    </w:p>
    <w:p>
      <w:pPr>
        <w:pStyle w:val="1"/>
        <w:jc w:val="both"/>
      </w:pPr>
      <w:r>
        <w:rPr>
          <w:sz w:val="20"/>
        </w:rPr>
        <w:t xml:space="preserve">эксплуатацию  не  позднее  27  ноября  2003  г., распространяется пороговое</w:t>
      </w:r>
    </w:p>
    <w:p>
      <w:pPr>
        <w:pStyle w:val="1"/>
        <w:jc w:val="both"/>
      </w:pPr>
      <w:r>
        <w:rPr>
          <w:sz w:val="20"/>
        </w:rPr>
        <w:t xml:space="preserve">                                           3</w:t>
      </w:r>
    </w:p>
    <w:p>
      <w:pPr>
        <w:pStyle w:val="1"/>
        <w:jc w:val="both"/>
      </w:pPr>
      <w:r>
        <w:rPr>
          <w:sz w:val="20"/>
        </w:rPr>
        <w:t xml:space="preserve">значение выбросов для NO , равное 450 мг/Nm .</w:t>
      </w:r>
    </w:p>
    <w:p>
      <w:pPr>
        <w:pStyle w:val="1"/>
        <w:jc w:val="both"/>
      </w:pPr>
      <w:r>
        <w:rPr>
          <w:sz w:val="20"/>
        </w:rPr>
        <w:t xml:space="preserve">                        x</w:t>
      </w:r>
    </w:p>
    <w:p>
      <w:pPr>
        <w:pStyle w:val="1"/>
        <w:jc w:val="both"/>
      </w:pPr>
      <w:r>
        <w:rPr>
          <w:sz w:val="20"/>
        </w:rPr>
        <w:t xml:space="preserve">    На  заводы  по  сжиганию,  использующие  твердое  или жидкое топливо, с</w:t>
      </w:r>
    </w:p>
    <w:p>
      <w:pPr>
        <w:pStyle w:val="1"/>
        <w:jc w:val="both"/>
      </w:pPr>
      <w:r>
        <w:rPr>
          <w:sz w:val="20"/>
        </w:rPr>
        <w:t xml:space="preserve">совокупной  номинальной  тепловой мощностью, не превышающей 500 MW, которые</w:t>
      </w:r>
    </w:p>
    <w:p>
      <w:pPr>
        <w:pStyle w:val="1"/>
        <w:jc w:val="both"/>
      </w:pPr>
      <w:r>
        <w:rPr>
          <w:sz w:val="20"/>
        </w:rPr>
        <w:t xml:space="preserve">получили  разрешение  до  27  ноября  2002 г. или операторы, которых подали</w:t>
      </w:r>
    </w:p>
    <w:p>
      <w:pPr>
        <w:pStyle w:val="1"/>
        <w:jc w:val="both"/>
      </w:pPr>
      <w:r>
        <w:rPr>
          <w:sz w:val="20"/>
        </w:rPr>
        <w:t xml:space="preserve">полностью оформленное заявление на выдачу разрешения до указанной даты, при</w:t>
      </w:r>
    </w:p>
    <w:p>
      <w:pPr>
        <w:pStyle w:val="1"/>
        <w:jc w:val="both"/>
      </w:pPr>
      <w:r>
        <w:rPr>
          <w:sz w:val="20"/>
        </w:rPr>
        <w:t xml:space="preserve">условии,  что такие заводы введены в эксплуатацию не позднее 27 ноября 2003</w:t>
      </w:r>
    </w:p>
    <w:p>
      <w:pPr>
        <w:pStyle w:val="1"/>
        <w:jc w:val="both"/>
      </w:pPr>
      <w:r>
        <w:rPr>
          <w:sz w:val="20"/>
        </w:rPr>
        <w:t xml:space="preserve">г. и функционируют не более 1500 часов в год, выраженных в виде скользящего</w:t>
      </w:r>
    </w:p>
    <w:p>
      <w:pPr>
        <w:pStyle w:val="1"/>
        <w:jc w:val="both"/>
      </w:pPr>
      <w:r>
        <w:rPr>
          <w:sz w:val="20"/>
        </w:rPr>
        <w:t xml:space="preserve">среднего значения за пятилетний период, распространяется пороговое значение</w:t>
      </w:r>
    </w:p>
    <w:p>
      <w:pPr>
        <w:pStyle w:val="1"/>
        <w:jc w:val="both"/>
      </w:pPr>
      <w:r>
        <w:rPr>
          <w:sz w:val="20"/>
        </w:rPr>
        <w:t xml:space="preserve">                                  3</w:t>
      </w:r>
    </w:p>
    <w:p>
      <w:pPr>
        <w:pStyle w:val="1"/>
        <w:jc w:val="both"/>
      </w:pPr>
      <w:r>
        <w:rPr>
          <w:sz w:val="20"/>
        </w:rPr>
        <w:t xml:space="preserve">выбросов для NO , равное 450 мг/Nm .</w:t>
      </w:r>
    </w:p>
    <w:p>
      <w:pPr>
        <w:pStyle w:val="1"/>
        <w:jc w:val="both"/>
      </w:pPr>
      <w:r>
        <w:rPr>
          <w:sz w:val="20"/>
        </w:rPr>
        <w:t xml:space="preserve">               x</w:t>
      </w:r>
    </w:p>
    <w:p>
      <w:pPr>
        <w:pStyle w:val="1"/>
        <w:jc w:val="both"/>
      </w:pPr>
      <w:r>
        <w:rPr>
          <w:sz w:val="20"/>
        </w:rPr>
        <w:t xml:space="preserve">    На  заводы  по  сжиганию,  использующие  твердое  топливо  с совокупной</w:t>
      </w:r>
    </w:p>
    <w:p>
      <w:pPr>
        <w:pStyle w:val="1"/>
        <w:jc w:val="both"/>
      </w:pPr>
      <w:r>
        <w:rPr>
          <w:sz w:val="20"/>
        </w:rPr>
        <w:t xml:space="preserve">номинальной  тепловой мощностью выше 500 MW, которые получили разрешение до</w:t>
      </w:r>
    </w:p>
    <w:p>
      <w:pPr>
        <w:pStyle w:val="1"/>
        <w:jc w:val="both"/>
      </w:pPr>
      <w:r>
        <w:rPr>
          <w:sz w:val="20"/>
        </w:rPr>
        <w:t xml:space="preserve">1 июля 1987 г. и функционируют не более 1500 часов в год, выраженных в виде</w:t>
      </w:r>
    </w:p>
    <w:p>
      <w:pPr>
        <w:pStyle w:val="1"/>
        <w:jc w:val="both"/>
      </w:pPr>
      <w:r>
        <w:rPr>
          <w:sz w:val="20"/>
        </w:rPr>
        <w:t xml:space="preserve">скользящего   среднего  значения  за  пятилетний  период,  распространяется</w:t>
      </w:r>
    </w:p>
    <w:p>
      <w:pPr>
        <w:pStyle w:val="1"/>
        <w:jc w:val="both"/>
      </w:pPr>
      <w:r>
        <w:rPr>
          <w:sz w:val="20"/>
        </w:rPr>
        <w:t xml:space="preserve">                                                     3</w:t>
      </w:r>
    </w:p>
    <w:p>
      <w:pPr>
        <w:pStyle w:val="1"/>
        <w:jc w:val="both"/>
      </w:pPr>
      <w:r>
        <w:rPr>
          <w:sz w:val="20"/>
        </w:rPr>
        <w:t xml:space="preserve">пороговое значение выбросов для NO , равное 450 мг/Nm .</w:t>
      </w:r>
    </w:p>
    <w:p>
      <w:pPr>
        <w:pStyle w:val="1"/>
        <w:jc w:val="both"/>
      </w:pPr>
      <w:r>
        <w:rPr>
          <w:sz w:val="20"/>
        </w:rPr>
        <w:t xml:space="preserve">                                  x</w:t>
      </w:r>
    </w:p>
    <w:p>
      <w:pPr>
        <w:pStyle w:val="1"/>
        <w:jc w:val="both"/>
      </w:pPr>
      <w:r>
        <w:rPr>
          <w:sz w:val="20"/>
        </w:rPr>
        <w:t xml:space="preserve">    На  заводы  по  сжиганию,  использующие  жидкое  топливо,  с совокупной</w:t>
      </w:r>
    </w:p>
    <w:p>
      <w:pPr>
        <w:pStyle w:val="1"/>
        <w:jc w:val="both"/>
      </w:pPr>
      <w:r>
        <w:rPr>
          <w:sz w:val="20"/>
        </w:rPr>
        <w:t xml:space="preserve">номинальной  тепловой мощностью выше 500 MW, которые получили разрешение до</w:t>
      </w:r>
    </w:p>
    <w:p>
      <w:pPr>
        <w:pStyle w:val="1"/>
        <w:jc w:val="both"/>
      </w:pPr>
      <w:r>
        <w:rPr>
          <w:sz w:val="20"/>
        </w:rPr>
        <w:t xml:space="preserve">27  ноября  2002  г.  или  операторы  которых  подали полностью оформленное</w:t>
      </w:r>
    </w:p>
    <w:p>
      <w:pPr>
        <w:pStyle w:val="1"/>
        <w:jc w:val="both"/>
      </w:pPr>
      <w:r>
        <w:rPr>
          <w:sz w:val="20"/>
        </w:rPr>
        <w:t xml:space="preserve">заявление  на  выдачу  разрешения до указанной даты, при условии, что такие</w:t>
      </w:r>
    </w:p>
    <w:p>
      <w:pPr>
        <w:pStyle w:val="1"/>
        <w:jc w:val="both"/>
      </w:pPr>
      <w:r>
        <w:rPr>
          <w:sz w:val="20"/>
        </w:rPr>
        <w:t xml:space="preserve">заводы  введены в эксплуатацию не позднее 27 ноября 2003 г. и функционируют</w:t>
      </w:r>
    </w:p>
    <w:p>
      <w:pPr>
        <w:pStyle w:val="1"/>
        <w:jc w:val="both"/>
      </w:pPr>
      <w:r>
        <w:rPr>
          <w:sz w:val="20"/>
        </w:rPr>
        <w:t xml:space="preserve">не  более 1500 часов в год, выраженных в виде скользящего среднего значения</w:t>
      </w:r>
    </w:p>
    <w:p>
      <w:pPr>
        <w:pStyle w:val="1"/>
        <w:jc w:val="both"/>
      </w:pPr>
      <w:r>
        <w:rPr>
          <w:sz w:val="20"/>
        </w:rPr>
        <w:t xml:space="preserve">за пятилетний период, распространяется пороговое значение выбросов для NO ,</w:t>
      </w:r>
    </w:p>
    <w:p>
      <w:pPr>
        <w:pStyle w:val="1"/>
        <w:jc w:val="both"/>
      </w:pPr>
      <w:r>
        <w:rPr>
          <w:sz w:val="20"/>
        </w:rPr>
        <w:t xml:space="preserve">                3                                                        x</w:t>
      </w:r>
    </w:p>
    <w:p>
      <w:pPr>
        <w:pStyle w:val="1"/>
        <w:jc w:val="both"/>
      </w:pPr>
      <w:r>
        <w:rPr>
          <w:sz w:val="20"/>
        </w:rPr>
        <w:t xml:space="preserve">равное 400 мг/Nm .</w:t>
      </w:r>
    </w:p>
    <w:p>
      <w:pPr>
        <w:pStyle w:val="0"/>
        <w:ind w:firstLine="540"/>
        <w:jc w:val="both"/>
      </w:pPr>
      <w:r>
        <w:rPr>
          <w:sz w:val="20"/>
        </w:rPr>
        <w:t xml:space="preserve">На часть завода по сжиганию, сбрасывающую отработанные газы через один или несколько отдельных газоходов в общей дымовой трубе, которая функционирует не более 1500 часов в год, выраженных в виде скользящего среднего значения за пятилетний период, могут распространяться пороговые значения выбросов, установленные в предыдущих трех параграфах в отношении к совокупной номинальной тепловой мощности всего завода. В таких случаях мониторинг выбросов из каждого газохода осуществляется отдельно.</w:t>
      </w:r>
    </w:p>
    <w:bookmarkStart w:id="1656" w:name="P1656"/>
    <w:bookmarkEnd w:id="1656"/>
    <w:p>
      <w:pPr>
        <w:pStyle w:val="1"/>
        <w:spacing w:before="200" w:line-rule="auto"/>
        <w:jc w:val="both"/>
      </w:pPr>
      <w:r>
        <w:rPr>
          <w:sz w:val="20"/>
        </w:rPr>
        <w:t xml:space="preserve">    5.  На  газовые  турбины  (в том числе газовые турбины комбинированного</w:t>
      </w:r>
    </w:p>
    <w:p>
      <w:pPr>
        <w:pStyle w:val="1"/>
        <w:jc w:val="both"/>
      </w:pPr>
      <w:r>
        <w:rPr>
          <w:sz w:val="20"/>
        </w:rPr>
        <w:t xml:space="preserve">цикла  (CCGT)), использующие легкие и средние дистилляты в качестве жидкого</w:t>
      </w:r>
    </w:p>
    <w:p>
      <w:pPr>
        <w:pStyle w:val="1"/>
        <w:jc w:val="both"/>
      </w:pPr>
      <w:r>
        <w:rPr>
          <w:sz w:val="20"/>
        </w:rPr>
        <w:t xml:space="preserve">топлива,  распространяется  пороговое  значение выбросов для NO , равное 90</w:t>
      </w:r>
    </w:p>
    <w:p>
      <w:pPr>
        <w:pStyle w:val="1"/>
        <w:jc w:val="both"/>
      </w:pPr>
      <w:r>
        <w:rPr>
          <w:sz w:val="20"/>
        </w:rPr>
        <w:t xml:space="preserve">     3                             3                           x</w:t>
      </w:r>
    </w:p>
    <w:p>
      <w:pPr>
        <w:pStyle w:val="1"/>
        <w:jc w:val="both"/>
      </w:pPr>
      <w:r>
        <w:rPr>
          <w:sz w:val="20"/>
        </w:rPr>
        <w:t xml:space="preserve">мг/Nm , а для CO - равное 100 мг/Nm .</w:t>
      </w:r>
    </w:p>
    <w:p>
      <w:pPr>
        <w:pStyle w:val="0"/>
        <w:ind w:firstLine="540"/>
        <w:jc w:val="both"/>
      </w:pPr>
      <w:r>
        <w:rPr>
          <w:sz w:val="20"/>
        </w:rPr>
        <w:t xml:space="preserve">На газовые турбины, предназначенные для аварийного использования, которые функционируют менее 500 часов в год, не распространяются пороговые значения выбросов, установленные настоящим пунктом. Оператор таких заводов должен фиксировать часы функционирования.</w:t>
      </w:r>
    </w:p>
    <w:p>
      <w:pPr>
        <w:pStyle w:val="1"/>
        <w:spacing w:before="200" w:line-rule="auto"/>
        <w:jc w:val="both"/>
      </w:pPr>
      <w:r>
        <w:rPr>
          <w:sz w:val="20"/>
        </w:rPr>
        <w:t xml:space="preserve">                                             3</w:t>
      </w:r>
    </w:p>
    <w:bookmarkStart w:id="1663" w:name="P1663"/>
    <w:bookmarkEnd w:id="1663"/>
    <w:p>
      <w:pPr>
        <w:pStyle w:val="1"/>
        <w:jc w:val="both"/>
      </w:pPr>
      <w:r>
        <w:rPr>
          <w:sz w:val="20"/>
        </w:rPr>
        <w:t xml:space="preserve">    6.  Пороговые  значения  выбросов  (мг/Nm ) для NO  и CO для заводов по</w:t>
      </w:r>
    </w:p>
    <w:p>
      <w:pPr>
        <w:pStyle w:val="1"/>
        <w:jc w:val="both"/>
      </w:pPr>
      <w:r>
        <w:rPr>
          <w:sz w:val="20"/>
        </w:rPr>
        <w:t xml:space="preserve">                                                      x</w:t>
      </w:r>
    </w:p>
    <w:p>
      <w:pPr>
        <w:pStyle w:val="1"/>
        <w:jc w:val="both"/>
      </w:pPr>
      <w:r>
        <w:rPr>
          <w:sz w:val="20"/>
        </w:rPr>
        <w:t xml:space="preserve">сжиганию, сжигающих газы</w:t>
      </w:r>
    </w:p>
    <w:p>
      <w:pPr>
        <w:pStyle w:val="0"/>
        <w:ind w:firstLine="540"/>
        <w:jc w:val="both"/>
      </w:pPr>
      <w:r>
        <w:rPr>
          <w:sz w:val="20"/>
        </w:rPr>
      </w:r>
    </w:p>
    <w:p>
      <w:pPr>
        <w:pStyle w:val="3"/>
        <w:jc w:val="both"/>
      </w:pPr>
      <w:r>
        <w:rPr>
          <w:sz w:val="20"/>
        </w:rPr>
        <w:t xml:space="preserve">┌─────────────────────────────────────────────────┬────────────┬──────────┐</w:t>
      </w:r>
    </w:p>
    <w:bookmarkStart w:id="1668" w:name="P1668"/>
    <w:bookmarkEnd w:id="1668"/>
    <w:p>
      <w:pPr>
        <w:pStyle w:val="3"/>
        <w:jc w:val="both"/>
      </w:pPr>
      <w:r>
        <w:rPr>
          <w:sz w:val="20"/>
        </w:rPr>
        <w:t xml:space="preserve">│                                                 │     NO     │    CO    │</w:t>
      </w:r>
    </w:p>
    <w:p>
      <w:pPr>
        <w:pStyle w:val="3"/>
        <w:jc w:val="both"/>
      </w:pPr>
      <w:r>
        <w:rPr>
          <w:sz w:val="20"/>
        </w:rPr>
        <w:t xml:space="preserve">│                                                 │       x    │          │</w:t>
      </w:r>
    </w:p>
    <w:p>
      <w:pPr>
        <w:pStyle w:val="3"/>
        <w:jc w:val="both"/>
      </w:pPr>
      <w:r>
        <w:rPr>
          <w:sz w:val="20"/>
        </w:rPr>
        <w:t xml:space="preserve">├─────────────────────────────────────────────────┼────────────┼──────────┤</w:t>
      </w:r>
    </w:p>
    <w:p>
      <w:pPr>
        <w:pStyle w:val="3"/>
        <w:jc w:val="both"/>
      </w:pPr>
      <w:r>
        <w:rPr>
          <w:sz w:val="20"/>
        </w:rPr>
        <w:t xml:space="preserve">│Заводы по сжиганию, сжигающие природный газ, за  │ 100        │       100│</w:t>
      </w:r>
    </w:p>
    <w:p>
      <w:pPr>
        <w:pStyle w:val="3"/>
        <w:jc w:val="both"/>
      </w:pPr>
      <w:r>
        <w:rPr>
          <w:sz w:val="20"/>
        </w:rPr>
        <w:t xml:space="preserve">│исключением газовых турбин и газовых двигателей  │            │          │</w:t>
      </w:r>
    </w:p>
    <w:p>
      <w:pPr>
        <w:pStyle w:val="3"/>
        <w:jc w:val="both"/>
      </w:pPr>
      <w:r>
        <w:rPr>
          <w:sz w:val="20"/>
        </w:rPr>
        <w:t xml:space="preserve">├─────────────────────────────────────────────────┼────────────┼──────────┤</w:t>
      </w:r>
    </w:p>
    <w:p>
      <w:pPr>
        <w:pStyle w:val="3"/>
        <w:jc w:val="both"/>
      </w:pPr>
      <w:r>
        <w:rPr>
          <w:sz w:val="20"/>
        </w:rPr>
        <w:t xml:space="preserve">│Заводы по сжиганию, сжигающие доменный газ,      │ 200 </w:t>
      </w:r>
      <w:hyperlink w:history="0" w:anchor="P1708" w:tooltip="    &lt;4&gt;  300  мг/Nm   для  заводов  по  сжиганию  с  совокупной номинальной">
        <w:r>
          <w:rPr>
            <w:sz w:val="20"/>
            <w:color w:val="0000ff"/>
          </w:rPr>
          <w:t xml:space="preserve">&lt;4&gt;</w:t>
        </w:r>
      </w:hyperlink>
      <w:r>
        <w:rPr>
          <w:sz w:val="20"/>
        </w:rPr>
        <w:t xml:space="preserve">    │    -     │</w:t>
      </w:r>
    </w:p>
    <w:p>
      <w:pPr>
        <w:pStyle w:val="3"/>
        <w:jc w:val="both"/>
      </w:pPr>
      <w:r>
        <w:rPr>
          <w:sz w:val="20"/>
        </w:rPr>
        <w:t xml:space="preserve">│коксовый газ или низкокалорийные газы от         │            │          │</w:t>
      </w:r>
    </w:p>
    <w:p>
      <w:pPr>
        <w:pStyle w:val="3"/>
        <w:jc w:val="both"/>
      </w:pPr>
      <w:r>
        <w:rPr>
          <w:sz w:val="20"/>
        </w:rPr>
        <w:t xml:space="preserve">│газификации очистных остатков, за исключением    │            │          │</w:t>
      </w:r>
    </w:p>
    <w:p>
      <w:pPr>
        <w:pStyle w:val="3"/>
        <w:jc w:val="both"/>
      </w:pPr>
      <w:r>
        <w:rPr>
          <w:sz w:val="20"/>
        </w:rPr>
        <w:t xml:space="preserve">│газовых турбин и газовых двигателей              │            │          │</w:t>
      </w:r>
    </w:p>
    <w:p>
      <w:pPr>
        <w:pStyle w:val="3"/>
        <w:jc w:val="both"/>
      </w:pPr>
      <w:r>
        <w:rPr>
          <w:sz w:val="20"/>
        </w:rPr>
        <w:t xml:space="preserve">├─────────────────────────────────────────────────┼────────────┼──────────┤</w:t>
      </w:r>
    </w:p>
    <w:p>
      <w:pPr>
        <w:pStyle w:val="3"/>
        <w:jc w:val="both"/>
      </w:pPr>
      <w:r>
        <w:rPr>
          <w:sz w:val="20"/>
        </w:rPr>
        <w:t xml:space="preserve">│Заводы по сжиганию, сжигающие иные газы, за      │ 200 &lt;4&gt;    │    -     │</w:t>
      </w:r>
    </w:p>
    <w:p>
      <w:pPr>
        <w:pStyle w:val="3"/>
        <w:jc w:val="both"/>
      </w:pPr>
      <w:r>
        <w:rPr>
          <w:sz w:val="20"/>
        </w:rPr>
        <w:t xml:space="preserve">│исключением газовых турбин и газовых двигателей  │            │          │</w:t>
      </w:r>
    </w:p>
    <w:p>
      <w:pPr>
        <w:pStyle w:val="3"/>
        <w:jc w:val="both"/>
      </w:pPr>
      <w:r>
        <w:rPr>
          <w:sz w:val="20"/>
        </w:rPr>
        <w:t xml:space="preserve">├─────────────────────────────────────────────────┼────────────┼──────────┤</w:t>
      </w:r>
    </w:p>
    <w:p>
      <w:pPr>
        <w:pStyle w:val="3"/>
        <w:jc w:val="both"/>
      </w:pPr>
      <w:r>
        <w:rPr>
          <w:sz w:val="20"/>
        </w:rPr>
        <w:t xml:space="preserve">│Газовые турбины (в том числе CCGT), использующие │  50 </w:t>
      </w:r>
      <w:hyperlink w:history="0" w:anchor="P1694" w:tooltip="    &lt;2&gt; 75 мг/Nm  в следующих случаях, когда коэффициент полезного действия">
        <w:r>
          <w:rPr>
            <w:sz w:val="20"/>
            <w:color w:val="0000ff"/>
          </w:rPr>
          <w:t xml:space="preserve">&lt;2&gt;</w:t>
        </w:r>
      </w:hyperlink>
      <w:r>
        <w:rPr>
          <w:sz w:val="20"/>
        </w:rPr>
        <w:t xml:space="preserve"> </w:t>
      </w:r>
      <w:hyperlink w:history="0" w:anchor="P1700" w:tooltip="    &lt;3&gt;  Для  газовых  турбин простого цикла, не подпадающих под категории,">
        <w:r>
          <w:rPr>
            <w:sz w:val="20"/>
            <w:color w:val="0000ff"/>
          </w:rPr>
          <w:t xml:space="preserve">&lt;3&gt;</w:t>
        </w:r>
      </w:hyperlink>
      <w:r>
        <w:rPr>
          <w:sz w:val="20"/>
        </w:rPr>
        <w:t xml:space="preserve">│       100│</w:t>
      </w:r>
    </w:p>
    <w:p>
      <w:pPr>
        <w:pStyle w:val="3"/>
        <w:jc w:val="both"/>
      </w:pPr>
      <w:r>
        <w:rPr>
          <w:sz w:val="20"/>
        </w:rPr>
        <w:t xml:space="preserve">│природный газ </w:t>
      </w:r>
      <w:hyperlink w:history="0" w:anchor="P1692" w:tooltip="&lt;1&gt; Природный газ - естественно встречающийся метан, имеющий не более 20% (по объему) инертных газов и других компонентов.">
        <w:r>
          <w:rPr>
            <w:sz w:val="20"/>
            <w:color w:val="0000ff"/>
          </w:rPr>
          <w:t xml:space="preserve">&lt;1&gt;</w:t>
        </w:r>
      </w:hyperlink>
      <w:r>
        <w:rPr>
          <w:sz w:val="20"/>
        </w:rPr>
        <w:t xml:space="preserve"> в качестве топлива             │            │          │</w:t>
      </w:r>
    </w:p>
    <w:p>
      <w:pPr>
        <w:pStyle w:val="3"/>
        <w:jc w:val="both"/>
      </w:pPr>
      <w:r>
        <w:rPr>
          <w:sz w:val="20"/>
        </w:rPr>
        <w:t xml:space="preserve">├─────────────────────────────────────────────────┼────────────┼──────────┤</w:t>
      </w:r>
    </w:p>
    <w:p>
      <w:pPr>
        <w:pStyle w:val="3"/>
        <w:jc w:val="both"/>
      </w:pPr>
      <w:r>
        <w:rPr>
          <w:sz w:val="20"/>
        </w:rPr>
        <w:t xml:space="preserve">│Газовые турбины (в том числе CCGT), использующие │ 120        │    -     │</w:t>
      </w:r>
    </w:p>
    <w:p>
      <w:pPr>
        <w:pStyle w:val="3"/>
        <w:jc w:val="both"/>
      </w:pPr>
      <w:r>
        <w:rPr>
          <w:sz w:val="20"/>
        </w:rPr>
        <w:t xml:space="preserve">│иные газы в качестве топлива                     │            │          │</w:t>
      </w:r>
    </w:p>
    <w:p>
      <w:pPr>
        <w:pStyle w:val="3"/>
        <w:jc w:val="both"/>
      </w:pPr>
      <w:r>
        <w:rPr>
          <w:sz w:val="20"/>
        </w:rPr>
        <w:t xml:space="preserve">├─────────────────────────────────────────────────┼────────────┼──────────┤</w:t>
      </w:r>
    </w:p>
    <w:p>
      <w:pPr>
        <w:pStyle w:val="3"/>
        <w:jc w:val="both"/>
      </w:pPr>
      <w:r>
        <w:rPr>
          <w:sz w:val="20"/>
        </w:rPr>
        <w:t xml:space="preserve">│Газовые двигатели                                │ 100        │       100│</w:t>
      </w:r>
    </w:p>
    <w:p>
      <w:pPr>
        <w:pStyle w:val="3"/>
        <w:jc w:val="both"/>
      </w:pPr>
      <w:r>
        <w:rPr>
          <w:sz w:val="20"/>
        </w:rPr>
        <w:t xml:space="preserve">└─────────────────────────────────────────────────┴────────────┴──────────┘</w:t>
      </w:r>
    </w:p>
    <w:p>
      <w:pPr>
        <w:pStyle w:val="0"/>
        <w:ind w:firstLine="540"/>
        <w:jc w:val="both"/>
      </w:pPr>
      <w:r>
        <w:rPr>
          <w:sz w:val="20"/>
        </w:rPr>
      </w:r>
    </w:p>
    <w:p>
      <w:pPr>
        <w:pStyle w:val="0"/>
        <w:ind w:firstLine="540"/>
        <w:jc w:val="both"/>
      </w:pPr>
      <w:r>
        <w:rPr>
          <w:sz w:val="20"/>
        </w:rPr>
        <w:t xml:space="preserve">Примечание</w:t>
      </w:r>
    </w:p>
    <w:bookmarkStart w:id="1692" w:name="P1692"/>
    <w:bookmarkEnd w:id="1692"/>
    <w:p>
      <w:pPr>
        <w:pStyle w:val="0"/>
        <w:spacing w:before="200" w:line-rule="auto"/>
        <w:ind w:firstLine="540"/>
        <w:jc w:val="both"/>
      </w:pPr>
      <w:r>
        <w:rPr>
          <w:sz w:val="20"/>
        </w:rPr>
        <w:t xml:space="preserve">&lt;1&gt; Природный газ - естественно встречающийся метан, имеющий не более 20% (по объему) инертных газов и других компонентов.</w:t>
      </w:r>
    </w:p>
    <w:p>
      <w:pPr>
        <w:pStyle w:val="1"/>
        <w:spacing w:before="200" w:line-rule="auto"/>
        <w:jc w:val="both"/>
      </w:pPr>
      <w:r>
        <w:rPr>
          <w:sz w:val="20"/>
        </w:rPr>
        <w:t xml:space="preserve">                3</w:t>
      </w:r>
    </w:p>
    <w:bookmarkStart w:id="1694" w:name="P1694"/>
    <w:bookmarkEnd w:id="1694"/>
    <w:p>
      <w:pPr>
        <w:pStyle w:val="1"/>
        <w:jc w:val="both"/>
      </w:pPr>
      <w:r>
        <w:rPr>
          <w:sz w:val="20"/>
        </w:rPr>
        <w:t xml:space="preserve">    &lt;2&gt; 75 мг/Nm  в следующих случаях, когда коэффициент полезного действия</w:t>
      </w:r>
    </w:p>
    <w:p>
      <w:pPr>
        <w:pStyle w:val="1"/>
        <w:jc w:val="both"/>
      </w:pPr>
      <w:r>
        <w:rPr>
          <w:sz w:val="20"/>
        </w:rPr>
        <w:t xml:space="preserve">газовой   турбины   определяется   на   основе  базового  режима  работы  в</w:t>
      </w:r>
    </w:p>
    <w:p>
      <w:pPr>
        <w:pStyle w:val="1"/>
        <w:jc w:val="both"/>
      </w:pPr>
      <w:r>
        <w:rPr>
          <w:sz w:val="20"/>
        </w:rPr>
        <w:t xml:space="preserve">соответствии с ISO:</w:t>
      </w:r>
    </w:p>
    <w:p>
      <w:pPr>
        <w:pStyle w:val="0"/>
        <w:ind w:firstLine="540"/>
        <w:jc w:val="both"/>
      </w:pPr>
      <w:r>
        <w:rPr>
          <w:sz w:val="20"/>
        </w:rPr>
        <w:t xml:space="preserve">i) газовые турбины, используемые в комбинированных системах тепло- и энергоснабжения с общим коэффициентом полезного действия более 75%;</w:t>
      </w:r>
    </w:p>
    <w:p>
      <w:pPr>
        <w:pStyle w:val="0"/>
        <w:spacing w:before="200" w:line-rule="auto"/>
        <w:ind w:firstLine="540"/>
        <w:jc w:val="both"/>
      </w:pPr>
      <w:r>
        <w:rPr>
          <w:sz w:val="20"/>
        </w:rPr>
        <w:t xml:space="preserve">ii) газовые турбины, используемые в заводах комбинированного цикла с ежегодным средним электрическим коэффициентом полезного действия более 55%;</w:t>
      </w:r>
    </w:p>
    <w:p>
      <w:pPr>
        <w:pStyle w:val="0"/>
        <w:spacing w:before="200" w:line-rule="auto"/>
        <w:ind w:firstLine="540"/>
        <w:jc w:val="both"/>
      </w:pPr>
      <w:r>
        <w:rPr>
          <w:sz w:val="20"/>
        </w:rPr>
        <w:t xml:space="preserve">iii) газовые турбины для механических приводов.</w:t>
      </w:r>
    </w:p>
    <w:bookmarkStart w:id="1700" w:name="P1700"/>
    <w:bookmarkEnd w:id="1700"/>
    <w:p>
      <w:pPr>
        <w:pStyle w:val="1"/>
        <w:spacing w:before="200" w:line-rule="auto"/>
        <w:jc w:val="both"/>
      </w:pPr>
      <w:r>
        <w:rPr>
          <w:sz w:val="20"/>
        </w:rPr>
        <w:t xml:space="preserve">    &lt;3&gt;  Для  газовых  турбин простого цикла, не подпадающих под категории,</w:t>
      </w:r>
    </w:p>
    <w:p>
      <w:pPr>
        <w:pStyle w:val="1"/>
        <w:jc w:val="both"/>
      </w:pPr>
      <w:r>
        <w:rPr>
          <w:sz w:val="20"/>
        </w:rPr>
        <w:t xml:space="preserve">перечисленные  в  примечании </w:t>
      </w:r>
      <w:hyperlink w:history="0" w:anchor="P1694" w:tooltip="    &lt;2&gt; 75 мг/Nm  в следующих случаях, когда коэффициент полезного действия">
        <w:r>
          <w:rPr>
            <w:sz w:val="20"/>
            <w:color w:val="0000ff"/>
          </w:rPr>
          <w:t xml:space="preserve">&lt;2&gt;</w:t>
        </w:r>
      </w:hyperlink>
      <w:r>
        <w:rPr>
          <w:sz w:val="20"/>
        </w:rPr>
        <w:t xml:space="preserve">, но имеющих коэффициент полезного действия</w:t>
      </w:r>
    </w:p>
    <w:p>
      <w:pPr>
        <w:pStyle w:val="1"/>
        <w:jc w:val="both"/>
      </w:pPr>
      <w:r>
        <w:rPr>
          <w:sz w:val="20"/>
        </w:rPr>
        <w:t xml:space="preserve">более  35%,  определяемый на основе базового режима работы в соответствии с</w:t>
      </w:r>
    </w:p>
    <w:p>
      <w:pPr>
        <w:pStyle w:val="1"/>
        <w:jc w:val="both"/>
      </w:pPr>
      <w:r>
        <w:rPr>
          <w:sz w:val="20"/>
        </w:rPr>
        <w:t xml:space="preserve">ISO, пороговое  значение выбросов  для NO  составляет 50 xэта/35, где эта -</w:t>
      </w:r>
    </w:p>
    <w:p>
      <w:pPr>
        <w:pStyle w:val="1"/>
        <w:jc w:val="both"/>
      </w:pPr>
      <w:r>
        <w:rPr>
          <w:sz w:val="20"/>
        </w:rPr>
        <w:t xml:space="preserve">                                         x</w:t>
      </w:r>
    </w:p>
    <w:p>
      <w:pPr>
        <w:pStyle w:val="1"/>
        <w:jc w:val="both"/>
      </w:pPr>
      <w:r>
        <w:rPr>
          <w:sz w:val="20"/>
        </w:rPr>
        <w:t xml:space="preserve">коэффициент  полезного  действия  газовой  турбины,  определяемый на основе</w:t>
      </w:r>
    </w:p>
    <w:p>
      <w:pPr>
        <w:pStyle w:val="1"/>
        <w:jc w:val="both"/>
      </w:pPr>
      <w:r>
        <w:rPr>
          <w:sz w:val="20"/>
        </w:rPr>
        <w:t xml:space="preserve">базового режима работы в соответствии с ISO и выраженный в процентах.</w:t>
      </w:r>
    </w:p>
    <w:p>
      <w:pPr>
        <w:pStyle w:val="1"/>
        <w:jc w:val="both"/>
      </w:pPr>
      <w:r>
        <w:rPr>
          <w:sz w:val="20"/>
        </w:rPr>
        <w:t xml:space="preserve">                   3</w:t>
      </w:r>
    </w:p>
    <w:bookmarkStart w:id="1708" w:name="P1708"/>
    <w:bookmarkEnd w:id="1708"/>
    <w:p>
      <w:pPr>
        <w:pStyle w:val="1"/>
        <w:jc w:val="both"/>
      </w:pPr>
      <w:r>
        <w:rPr>
          <w:sz w:val="20"/>
        </w:rPr>
        <w:t xml:space="preserve">    &lt;4&gt;  300  мг/Nm   для  заводов  по  сжиганию  с  совокупной номинальной</w:t>
      </w:r>
    </w:p>
    <w:p>
      <w:pPr>
        <w:pStyle w:val="1"/>
        <w:jc w:val="both"/>
      </w:pPr>
      <w:r>
        <w:rPr>
          <w:sz w:val="20"/>
        </w:rPr>
        <w:t xml:space="preserve">тепловой  мощностью, не превышающей, 500 MW, которые получили разрешение до</w:t>
      </w:r>
    </w:p>
    <w:p>
      <w:pPr>
        <w:pStyle w:val="1"/>
        <w:jc w:val="both"/>
      </w:pPr>
      <w:r>
        <w:rPr>
          <w:sz w:val="20"/>
        </w:rPr>
        <w:t xml:space="preserve">27  ноября  2002  г.  или  операторы  которых  подали полностью оформленное</w:t>
      </w:r>
    </w:p>
    <w:p>
      <w:pPr>
        <w:pStyle w:val="1"/>
        <w:jc w:val="both"/>
      </w:pPr>
      <w:r>
        <w:rPr>
          <w:sz w:val="20"/>
        </w:rPr>
        <w:t xml:space="preserve">заявление  на  выдачу  разрешения до указанной даты, при условии, что такие</w:t>
      </w:r>
    </w:p>
    <w:p>
      <w:pPr>
        <w:pStyle w:val="1"/>
        <w:jc w:val="both"/>
      </w:pPr>
      <w:r>
        <w:rPr>
          <w:sz w:val="20"/>
        </w:rPr>
        <w:t xml:space="preserve">заводы введены в эксплуатацию не позднее 27 ноября 2003 г.</w:t>
      </w:r>
    </w:p>
    <w:p>
      <w:pPr>
        <w:pStyle w:val="0"/>
        <w:ind w:firstLine="540"/>
        <w:jc w:val="both"/>
      </w:pPr>
      <w:r>
        <w:rPr>
          <w:sz w:val="20"/>
        </w:rPr>
      </w:r>
    </w:p>
    <w:p>
      <w:pPr>
        <w:pStyle w:val="1"/>
        <w:jc w:val="both"/>
      </w:pPr>
      <w:r>
        <w:rPr>
          <w:sz w:val="20"/>
        </w:rPr>
        <w:t xml:space="preserve">    В  отношении  газовых  турбин  (в  том  числе  CCGT) пороговые значения</w:t>
      </w:r>
    </w:p>
    <w:p>
      <w:pPr>
        <w:pStyle w:val="1"/>
        <w:jc w:val="both"/>
      </w:pPr>
      <w:r>
        <w:rPr>
          <w:sz w:val="20"/>
        </w:rPr>
        <w:t xml:space="preserve">выбросов   для  NO   и  CO,  установленные  в  </w:t>
      </w:r>
      <w:hyperlink w:history="0" w:anchor="P1668" w:tooltip="│                                                 │     NO     │    CO    │">
        <w:r>
          <w:rPr>
            <w:sz w:val="20"/>
            <w:color w:val="0000ff"/>
          </w:rPr>
          <w:t xml:space="preserve">таблице  настоящего  пункта</w:t>
        </w:r>
      </w:hyperlink>
      <w:r>
        <w:rPr>
          <w:sz w:val="20"/>
        </w:rPr>
        <w:t xml:space="preserve">,</w:t>
      </w:r>
    </w:p>
    <w:p>
      <w:pPr>
        <w:pStyle w:val="1"/>
        <w:jc w:val="both"/>
      </w:pPr>
      <w:r>
        <w:rPr>
          <w:sz w:val="20"/>
        </w:rPr>
        <w:t xml:space="preserve">                  x</w:t>
      </w:r>
    </w:p>
    <w:p>
      <w:pPr>
        <w:pStyle w:val="1"/>
        <w:jc w:val="both"/>
      </w:pPr>
      <w:r>
        <w:rPr>
          <w:sz w:val="20"/>
        </w:rPr>
        <w:t xml:space="preserve">применяются только при нагрузке более 70%.</w:t>
      </w:r>
    </w:p>
    <w:p>
      <w:pPr>
        <w:pStyle w:val="1"/>
        <w:jc w:val="both"/>
      </w:pPr>
      <w:r>
        <w:rPr>
          <w:sz w:val="20"/>
        </w:rPr>
        <w:t xml:space="preserve">    В  отношении  газовых  турбин  (в  том  числе  CCGT),  которые получили</w:t>
      </w:r>
    </w:p>
    <w:p>
      <w:pPr>
        <w:pStyle w:val="1"/>
        <w:jc w:val="both"/>
      </w:pPr>
      <w:r>
        <w:rPr>
          <w:sz w:val="20"/>
        </w:rPr>
        <w:t xml:space="preserve">разрешение  до  27  ноября  2002  г. или операторы которых подали полностью</w:t>
      </w:r>
    </w:p>
    <w:p>
      <w:pPr>
        <w:pStyle w:val="1"/>
        <w:jc w:val="both"/>
      </w:pPr>
      <w:r>
        <w:rPr>
          <w:sz w:val="20"/>
        </w:rPr>
        <w:t xml:space="preserve">оформленное  заявление на выдачу разрешения до указанной даты, при условии,</w:t>
      </w:r>
    </w:p>
    <w:p>
      <w:pPr>
        <w:pStyle w:val="1"/>
        <w:jc w:val="both"/>
      </w:pPr>
      <w:r>
        <w:rPr>
          <w:sz w:val="20"/>
        </w:rPr>
        <w:t xml:space="preserve">что  такие  заводы  введены  в  эксплуатацию не позднее 27 ноября 2003 г. и</w:t>
      </w:r>
    </w:p>
    <w:p>
      <w:pPr>
        <w:pStyle w:val="1"/>
        <w:jc w:val="both"/>
      </w:pPr>
      <w:r>
        <w:rPr>
          <w:sz w:val="20"/>
        </w:rPr>
        <w:t xml:space="preserve">функционируют  не  более  1500  часов  в год, выраженных в виде скользящего</w:t>
      </w:r>
    </w:p>
    <w:p>
      <w:pPr>
        <w:pStyle w:val="1"/>
        <w:jc w:val="both"/>
      </w:pPr>
      <w:r>
        <w:rPr>
          <w:sz w:val="20"/>
        </w:rPr>
        <w:t xml:space="preserve">среднего значения за пятилетний период, пороговое значение выбросов для NO</w:t>
      </w:r>
    </w:p>
    <w:p>
      <w:pPr>
        <w:pStyle w:val="1"/>
        <w:jc w:val="both"/>
      </w:pPr>
      <w:r>
        <w:rPr>
          <w:sz w:val="20"/>
        </w:rPr>
        <w:t xml:space="preserve">                      3                                               3   x</w:t>
      </w:r>
    </w:p>
    <w:p>
      <w:pPr>
        <w:pStyle w:val="1"/>
        <w:jc w:val="both"/>
      </w:pPr>
      <w:r>
        <w:rPr>
          <w:sz w:val="20"/>
        </w:rPr>
        <w:t xml:space="preserve">составляет  150  мг/Nm   при  сжигании  природного  газа  и  200 мг/Nm  при</w:t>
      </w:r>
    </w:p>
    <w:p>
      <w:pPr>
        <w:pStyle w:val="1"/>
        <w:jc w:val="both"/>
      </w:pPr>
      <w:r>
        <w:rPr>
          <w:sz w:val="20"/>
        </w:rPr>
        <w:t xml:space="preserve">сжигании иных газов или жидкого топлива.</w:t>
      </w:r>
    </w:p>
    <w:p>
      <w:pPr>
        <w:pStyle w:val="0"/>
        <w:ind w:firstLine="540"/>
        <w:jc w:val="both"/>
      </w:pPr>
      <w:r>
        <w:rPr>
          <w:sz w:val="20"/>
        </w:rPr>
        <w:t xml:space="preserve">На часть завода по сжиганию, сбрасывающую отработанные газы через один или несколько отдельных газоходов в общей дымовой трубе, которая функционирует не более 1500 часов в год, выраженных в виде скользящего среднего значения за пятилетний период, могут распространяться пороговые значения выбросов, установленные в предыдущем </w:t>
      </w:r>
      <w:hyperlink w:history="0" w:anchor="P1656" w:tooltip="    5.  На  газовые  турбины  (в том числе газовые турбины комбинированного">
        <w:r>
          <w:rPr>
            <w:sz w:val="20"/>
            <w:color w:val="0000ff"/>
          </w:rPr>
          <w:t xml:space="preserve">параграфе</w:t>
        </w:r>
      </w:hyperlink>
      <w:r>
        <w:rPr>
          <w:sz w:val="20"/>
        </w:rPr>
        <w:t xml:space="preserve"> в отношении совокупной номинальной тепловой мощности всего завода. В таких случаях мониторинг выбросов из каждого газохода осуществляется отдельно.</w:t>
      </w:r>
    </w:p>
    <w:p>
      <w:pPr>
        <w:pStyle w:val="0"/>
        <w:spacing w:before="200" w:line-rule="auto"/>
        <w:ind w:firstLine="540"/>
        <w:jc w:val="both"/>
      </w:pPr>
      <w:r>
        <w:rPr>
          <w:sz w:val="20"/>
        </w:rPr>
        <w:t xml:space="preserve">На газовые турбины и газовые двигатели, предназначенные для аварийного использования, которые функционируют менее 500 часов в год, не распространяются пороговые значения выбросов, установленные настоящим пунктом. Оператор таких заводов должен фиксировать часы функционирования.</w:t>
      </w:r>
    </w:p>
    <w:p>
      <w:pPr>
        <w:pStyle w:val="1"/>
        <w:spacing w:before="200" w:line-rule="auto"/>
        <w:jc w:val="both"/>
      </w:pPr>
      <w:r>
        <w:rPr>
          <w:sz w:val="20"/>
        </w:rPr>
        <w:t xml:space="preserve">                                             3</w:t>
      </w:r>
    </w:p>
    <w:bookmarkStart w:id="1730" w:name="P1730"/>
    <w:bookmarkEnd w:id="1730"/>
    <w:p>
      <w:pPr>
        <w:pStyle w:val="1"/>
        <w:jc w:val="both"/>
      </w:pPr>
      <w:r>
        <w:rPr>
          <w:sz w:val="20"/>
        </w:rPr>
        <w:t xml:space="preserve">    7.  Пороговые  значения  выбросов  (мг/Nm )  для  пыли  для  заводов по</w:t>
      </w:r>
    </w:p>
    <w:p>
      <w:pPr>
        <w:pStyle w:val="1"/>
        <w:jc w:val="both"/>
      </w:pPr>
      <w:r>
        <w:rPr>
          <w:sz w:val="20"/>
        </w:rPr>
        <w:t xml:space="preserve">сжиганию,  использующих  твердое или жидкое топливо, за исключением газовых</w:t>
      </w:r>
    </w:p>
    <w:p>
      <w:pPr>
        <w:pStyle w:val="1"/>
        <w:jc w:val="both"/>
      </w:pPr>
      <w:r>
        <w:rPr>
          <w:sz w:val="20"/>
        </w:rPr>
        <w:t xml:space="preserve">турбин и газовых двигателей</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2106"/>
        <w:gridCol w:w="2457"/>
        <w:gridCol w:w="2340"/>
        <w:gridCol w:w="1755"/>
      </w:tblGrid>
      <w:tr>
        <w:trPr>
          <w:trHeight w:val="240" w:hRule="atLeast"/>
        </w:trPr>
        <w:tc>
          <w:tcPr>
            <w:tcW w:w="2223" w:type="dxa"/>
          </w:tcPr>
          <w:p>
            <w:pPr>
              <w:pStyle w:val="1"/>
              <w:jc w:val="both"/>
            </w:pPr>
            <w:r>
              <w:rPr>
                <w:sz w:val="20"/>
              </w:rPr>
              <w:t xml:space="preserve">   Совокупная    </w:t>
            </w:r>
          </w:p>
          <w:p>
            <w:pPr>
              <w:pStyle w:val="1"/>
              <w:jc w:val="both"/>
            </w:pPr>
            <w:r>
              <w:rPr>
                <w:sz w:val="20"/>
              </w:rPr>
              <w:t xml:space="preserve">   номинальная   </w:t>
            </w:r>
          </w:p>
          <w:p>
            <w:pPr>
              <w:pStyle w:val="1"/>
              <w:jc w:val="both"/>
            </w:pPr>
            <w:r>
              <w:rPr>
                <w:sz w:val="20"/>
              </w:rPr>
              <w:t xml:space="preserve">    тепловая     </w:t>
            </w:r>
          </w:p>
          <w:p>
            <w:pPr>
              <w:pStyle w:val="1"/>
              <w:jc w:val="both"/>
            </w:pPr>
            <w:r>
              <w:rPr>
                <w:sz w:val="20"/>
              </w:rPr>
              <w:t xml:space="preserve">  мощность (MW)  </w:t>
            </w:r>
          </w:p>
        </w:tc>
        <w:tc>
          <w:tcPr>
            <w:tcW w:w="2574" w:type="dxa"/>
          </w:tcPr>
          <w:p>
            <w:pPr>
              <w:pStyle w:val="1"/>
              <w:jc w:val="both"/>
            </w:pPr>
            <w:r>
              <w:rPr>
                <w:sz w:val="20"/>
              </w:rPr>
              <w:t xml:space="preserve">Уголь и бурый уголь,</w:t>
            </w:r>
          </w:p>
          <w:p>
            <w:pPr>
              <w:pStyle w:val="1"/>
              <w:jc w:val="both"/>
            </w:pPr>
            <w:r>
              <w:rPr>
                <w:sz w:val="20"/>
              </w:rPr>
              <w:t xml:space="preserve">    а также виды    </w:t>
            </w:r>
          </w:p>
          <w:p>
            <w:pPr>
              <w:pStyle w:val="1"/>
              <w:jc w:val="both"/>
            </w:pPr>
            <w:r>
              <w:rPr>
                <w:sz w:val="20"/>
              </w:rPr>
              <w:t xml:space="preserve">  твердого топлива  </w:t>
            </w:r>
          </w:p>
        </w:tc>
        <w:tc>
          <w:tcPr>
            <w:tcW w:w="2457" w:type="dxa"/>
          </w:tcPr>
          <w:p>
            <w:pPr>
              <w:pStyle w:val="1"/>
              <w:jc w:val="both"/>
            </w:pPr>
            <w:r>
              <w:rPr>
                <w:sz w:val="20"/>
              </w:rPr>
              <w:t xml:space="preserve">  Биомасса и торф  </w:t>
            </w:r>
          </w:p>
        </w:tc>
        <w:tc>
          <w:tcPr>
            <w:tcW w:w="1872" w:type="dxa"/>
          </w:tcPr>
          <w:p>
            <w:pPr>
              <w:pStyle w:val="1"/>
              <w:jc w:val="both"/>
            </w:pPr>
            <w:r>
              <w:rPr>
                <w:sz w:val="20"/>
              </w:rPr>
              <w:t xml:space="preserve">    Жидкое    </w:t>
            </w:r>
          </w:p>
          <w:p>
            <w:pPr>
              <w:pStyle w:val="1"/>
              <w:jc w:val="both"/>
            </w:pPr>
            <w:r>
              <w:rPr>
                <w:sz w:val="20"/>
              </w:rPr>
              <w:t xml:space="preserve"> топливо </w:t>
            </w:r>
            <w:hyperlink w:history="0" w:anchor="P1748" w:tooltip="&lt;*&gt; Примечание">
              <w:r>
                <w:rPr>
                  <w:sz w:val="20"/>
                  <w:color w:val="0000ff"/>
                </w:rPr>
                <w:t xml:space="preserve">&lt;*&gt;</w:t>
              </w:r>
            </w:hyperlink>
            <w:r>
              <w:rPr>
                <w:sz w:val="20"/>
              </w:rPr>
            </w:r>
          </w:p>
        </w:tc>
      </w:tr>
      <w:tr>
        <w:trPr>
          <w:trHeight w:val="240" w:hRule="atLeast"/>
        </w:trPr>
        <w:tc>
          <w:tcPr>
            <w:tcW w:w="2223" w:type="dxa"/>
            <w:tcBorders>
              <w:top w:val="nil"/>
            </w:tcBorders>
          </w:tcPr>
          <w:p>
            <w:pPr>
              <w:pStyle w:val="1"/>
              <w:jc w:val="both"/>
            </w:pPr>
            <w:r>
              <w:rPr>
                <w:sz w:val="20"/>
              </w:rPr>
              <w:t xml:space="preserve">         50 - 100</w:t>
            </w:r>
          </w:p>
        </w:tc>
        <w:tc>
          <w:tcPr>
            <w:tcW w:w="2574" w:type="dxa"/>
            <w:tcBorders>
              <w:top w:val="nil"/>
            </w:tcBorders>
          </w:tcPr>
          <w:p>
            <w:pPr>
              <w:pStyle w:val="1"/>
              <w:jc w:val="both"/>
            </w:pPr>
            <w:r>
              <w:rPr>
                <w:sz w:val="20"/>
              </w:rPr>
              <w:t xml:space="preserve">                  30</w:t>
            </w:r>
          </w:p>
        </w:tc>
        <w:tc>
          <w:tcPr>
            <w:tcW w:w="2457" w:type="dxa"/>
            <w:tcBorders>
              <w:top w:val="nil"/>
            </w:tcBorders>
          </w:tcPr>
          <w:p>
            <w:pPr>
              <w:pStyle w:val="1"/>
              <w:jc w:val="both"/>
            </w:pPr>
            <w:r>
              <w:rPr>
                <w:sz w:val="20"/>
              </w:rPr>
              <w:t xml:space="preserve">                 30</w:t>
            </w:r>
          </w:p>
        </w:tc>
        <w:tc>
          <w:tcPr>
            <w:tcW w:w="1872" w:type="dxa"/>
            <w:tcBorders>
              <w:top w:val="nil"/>
            </w:tcBorders>
          </w:tcPr>
          <w:p>
            <w:pPr>
              <w:pStyle w:val="1"/>
              <w:jc w:val="both"/>
            </w:pPr>
            <w:r>
              <w:rPr>
                <w:sz w:val="20"/>
              </w:rPr>
              <w:t xml:space="preserve">            30</w:t>
            </w:r>
          </w:p>
        </w:tc>
      </w:tr>
      <w:tr>
        <w:trPr>
          <w:trHeight w:val="240" w:hRule="atLeast"/>
        </w:trPr>
        <w:tc>
          <w:tcPr>
            <w:tcW w:w="2223" w:type="dxa"/>
            <w:tcBorders>
              <w:top w:val="nil"/>
            </w:tcBorders>
          </w:tcPr>
          <w:p>
            <w:pPr>
              <w:pStyle w:val="1"/>
              <w:jc w:val="both"/>
            </w:pPr>
            <w:r>
              <w:rPr>
                <w:sz w:val="20"/>
              </w:rPr>
              <w:t xml:space="preserve">        100 - 300</w:t>
            </w:r>
          </w:p>
        </w:tc>
        <w:tc>
          <w:tcPr>
            <w:tcW w:w="2574" w:type="dxa"/>
            <w:tcBorders>
              <w:top w:val="nil"/>
            </w:tcBorders>
          </w:tcPr>
          <w:p>
            <w:pPr>
              <w:pStyle w:val="1"/>
              <w:jc w:val="both"/>
            </w:pPr>
            <w:r>
              <w:rPr>
                <w:sz w:val="20"/>
              </w:rPr>
              <w:t xml:space="preserve">                  25</w:t>
            </w:r>
          </w:p>
        </w:tc>
        <w:tc>
          <w:tcPr>
            <w:tcW w:w="2457" w:type="dxa"/>
            <w:tcBorders>
              <w:top w:val="nil"/>
            </w:tcBorders>
          </w:tcPr>
          <w:p>
            <w:pPr>
              <w:pStyle w:val="1"/>
              <w:jc w:val="both"/>
            </w:pPr>
            <w:r>
              <w:rPr>
                <w:sz w:val="20"/>
              </w:rPr>
              <w:t xml:space="preserve">                 20</w:t>
            </w:r>
          </w:p>
        </w:tc>
        <w:tc>
          <w:tcPr>
            <w:tcW w:w="1872" w:type="dxa"/>
            <w:tcBorders>
              <w:top w:val="nil"/>
            </w:tcBorders>
          </w:tcPr>
          <w:p>
            <w:pPr>
              <w:pStyle w:val="1"/>
              <w:jc w:val="both"/>
            </w:pPr>
            <w:r>
              <w:rPr>
                <w:sz w:val="20"/>
              </w:rPr>
              <w:t xml:space="preserve">            25</w:t>
            </w:r>
          </w:p>
        </w:tc>
      </w:tr>
      <w:tr>
        <w:trPr>
          <w:trHeight w:val="240" w:hRule="atLeast"/>
        </w:trPr>
        <w:tc>
          <w:tcPr>
            <w:tcW w:w="2223" w:type="dxa"/>
            <w:tcBorders>
              <w:top w:val="nil"/>
            </w:tcBorders>
          </w:tcPr>
          <w:p>
            <w:pPr>
              <w:pStyle w:val="1"/>
              <w:jc w:val="both"/>
            </w:pPr>
            <w:r>
              <w:rPr>
                <w:sz w:val="20"/>
              </w:rPr>
              <w:t xml:space="preserve">            &gt; 300</w:t>
            </w:r>
          </w:p>
        </w:tc>
        <w:tc>
          <w:tcPr>
            <w:tcW w:w="2574" w:type="dxa"/>
            <w:tcBorders>
              <w:top w:val="nil"/>
            </w:tcBorders>
          </w:tcPr>
          <w:p>
            <w:pPr>
              <w:pStyle w:val="1"/>
              <w:jc w:val="both"/>
            </w:pPr>
            <w:r>
              <w:rPr>
                <w:sz w:val="20"/>
              </w:rPr>
              <w:t xml:space="preserve">                  20</w:t>
            </w:r>
          </w:p>
        </w:tc>
        <w:tc>
          <w:tcPr>
            <w:tcW w:w="2457" w:type="dxa"/>
            <w:tcBorders>
              <w:top w:val="nil"/>
            </w:tcBorders>
          </w:tcPr>
          <w:p>
            <w:pPr>
              <w:pStyle w:val="1"/>
              <w:jc w:val="both"/>
            </w:pPr>
            <w:r>
              <w:rPr>
                <w:sz w:val="20"/>
              </w:rPr>
              <w:t xml:space="preserve">                 20</w:t>
            </w:r>
          </w:p>
        </w:tc>
        <w:tc>
          <w:tcPr>
            <w:tcW w:w="1872" w:type="dxa"/>
            <w:tcBorders>
              <w:top w:val="nil"/>
            </w:tcBorders>
          </w:tcPr>
          <w:p>
            <w:pPr>
              <w:pStyle w:val="1"/>
              <w:jc w:val="both"/>
            </w:pPr>
            <w:r>
              <w:rPr>
                <w:sz w:val="20"/>
              </w:rPr>
              <w:t xml:space="preserve">            20</w:t>
            </w:r>
          </w:p>
        </w:tc>
      </w:tr>
    </w:tbl>
    <w:p>
      <w:pPr>
        <w:pStyle w:val="0"/>
        <w:ind w:firstLine="540"/>
        <w:jc w:val="both"/>
      </w:pPr>
      <w:r>
        <w:rPr>
          <w:sz w:val="20"/>
        </w:rPr>
      </w:r>
    </w:p>
    <w:p>
      <w:pPr>
        <w:pStyle w:val="0"/>
        <w:ind w:firstLine="540"/>
        <w:jc w:val="both"/>
      </w:pPr>
      <w:r>
        <w:rPr>
          <w:sz w:val="20"/>
        </w:rPr>
        <w:t xml:space="preserve">--------------------------------</w:t>
      </w:r>
    </w:p>
    <w:bookmarkStart w:id="1748" w:name="P1748"/>
    <w:bookmarkEnd w:id="1748"/>
    <w:p>
      <w:pPr>
        <w:pStyle w:val="0"/>
        <w:spacing w:before="200" w:line-rule="auto"/>
        <w:ind w:firstLine="540"/>
        <w:jc w:val="both"/>
      </w:pPr>
      <w:r>
        <w:rPr>
          <w:sz w:val="20"/>
        </w:rPr>
        <w:t xml:space="preserve">&lt;*&gt; Примечание</w:t>
      </w:r>
    </w:p>
    <w:p>
      <w:pPr>
        <w:pStyle w:val="1"/>
        <w:spacing w:before="200" w:line-rule="auto"/>
        <w:jc w:val="both"/>
      </w:pPr>
      <w:r>
        <w:rPr>
          <w:sz w:val="20"/>
        </w:rPr>
        <w:t xml:space="preserve">                                                      3</w:t>
      </w:r>
    </w:p>
    <w:p>
      <w:pPr>
        <w:pStyle w:val="1"/>
        <w:jc w:val="both"/>
      </w:pPr>
      <w:r>
        <w:rPr>
          <w:sz w:val="20"/>
        </w:rPr>
        <w:t xml:space="preserve">    Пороговое  значение  выбросов  составляет 50 мг/Nm  при использовании в</w:t>
      </w:r>
    </w:p>
    <w:p>
      <w:pPr>
        <w:pStyle w:val="1"/>
        <w:jc w:val="both"/>
      </w:pPr>
      <w:r>
        <w:rPr>
          <w:sz w:val="20"/>
        </w:rPr>
        <w:t xml:space="preserve">качестве топлива дистилляции и конверсии остатков перегонки сырой нефти для</w:t>
      </w:r>
    </w:p>
    <w:p>
      <w:pPr>
        <w:pStyle w:val="1"/>
        <w:jc w:val="both"/>
      </w:pPr>
      <w:r>
        <w:rPr>
          <w:sz w:val="20"/>
        </w:rPr>
        <w:t xml:space="preserve">собственных  нужд  в заводах по сжиганию, которые получили разрешение до 27</w:t>
      </w:r>
    </w:p>
    <w:p>
      <w:pPr>
        <w:pStyle w:val="1"/>
        <w:jc w:val="both"/>
      </w:pPr>
      <w:r>
        <w:rPr>
          <w:sz w:val="20"/>
        </w:rPr>
        <w:t xml:space="preserve">ноября 2002 г. или операторы которых подали полностью оформленное заявление</w:t>
      </w:r>
    </w:p>
    <w:p>
      <w:pPr>
        <w:pStyle w:val="1"/>
        <w:jc w:val="both"/>
      </w:pPr>
      <w:r>
        <w:rPr>
          <w:sz w:val="20"/>
        </w:rPr>
        <w:t xml:space="preserve">на  выдачу  разрешения  до  указанной  даты,  при условии, что такие заводы</w:t>
      </w:r>
    </w:p>
    <w:p>
      <w:pPr>
        <w:pStyle w:val="1"/>
        <w:jc w:val="both"/>
      </w:pPr>
      <w:r>
        <w:rPr>
          <w:sz w:val="20"/>
        </w:rPr>
        <w:t xml:space="preserve">введены в эксплуатацию не позднее 27 ноября 2003 г.</w:t>
      </w:r>
    </w:p>
    <w:p>
      <w:pPr>
        <w:pStyle w:val="0"/>
        <w:ind w:firstLine="540"/>
        <w:jc w:val="both"/>
      </w:pPr>
      <w:r>
        <w:rPr>
          <w:sz w:val="20"/>
        </w:rPr>
      </w:r>
    </w:p>
    <w:p>
      <w:pPr>
        <w:pStyle w:val="1"/>
        <w:jc w:val="both"/>
      </w:pPr>
      <w:r>
        <w:rPr>
          <w:sz w:val="20"/>
        </w:rPr>
        <w:t xml:space="preserve">                                             3</w:t>
      </w:r>
    </w:p>
    <w:bookmarkStart w:id="1758" w:name="P1758"/>
    <w:bookmarkEnd w:id="1758"/>
    <w:p>
      <w:pPr>
        <w:pStyle w:val="1"/>
        <w:jc w:val="both"/>
      </w:pPr>
      <w:r>
        <w:rPr>
          <w:sz w:val="20"/>
        </w:rPr>
        <w:t xml:space="preserve">    8.  Пороговые  значения  выбросов  (мг/Nm )  для  пыли  для  заводов по</w:t>
      </w:r>
    </w:p>
    <w:p>
      <w:pPr>
        <w:pStyle w:val="1"/>
        <w:jc w:val="both"/>
      </w:pPr>
      <w:r>
        <w:rPr>
          <w:sz w:val="20"/>
        </w:rPr>
        <w:t xml:space="preserve">сжиганию,  использующих газообразное топливо, за исключением газовых турбин</w:t>
      </w:r>
    </w:p>
    <w:p>
      <w:pPr>
        <w:pStyle w:val="1"/>
        <w:jc w:val="both"/>
      </w:pPr>
      <w:r>
        <w:rPr>
          <w:sz w:val="20"/>
        </w:rPr>
        <w:t xml:space="preserve">и газовых двигателей</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6201"/>
        <w:gridCol w:w="2457"/>
      </w:tblGrid>
      <w:tr>
        <w:trPr>
          <w:trHeight w:val="240" w:hRule="atLeast"/>
        </w:trPr>
        <w:tc>
          <w:tcPr>
            <w:tcW w:w="6318" w:type="dxa"/>
          </w:tcPr>
          <w:p>
            <w:pPr>
              <w:pStyle w:val="1"/>
              <w:jc w:val="both"/>
            </w:pPr>
            <w:r>
              <w:rPr>
                <w:sz w:val="20"/>
              </w:rPr>
              <w:t xml:space="preserve">В общем                                             </w:t>
            </w:r>
          </w:p>
        </w:tc>
        <w:tc>
          <w:tcPr>
            <w:tcW w:w="2574" w:type="dxa"/>
          </w:tcPr>
          <w:p>
            <w:pPr>
              <w:pStyle w:val="1"/>
              <w:jc w:val="both"/>
            </w:pPr>
            <w:r>
              <w:rPr>
                <w:sz w:val="20"/>
              </w:rPr>
              <w:t xml:space="preserve">                   5</w:t>
            </w:r>
          </w:p>
        </w:tc>
      </w:tr>
      <w:tr>
        <w:trPr>
          <w:trHeight w:val="240" w:hRule="atLeast"/>
        </w:trPr>
        <w:tc>
          <w:tcPr>
            <w:tcW w:w="6318" w:type="dxa"/>
            <w:tcBorders>
              <w:top w:val="nil"/>
            </w:tcBorders>
          </w:tcPr>
          <w:p>
            <w:pPr>
              <w:pStyle w:val="1"/>
              <w:jc w:val="both"/>
            </w:pPr>
            <w:r>
              <w:rPr>
                <w:sz w:val="20"/>
              </w:rPr>
              <w:t xml:space="preserve">Доменный газ                                        </w:t>
            </w:r>
          </w:p>
        </w:tc>
        <w:tc>
          <w:tcPr>
            <w:tcW w:w="2574" w:type="dxa"/>
            <w:tcBorders>
              <w:top w:val="nil"/>
            </w:tcBorders>
          </w:tcPr>
          <w:p>
            <w:pPr>
              <w:pStyle w:val="1"/>
              <w:jc w:val="both"/>
            </w:pPr>
            <w:r>
              <w:rPr>
                <w:sz w:val="20"/>
              </w:rPr>
              <w:t xml:space="preserve">                  10</w:t>
            </w:r>
          </w:p>
        </w:tc>
      </w:tr>
      <w:tr>
        <w:trPr>
          <w:trHeight w:val="240" w:hRule="atLeast"/>
        </w:trPr>
        <w:tc>
          <w:tcPr>
            <w:tcW w:w="6318" w:type="dxa"/>
            <w:tcBorders>
              <w:top w:val="nil"/>
            </w:tcBorders>
          </w:tcPr>
          <w:p>
            <w:pPr>
              <w:pStyle w:val="1"/>
              <w:jc w:val="both"/>
            </w:pPr>
            <w:r>
              <w:rPr>
                <w:sz w:val="20"/>
              </w:rPr>
              <w:t xml:space="preserve">Газы, образуемые сталелитейной промышленностью,     </w:t>
            </w:r>
          </w:p>
          <w:p>
            <w:pPr>
              <w:pStyle w:val="1"/>
              <w:jc w:val="both"/>
            </w:pPr>
            <w:r>
              <w:rPr>
                <w:sz w:val="20"/>
              </w:rPr>
              <w:t xml:space="preserve">которые могут быть использованы иным образом        </w:t>
            </w:r>
          </w:p>
        </w:tc>
        <w:tc>
          <w:tcPr>
            <w:tcW w:w="2574" w:type="dxa"/>
            <w:tcBorders>
              <w:top w:val="nil"/>
            </w:tcBorders>
          </w:tcPr>
          <w:p>
            <w:pPr>
              <w:pStyle w:val="1"/>
              <w:jc w:val="both"/>
            </w:pPr>
            <w:r>
              <w:rPr>
                <w:sz w:val="20"/>
              </w:rPr>
              <w:t xml:space="preserve">                  30</w:t>
            </w:r>
          </w:p>
        </w:tc>
      </w:tr>
    </w:tbl>
    <w:p>
      <w:pPr>
        <w:pStyle w:val="0"/>
        <w:jc w:val="center"/>
      </w:pPr>
      <w:r>
        <w:rPr>
          <w:sz w:val="20"/>
        </w:rPr>
      </w:r>
    </w:p>
    <w:bookmarkStart w:id="1771" w:name="P1771"/>
    <w:bookmarkEnd w:id="1771"/>
    <w:p>
      <w:pPr>
        <w:pStyle w:val="0"/>
        <w:outlineLvl w:val="1"/>
        <w:jc w:val="center"/>
      </w:pPr>
      <w:r>
        <w:rPr>
          <w:sz w:val="20"/>
        </w:rPr>
        <w:t xml:space="preserve">Часть 2</w:t>
      </w:r>
    </w:p>
    <w:p>
      <w:pPr>
        <w:pStyle w:val="0"/>
        <w:jc w:val="center"/>
      </w:pPr>
      <w:r>
        <w:rPr>
          <w:sz w:val="20"/>
        </w:rPr>
      </w:r>
    </w:p>
    <w:p>
      <w:pPr>
        <w:pStyle w:val="0"/>
        <w:jc w:val="center"/>
      </w:pPr>
      <w:r>
        <w:rPr>
          <w:sz w:val="20"/>
        </w:rPr>
        <w:t xml:space="preserve">Пороговые значения выбросов для заводов по сжиганию,</w:t>
      </w:r>
    </w:p>
    <w:p>
      <w:pPr>
        <w:pStyle w:val="0"/>
        <w:jc w:val="center"/>
      </w:pPr>
      <w:r>
        <w:rPr>
          <w:sz w:val="20"/>
        </w:rPr>
        <w:t xml:space="preserve">перечисленных в </w:t>
      </w:r>
      <w:hyperlink w:history="0" w:anchor="P608" w:tooltip="3. Все разрешения на установки, содержащие заводы по сжиганию, на которые не распространяется действие параграфа 2 настоящей статьи, должны содержать условия, гарантирующие, что выбросы в воздух от таких заводов не превышают пороговые значения выбросов, установленные в части 2 Приложения V к настоящей Директиве.">
        <w:r>
          <w:rPr>
            <w:sz w:val="20"/>
            <w:color w:val="0000ff"/>
          </w:rPr>
          <w:t xml:space="preserve">статье 30 (3)</w:t>
        </w:r>
      </w:hyperlink>
      <w:r>
        <w:rPr>
          <w:sz w:val="20"/>
        </w:rPr>
        <w:t xml:space="preserve"> настоящей Директивы</w:t>
      </w:r>
    </w:p>
    <w:p>
      <w:pPr>
        <w:pStyle w:val="0"/>
        <w:jc w:val="center"/>
      </w:pPr>
      <w:r>
        <w:rPr>
          <w:sz w:val="20"/>
        </w:rPr>
      </w:r>
    </w:p>
    <w:bookmarkStart w:id="1776" w:name="P1776"/>
    <w:bookmarkEnd w:id="1776"/>
    <w:p>
      <w:pPr>
        <w:pStyle w:val="1"/>
        <w:jc w:val="both"/>
      </w:pPr>
      <w:r>
        <w:rPr>
          <w:sz w:val="20"/>
        </w:rPr>
        <w:t xml:space="preserve">    1.  Все  пороговые значения выбросов исчисляются при температуре 273,15</w:t>
      </w:r>
    </w:p>
    <w:p>
      <w:pPr>
        <w:pStyle w:val="1"/>
        <w:jc w:val="both"/>
      </w:pPr>
      <w:r>
        <w:rPr>
          <w:sz w:val="20"/>
        </w:rPr>
        <w:t xml:space="preserve">K,  давлении  101,3  kPa,  после  корректировок  содержания водяного пара в</w:t>
      </w:r>
    </w:p>
    <w:p>
      <w:pPr>
        <w:pStyle w:val="1"/>
        <w:jc w:val="both"/>
      </w:pPr>
      <w:r>
        <w:rPr>
          <w:sz w:val="20"/>
        </w:rPr>
        <w:t xml:space="preserve">отработанных  газах и при стандартном содержании O , равном 6% для твердого</w:t>
      </w:r>
    </w:p>
    <w:p>
      <w:pPr>
        <w:pStyle w:val="1"/>
        <w:jc w:val="both"/>
      </w:pPr>
      <w:r>
        <w:rPr>
          <w:sz w:val="20"/>
        </w:rPr>
        <w:t xml:space="preserve">                                                  2</w:t>
      </w:r>
    </w:p>
    <w:p>
      <w:pPr>
        <w:pStyle w:val="1"/>
        <w:jc w:val="both"/>
      </w:pPr>
      <w:r>
        <w:rPr>
          <w:sz w:val="20"/>
        </w:rPr>
        <w:t xml:space="preserve">топлива,  3%  для  заводов  по  сжиганию,  кроме  газовых  турбин и газовых</w:t>
      </w:r>
    </w:p>
    <w:p>
      <w:pPr>
        <w:pStyle w:val="1"/>
        <w:jc w:val="both"/>
      </w:pPr>
      <w:r>
        <w:rPr>
          <w:sz w:val="20"/>
        </w:rPr>
        <w:t xml:space="preserve">двигателей,  использующих  жидкое и газообразное топливо, и 15% для газовых</w:t>
      </w:r>
    </w:p>
    <w:p>
      <w:pPr>
        <w:pStyle w:val="1"/>
        <w:jc w:val="both"/>
      </w:pPr>
      <w:r>
        <w:rPr>
          <w:sz w:val="20"/>
        </w:rPr>
        <w:t xml:space="preserve">турбин и газовых двигателей.</w:t>
      </w:r>
    </w:p>
    <w:bookmarkStart w:id="1783" w:name="P1783"/>
    <w:bookmarkEnd w:id="1783"/>
    <w:p>
      <w:pPr>
        <w:pStyle w:val="1"/>
        <w:jc w:val="both"/>
      </w:pPr>
      <w:r>
        <w:rPr>
          <w:sz w:val="20"/>
        </w:rPr>
        <w:t xml:space="preserve">    В  отношении  газовых  турбин  комбинированного  цикла с дополнительным</w:t>
      </w:r>
    </w:p>
    <w:p>
      <w:pPr>
        <w:pStyle w:val="1"/>
        <w:jc w:val="both"/>
      </w:pPr>
      <w:r>
        <w:rPr>
          <w:sz w:val="20"/>
        </w:rPr>
        <w:t xml:space="preserve">сжиганием   топлива   стандартное   содержание  O   может  быть  определено</w:t>
      </w:r>
    </w:p>
    <w:p>
      <w:pPr>
        <w:pStyle w:val="1"/>
        <w:jc w:val="both"/>
      </w:pPr>
      <w:r>
        <w:rPr>
          <w:sz w:val="20"/>
        </w:rPr>
        <w:t xml:space="preserve">                                                 2</w:t>
      </w:r>
    </w:p>
    <w:p>
      <w:pPr>
        <w:pStyle w:val="1"/>
        <w:jc w:val="both"/>
      </w:pPr>
      <w:r>
        <w:rPr>
          <w:sz w:val="20"/>
        </w:rPr>
        <w:t xml:space="preserve">компетентным органом с учетом особенностей соответствующей установки.</w:t>
      </w:r>
    </w:p>
    <w:p>
      <w:pPr>
        <w:pStyle w:val="1"/>
        <w:jc w:val="both"/>
      </w:pPr>
      <w:r>
        <w:rPr>
          <w:sz w:val="20"/>
        </w:rPr>
        <w:t xml:space="preserve">                                             3</w:t>
      </w:r>
    </w:p>
    <w:p>
      <w:pPr>
        <w:pStyle w:val="1"/>
        <w:jc w:val="both"/>
      </w:pPr>
      <w:r>
        <w:rPr>
          <w:sz w:val="20"/>
        </w:rPr>
        <w:t xml:space="preserve">    2.  Пороговые  значения  выбросов  (мг/Nm )  для  SO   для  заводов  по</w:t>
      </w:r>
    </w:p>
    <w:p>
      <w:pPr>
        <w:pStyle w:val="1"/>
        <w:jc w:val="both"/>
      </w:pPr>
      <w:r>
        <w:rPr>
          <w:sz w:val="20"/>
        </w:rPr>
        <w:t xml:space="preserve">                                                        2</w:t>
      </w:r>
    </w:p>
    <w:p>
      <w:pPr>
        <w:pStyle w:val="1"/>
        <w:jc w:val="both"/>
      </w:pPr>
      <w:r>
        <w:rPr>
          <w:sz w:val="20"/>
        </w:rPr>
        <w:t xml:space="preserve">сжиганию,  использующих  твердое или жидкое топливо, за исключением газовых</w:t>
      </w:r>
    </w:p>
    <w:p>
      <w:pPr>
        <w:pStyle w:val="1"/>
        <w:jc w:val="both"/>
      </w:pPr>
      <w:r>
        <w:rPr>
          <w:sz w:val="20"/>
        </w:rPr>
        <w:t xml:space="preserve">турбин и газовых двигателей</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1638"/>
        <w:gridCol w:w="2457"/>
        <w:gridCol w:w="1404"/>
        <w:gridCol w:w="1872"/>
        <w:gridCol w:w="1287"/>
      </w:tblGrid>
      <w:tr>
        <w:trPr>
          <w:trHeight w:val="240" w:hRule="atLeast"/>
        </w:trPr>
        <w:tc>
          <w:tcPr>
            <w:tcW w:w="1755" w:type="dxa"/>
          </w:tcPr>
          <w:p>
            <w:pPr>
              <w:pStyle w:val="1"/>
              <w:jc w:val="both"/>
            </w:pPr>
            <w:r>
              <w:rPr>
                <w:sz w:val="20"/>
              </w:rPr>
              <w:t xml:space="preserve"> Совокупная  </w:t>
            </w:r>
          </w:p>
          <w:p>
            <w:pPr>
              <w:pStyle w:val="1"/>
              <w:jc w:val="both"/>
            </w:pPr>
            <w:r>
              <w:rPr>
                <w:sz w:val="20"/>
              </w:rPr>
              <w:t xml:space="preserve"> номинальная </w:t>
            </w:r>
          </w:p>
          <w:p>
            <w:pPr>
              <w:pStyle w:val="1"/>
              <w:jc w:val="both"/>
            </w:pPr>
            <w:r>
              <w:rPr>
                <w:sz w:val="20"/>
              </w:rPr>
              <w:t xml:space="preserve">  тепловая   </w:t>
            </w:r>
          </w:p>
          <w:p>
            <w:pPr>
              <w:pStyle w:val="1"/>
              <w:jc w:val="both"/>
            </w:pPr>
            <w:r>
              <w:rPr>
                <w:sz w:val="20"/>
              </w:rPr>
              <w:t xml:space="preserve">мощность (MW)</w:t>
            </w:r>
          </w:p>
        </w:tc>
        <w:tc>
          <w:tcPr>
            <w:tcW w:w="2574" w:type="dxa"/>
          </w:tcPr>
          <w:p>
            <w:pPr>
              <w:pStyle w:val="1"/>
              <w:jc w:val="both"/>
            </w:pPr>
            <w:r>
              <w:rPr>
                <w:sz w:val="20"/>
              </w:rPr>
              <w:t xml:space="preserve">Уголь и бурый уголь,</w:t>
            </w:r>
          </w:p>
          <w:p>
            <w:pPr>
              <w:pStyle w:val="1"/>
              <w:jc w:val="both"/>
            </w:pPr>
            <w:r>
              <w:rPr>
                <w:sz w:val="20"/>
              </w:rPr>
              <w:t xml:space="preserve">   а также виды     </w:t>
            </w:r>
          </w:p>
          <w:p>
            <w:pPr>
              <w:pStyle w:val="1"/>
              <w:jc w:val="both"/>
            </w:pPr>
            <w:r>
              <w:rPr>
                <w:sz w:val="20"/>
              </w:rPr>
              <w:t xml:space="preserve">  твердого топлива  </w:t>
            </w:r>
          </w:p>
        </w:tc>
        <w:tc>
          <w:tcPr>
            <w:tcW w:w="1521" w:type="dxa"/>
          </w:tcPr>
          <w:p>
            <w:pPr>
              <w:pStyle w:val="1"/>
              <w:jc w:val="both"/>
            </w:pPr>
            <w:r>
              <w:rPr>
                <w:sz w:val="20"/>
              </w:rPr>
              <w:t xml:space="preserve">  Биомасса </w:t>
            </w:r>
          </w:p>
        </w:tc>
        <w:tc>
          <w:tcPr>
            <w:tcW w:w="1989" w:type="dxa"/>
          </w:tcPr>
          <w:p>
            <w:pPr>
              <w:pStyle w:val="1"/>
              <w:jc w:val="both"/>
            </w:pPr>
            <w:r>
              <w:rPr>
                <w:sz w:val="20"/>
              </w:rPr>
              <w:t xml:space="preserve">     Торф      </w:t>
            </w:r>
          </w:p>
        </w:tc>
        <w:tc>
          <w:tcPr>
            <w:tcW w:w="1404" w:type="dxa"/>
          </w:tcPr>
          <w:p>
            <w:pPr>
              <w:pStyle w:val="1"/>
              <w:jc w:val="both"/>
            </w:pPr>
            <w:r>
              <w:rPr>
                <w:sz w:val="20"/>
              </w:rPr>
              <w:t xml:space="preserve">   Жидкое </w:t>
            </w:r>
          </w:p>
          <w:p>
            <w:pPr>
              <w:pStyle w:val="1"/>
              <w:jc w:val="both"/>
            </w:pPr>
            <w:r>
              <w:rPr>
                <w:sz w:val="20"/>
              </w:rPr>
              <w:t xml:space="preserve">  топливо </w:t>
            </w:r>
          </w:p>
        </w:tc>
      </w:tr>
      <w:tr>
        <w:trPr>
          <w:trHeight w:val="240" w:hRule="atLeast"/>
        </w:trPr>
        <w:tc>
          <w:tcPr>
            <w:tcW w:w="1755" w:type="dxa"/>
            <w:tcBorders>
              <w:top w:val="nil"/>
            </w:tcBorders>
          </w:tcPr>
          <w:p>
            <w:pPr>
              <w:pStyle w:val="1"/>
              <w:jc w:val="both"/>
            </w:pPr>
            <w:r>
              <w:rPr>
                <w:sz w:val="20"/>
              </w:rPr>
              <w:t xml:space="preserve">     50 - 100</w:t>
            </w:r>
          </w:p>
        </w:tc>
        <w:tc>
          <w:tcPr>
            <w:tcW w:w="2574" w:type="dxa"/>
            <w:tcBorders>
              <w:top w:val="nil"/>
            </w:tcBorders>
          </w:tcPr>
          <w:p>
            <w:pPr>
              <w:pStyle w:val="1"/>
              <w:jc w:val="both"/>
            </w:pPr>
            <w:r>
              <w:rPr>
                <w:sz w:val="20"/>
              </w:rPr>
              <w:t xml:space="preserve">400                 </w:t>
            </w:r>
          </w:p>
        </w:tc>
        <w:tc>
          <w:tcPr>
            <w:tcW w:w="1521" w:type="dxa"/>
            <w:tcBorders>
              <w:top w:val="nil"/>
            </w:tcBorders>
          </w:tcPr>
          <w:p>
            <w:pPr>
              <w:pStyle w:val="1"/>
              <w:jc w:val="both"/>
            </w:pPr>
            <w:r>
              <w:rPr>
                <w:sz w:val="20"/>
              </w:rPr>
              <w:t xml:space="preserve">        200</w:t>
            </w:r>
          </w:p>
        </w:tc>
        <w:tc>
          <w:tcPr>
            <w:tcW w:w="1989" w:type="dxa"/>
            <w:tcBorders>
              <w:top w:val="nil"/>
            </w:tcBorders>
          </w:tcPr>
          <w:p>
            <w:pPr>
              <w:pStyle w:val="1"/>
              <w:jc w:val="both"/>
            </w:pPr>
            <w:r>
              <w:rPr>
                <w:sz w:val="20"/>
              </w:rPr>
              <w:t xml:space="preserve">300            </w:t>
            </w:r>
          </w:p>
        </w:tc>
        <w:tc>
          <w:tcPr>
            <w:tcW w:w="1404" w:type="dxa"/>
            <w:tcBorders>
              <w:top w:val="nil"/>
            </w:tcBorders>
          </w:tcPr>
          <w:p>
            <w:pPr>
              <w:pStyle w:val="1"/>
              <w:jc w:val="both"/>
            </w:pPr>
            <w:r>
              <w:rPr>
                <w:sz w:val="20"/>
              </w:rPr>
              <w:t xml:space="preserve">       350</w:t>
            </w:r>
          </w:p>
        </w:tc>
      </w:tr>
      <w:tr>
        <w:trPr>
          <w:trHeight w:val="240" w:hRule="atLeast"/>
        </w:trPr>
        <w:tc>
          <w:tcPr>
            <w:tcW w:w="1755" w:type="dxa"/>
            <w:tcBorders>
              <w:top w:val="nil"/>
            </w:tcBorders>
          </w:tcPr>
          <w:p>
            <w:pPr>
              <w:pStyle w:val="1"/>
              <w:jc w:val="both"/>
            </w:pPr>
            <w:r>
              <w:rPr>
                <w:sz w:val="20"/>
              </w:rPr>
              <w:t xml:space="preserve">    100 - 300</w:t>
            </w:r>
          </w:p>
        </w:tc>
        <w:tc>
          <w:tcPr>
            <w:tcW w:w="2574" w:type="dxa"/>
            <w:tcBorders>
              <w:top w:val="nil"/>
            </w:tcBorders>
          </w:tcPr>
          <w:p>
            <w:pPr>
              <w:pStyle w:val="1"/>
              <w:jc w:val="both"/>
            </w:pPr>
            <w:r>
              <w:rPr>
                <w:sz w:val="20"/>
              </w:rPr>
              <w:t xml:space="preserve">200                 </w:t>
            </w:r>
          </w:p>
        </w:tc>
        <w:tc>
          <w:tcPr>
            <w:tcW w:w="1521" w:type="dxa"/>
            <w:tcBorders>
              <w:top w:val="nil"/>
            </w:tcBorders>
          </w:tcPr>
          <w:p>
            <w:pPr>
              <w:pStyle w:val="1"/>
              <w:jc w:val="both"/>
            </w:pPr>
            <w:r>
              <w:rPr>
                <w:sz w:val="20"/>
              </w:rPr>
              <w:t xml:space="preserve">        200</w:t>
            </w:r>
          </w:p>
        </w:tc>
        <w:tc>
          <w:tcPr>
            <w:tcW w:w="1989" w:type="dxa"/>
            <w:tcBorders>
              <w:top w:val="nil"/>
            </w:tcBorders>
          </w:tcPr>
          <w:p>
            <w:pPr>
              <w:pStyle w:val="1"/>
              <w:jc w:val="both"/>
            </w:pPr>
            <w:r>
              <w:rPr>
                <w:sz w:val="20"/>
              </w:rPr>
              <w:t xml:space="preserve">300            </w:t>
            </w:r>
          </w:p>
          <w:p>
            <w:pPr>
              <w:pStyle w:val="1"/>
              <w:jc w:val="both"/>
            </w:pPr>
            <w:r>
              <w:rPr>
                <w:sz w:val="20"/>
              </w:rPr>
              <w:t xml:space="preserve">250 при        </w:t>
            </w:r>
          </w:p>
          <w:p>
            <w:pPr>
              <w:pStyle w:val="1"/>
              <w:jc w:val="both"/>
            </w:pPr>
            <w:r>
              <w:rPr>
                <w:sz w:val="20"/>
              </w:rPr>
              <w:t xml:space="preserve">сжигании в     </w:t>
            </w:r>
          </w:p>
          <w:p>
            <w:pPr>
              <w:pStyle w:val="1"/>
              <w:jc w:val="both"/>
            </w:pPr>
            <w:r>
              <w:rPr>
                <w:sz w:val="20"/>
              </w:rPr>
              <w:t xml:space="preserve">псевдоожиженном</w:t>
            </w:r>
          </w:p>
          <w:p>
            <w:pPr>
              <w:pStyle w:val="1"/>
              <w:jc w:val="both"/>
            </w:pPr>
            <w:r>
              <w:rPr>
                <w:sz w:val="20"/>
              </w:rPr>
              <w:t xml:space="preserve">слое           </w:t>
            </w:r>
          </w:p>
        </w:tc>
        <w:tc>
          <w:tcPr>
            <w:tcW w:w="1404" w:type="dxa"/>
            <w:tcBorders>
              <w:top w:val="nil"/>
            </w:tcBorders>
          </w:tcPr>
          <w:p>
            <w:pPr>
              <w:pStyle w:val="1"/>
              <w:jc w:val="both"/>
            </w:pPr>
            <w:r>
              <w:rPr>
                <w:sz w:val="20"/>
              </w:rPr>
              <w:t xml:space="preserve">       200</w:t>
            </w:r>
          </w:p>
        </w:tc>
      </w:tr>
      <w:tr>
        <w:trPr>
          <w:trHeight w:val="240" w:hRule="atLeast"/>
        </w:trPr>
        <w:tc>
          <w:tcPr>
            <w:tcW w:w="1755" w:type="dxa"/>
            <w:tcBorders>
              <w:top w:val="nil"/>
            </w:tcBorders>
          </w:tcPr>
          <w:p>
            <w:pPr>
              <w:pStyle w:val="1"/>
              <w:jc w:val="both"/>
            </w:pPr>
            <w:r>
              <w:rPr>
                <w:sz w:val="20"/>
              </w:rPr>
              <w:t xml:space="preserve">        &gt; 300</w:t>
            </w:r>
          </w:p>
        </w:tc>
        <w:tc>
          <w:tcPr>
            <w:tcW w:w="2574" w:type="dxa"/>
            <w:tcBorders>
              <w:top w:val="nil"/>
            </w:tcBorders>
          </w:tcPr>
          <w:p>
            <w:pPr>
              <w:pStyle w:val="1"/>
              <w:jc w:val="both"/>
            </w:pPr>
            <w:r>
              <w:rPr>
                <w:sz w:val="20"/>
              </w:rPr>
              <w:t xml:space="preserve">150                 </w:t>
            </w:r>
          </w:p>
          <w:p>
            <w:pPr>
              <w:pStyle w:val="1"/>
              <w:jc w:val="both"/>
            </w:pPr>
            <w:r>
              <w:rPr>
                <w:sz w:val="20"/>
              </w:rPr>
              <w:t xml:space="preserve">200 при сжигании в  </w:t>
            </w:r>
          </w:p>
          <w:p>
            <w:pPr>
              <w:pStyle w:val="1"/>
              <w:jc w:val="both"/>
            </w:pPr>
            <w:r>
              <w:rPr>
                <w:sz w:val="20"/>
              </w:rPr>
              <w:t xml:space="preserve">циркулирующем или   </w:t>
            </w:r>
          </w:p>
          <w:p>
            <w:pPr>
              <w:pStyle w:val="1"/>
              <w:jc w:val="both"/>
            </w:pPr>
            <w:r>
              <w:rPr>
                <w:sz w:val="20"/>
              </w:rPr>
              <w:t xml:space="preserve">находящемся под     </w:t>
            </w:r>
          </w:p>
          <w:p>
            <w:pPr>
              <w:pStyle w:val="1"/>
              <w:jc w:val="both"/>
            </w:pPr>
            <w:r>
              <w:rPr>
                <w:sz w:val="20"/>
              </w:rPr>
              <w:t xml:space="preserve">давлением           </w:t>
            </w:r>
          </w:p>
          <w:p>
            <w:pPr>
              <w:pStyle w:val="1"/>
              <w:jc w:val="both"/>
            </w:pPr>
            <w:r>
              <w:rPr>
                <w:sz w:val="20"/>
              </w:rPr>
              <w:t xml:space="preserve">псевдоожиженном слое</w:t>
            </w:r>
          </w:p>
        </w:tc>
        <w:tc>
          <w:tcPr>
            <w:tcW w:w="1521" w:type="dxa"/>
            <w:tcBorders>
              <w:top w:val="nil"/>
            </w:tcBorders>
          </w:tcPr>
          <w:p>
            <w:pPr>
              <w:pStyle w:val="1"/>
              <w:jc w:val="both"/>
            </w:pPr>
            <w:r>
              <w:rPr>
                <w:sz w:val="20"/>
              </w:rPr>
              <w:t xml:space="preserve">        150</w:t>
            </w:r>
          </w:p>
        </w:tc>
        <w:tc>
          <w:tcPr>
            <w:tcW w:w="1989" w:type="dxa"/>
            <w:tcBorders>
              <w:top w:val="nil"/>
            </w:tcBorders>
          </w:tcPr>
          <w:p>
            <w:pPr>
              <w:pStyle w:val="1"/>
              <w:jc w:val="both"/>
            </w:pPr>
            <w:r>
              <w:rPr>
                <w:sz w:val="20"/>
              </w:rPr>
              <w:t xml:space="preserve">150            </w:t>
            </w:r>
          </w:p>
          <w:p>
            <w:pPr>
              <w:pStyle w:val="1"/>
              <w:jc w:val="both"/>
            </w:pPr>
            <w:r>
              <w:rPr>
                <w:sz w:val="20"/>
              </w:rPr>
              <w:t xml:space="preserve">200 при        </w:t>
            </w:r>
          </w:p>
          <w:p>
            <w:pPr>
              <w:pStyle w:val="1"/>
              <w:jc w:val="both"/>
            </w:pPr>
            <w:r>
              <w:rPr>
                <w:sz w:val="20"/>
              </w:rPr>
              <w:t xml:space="preserve">сжигании в     </w:t>
            </w:r>
          </w:p>
          <w:p>
            <w:pPr>
              <w:pStyle w:val="1"/>
              <w:jc w:val="both"/>
            </w:pPr>
            <w:r>
              <w:rPr>
                <w:sz w:val="20"/>
              </w:rPr>
              <w:t xml:space="preserve">псевдоожиженном</w:t>
            </w:r>
          </w:p>
          <w:p>
            <w:pPr>
              <w:pStyle w:val="1"/>
              <w:jc w:val="both"/>
            </w:pPr>
            <w:r>
              <w:rPr>
                <w:sz w:val="20"/>
              </w:rPr>
              <w:t xml:space="preserve">слое           </w:t>
            </w:r>
          </w:p>
        </w:tc>
        <w:tc>
          <w:tcPr>
            <w:tcW w:w="1404" w:type="dxa"/>
            <w:tcBorders>
              <w:top w:val="nil"/>
            </w:tcBorders>
          </w:tcPr>
          <w:p>
            <w:pPr>
              <w:pStyle w:val="1"/>
              <w:jc w:val="both"/>
            </w:pPr>
            <w:r>
              <w:rPr>
                <w:sz w:val="20"/>
              </w:rPr>
              <w:t xml:space="preserve">       150</w:t>
            </w:r>
          </w:p>
        </w:tc>
      </w:tr>
    </w:tbl>
    <w:p>
      <w:pPr>
        <w:pStyle w:val="0"/>
        <w:ind w:firstLine="540"/>
        <w:jc w:val="both"/>
      </w:pPr>
      <w:r>
        <w:rPr>
          <w:sz w:val="20"/>
        </w:rPr>
      </w:r>
    </w:p>
    <w:p>
      <w:pPr>
        <w:pStyle w:val="1"/>
        <w:jc w:val="both"/>
      </w:pPr>
      <w:r>
        <w:rPr>
          <w:sz w:val="20"/>
        </w:rPr>
        <w:t xml:space="preserve">                                             3</w:t>
      </w:r>
    </w:p>
    <w:bookmarkStart w:id="1816" w:name="P1816"/>
    <w:bookmarkEnd w:id="1816"/>
    <w:p>
      <w:pPr>
        <w:pStyle w:val="1"/>
        <w:jc w:val="both"/>
      </w:pPr>
      <w:r>
        <w:rPr>
          <w:sz w:val="20"/>
        </w:rPr>
        <w:t xml:space="preserve">    3.  Пороговые  значения  выбросов  (мг/Nm )  для  SO   для  заводов  по</w:t>
      </w:r>
    </w:p>
    <w:p>
      <w:pPr>
        <w:pStyle w:val="1"/>
        <w:jc w:val="both"/>
      </w:pPr>
      <w:r>
        <w:rPr>
          <w:sz w:val="20"/>
        </w:rPr>
        <w:t xml:space="preserve">                                                        2</w:t>
      </w:r>
    </w:p>
    <w:p>
      <w:pPr>
        <w:pStyle w:val="1"/>
        <w:jc w:val="both"/>
      </w:pPr>
      <w:r>
        <w:rPr>
          <w:sz w:val="20"/>
        </w:rPr>
        <w:t xml:space="preserve">сжиганию,  использующих газообразное топливо, за исключением газовых турбин</w:t>
      </w:r>
    </w:p>
    <w:p>
      <w:pPr>
        <w:pStyle w:val="1"/>
        <w:jc w:val="both"/>
      </w:pPr>
      <w:r>
        <w:rPr>
          <w:sz w:val="20"/>
        </w:rPr>
        <w:t xml:space="preserve">и газовых двигателей</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6201"/>
        <w:gridCol w:w="2457"/>
      </w:tblGrid>
      <w:tr>
        <w:trPr>
          <w:trHeight w:val="240" w:hRule="atLeast"/>
        </w:trPr>
        <w:tc>
          <w:tcPr>
            <w:tcW w:w="6318" w:type="dxa"/>
          </w:tcPr>
          <w:p>
            <w:pPr>
              <w:pStyle w:val="1"/>
              <w:jc w:val="both"/>
            </w:pPr>
            <w:r>
              <w:rPr>
                <w:sz w:val="20"/>
              </w:rPr>
              <w:t xml:space="preserve">В общем                                             </w:t>
            </w:r>
          </w:p>
        </w:tc>
        <w:tc>
          <w:tcPr>
            <w:tcW w:w="2574" w:type="dxa"/>
          </w:tcPr>
          <w:p>
            <w:pPr>
              <w:pStyle w:val="1"/>
              <w:jc w:val="both"/>
            </w:pPr>
            <w:r>
              <w:rPr>
                <w:sz w:val="20"/>
              </w:rPr>
              <w:t xml:space="preserve">                  35</w:t>
            </w:r>
          </w:p>
        </w:tc>
      </w:tr>
      <w:tr>
        <w:trPr>
          <w:trHeight w:val="240" w:hRule="atLeast"/>
        </w:trPr>
        <w:tc>
          <w:tcPr>
            <w:tcW w:w="6318" w:type="dxa"/>
            <w:tcBorders>
              <w:top w:val="nil"/>
            </w:tcBorders>
          </w:tcPr>
          <w:p>
            <w:pPr>
              <w:pStyle w:val="1"/>
              <w:jc w:val="both"/>
            </w:pPr>
            <w:r>
              <w:rPr>
                <w:sz w:val="20"/>
              </w:rPr>
              <w:t xml:space="preserve">Сжиженный газ                                       </w:t>
            </w:r>
          </w:p>
        </w:tc>
        <w:tc>
          <w:tcPr>
            <w:tcW w:w="2574" w:type="dxa"/>
            <w:tcBorders>
              <w:top w:val="nil"/>
            </w:tcBorders>
          </w:tcPr>
          <w:p>
            <w:pPr>
              <w:pStyle w:val="1"/>
              <w:jc w:val="both"/>
            </w:pPr>
            <w:r>
              <w:rPr>
                <w:sz w:val="20"/>
              </w:rPr>
              <w:t xml:space="preserve">                   5</w:t>
            </w:r>
          </w:p>
        </w:tc>
      </w:tr>
      <w:tr>
        <w:trPr>
          <w:trHeight w:val="240" w:hRule="atLeast"/>
        </w:trPr>
        <w:tc>
          <w:tcPr>
            <w:tcW w:w="6318" w:type="dxa"/>
            <w:tcBorders>
              <w:top w:val="nil"/>
            </w:tcBorders>
          </w:tcPr>
          <w:p>
            <w:pPr>
              <w:pStyle w:val="1"/>
              <w:jc w:val="both"/>
            </w:pPr>
            <w:r>
              <w:rPr>
                <w:sz w:val="20"/>
              </w:rPr>
              <w:t xml:space="preserve">Низкокалорийные газы от коксовых печей              </w:t>
            </w:r>
          </w:p>
        </w:tc>
        <w:tc>
          <w:tcPr>
            <w:tcW w:w="2574" w:type="dxa"/>
            <w:tcBorders>
              <w:top w:val="nil"/>
            </w:tcBorders>
          </w:tcPr>
          <w:p>
            <w:pPr>
              <w:pStyle w:val="1"/>
              <w:jc w:val="both"/>
            </w:pPr>
            <w:r>
              <w:rPr>
                <w:sz w:val="20"/>
              </w:rPr>
              <w:t xml:space="preserve">                 400</w:t>
            </w:r>
          </w:p>
        </w:tc>
      </w:tr>
      <w:tr>
        <w:trPr>
          <w:trHeight w:val="240" w:hRule="atLeast"/>
        </w:trPr>
        <w:tc>
          <w:tcPr>
            <w:tcW w:w="6318" w:type="dxa"/>
            <w:tcBorders>
              <w:top w:val="nil"/>
            </w:tcBorders>
          </w:tcPr>
          <w:p>
            <w:pPr>
              <w:pStyle w:val="1"/>
              <w:jc w:val="both"/>
            </w:pPr>
            <w:r>
              <w:rPr>
                <w:sz w:val="20"/>
              </w:rPr>
              <w:t xml:space="preserve">Низкокалорийные газы от доменных печей              </w:t>
            </w:r>
          </w:p>
        </w:tc>
        <w:tc>
          <w:tcPr>
            <w:tcW w:w="2574" w:type="dxa"/>
            <w:tcBorders>
              <w:top w:val="nil"/>
            </w:tcBorders>
          </w:tcPr>
          <w:p>
            <w:pPr>
              <w:pStyle w:val="1"/>
              <w:jc w:val="both"/>
            </w:pPr>
            <w:r>
              <w:rPr>
                <w:sz w:val="20"/>
              </w:rPr>
              <w:t xml:space="preserve">                 200</w:t>
            </w:r>
          </w:p>
        </w:tc>
      </w:tr>
    </w:tbl>
    <w:p>
      <w:pPr>
        <w:pStyle w:val="0"/>
        <w:ind w:firstLine="540"/>
        <w:jc w:val="both"/>
      </w:pPr>
      <w:r>
        <w:rPr>
          <w:sz w:val="20"/>
        </w:rPr>
      </w:r>
    </w:p>
    <w:p>
      <w:pPr>
        <w:pStyle w:val="1"/>
        <w:jc w:val="both"/>
      </w:pPr>
      <w:r>
        <w:rPr>
          <w:sz w:val="20"/>
        </w:rPr>
        <w:t xml:space="preserve">                                             3</w:t>
      </w:r>
    </w:p>
    <w:bookmarkStart w:id="1832" w:name="P1832"/>
    <w:bookmarkEnd w:id="1832"/>
    <w:p>
      <w:pPr>
        <w:pStyle w:val="1"/>
        <w:jc w:val="both"/>
      </w:pPr>
      <w:r>
        <w:rPr>
          <w:sz w:val="20"/>
        </w:rPr>
        <w:t xml:space="preserve">    4.  Пороговые  значения  выбросов  (мг/Nm )  для  NO   для  заводов  по</w:t>
      </w:r>
    </w:p>
    <w:p>
      <w:pPr>
        <w:pStyle w:val="1"/>
        <w:jc w:val="both"/>
      </w:pPr>
      <w:r>
        <w:rPr>
          <w:sz w:val="20"/>
        </w:rPr>
        <w:t xml:space="preserve">                                                        x</w:t>
      </w:r>
    </w:p>
    <w:p>
      <w:pPr>
        <w:pStyle w:val="1"/>
        <w:jc w:val="both"/>
      </w:pPr>
      <w:r>
        <w:rPr>
          <w:sz w:val="20"/>
        </w:rPr>
        <w:t xml:space="preserve">сжиганию,  использующих  твердое или жидкое топливо, за исключением газовых</w:t>
      </w:r>
    </w:p>
    <w:p>
      <w:pPr>
        <w:pStyle w:val="1"/>
        <w:jc w:val="both"/>
      </w:pPr>
      <w:r>
        <w:rPr>
          <w:sz w:val="20"/>
        </w:rPr>
        <w:t xml:space="preserve">турбин и газовых двигателей</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2106"/>
        <w:gridCol w:w="2925"/>
        <w:gridCol w:w="1872"/>
        <w:gridCol w:w="1755"/>
      </w:tblGrid>
      <w:tr>
        <w:trPr>
          <w:trHeight w:val="240" w:hRule="atLeast"/>
        </w:trPr>
        <w:tc>
          <w:tcPr>
            <w:tcW w:w="2223" w:type="dxa"/>
          </w:tcPr>
          <w:p>
            <w:pPr>
              <w:pStyle w:val="1"/>
              <w:jc w:val="both"/>
            </w:pPr>
            <w:r>
              <w:rPr>
                <w:sz w:val="20"/>
              </w:rPr>
              <w:t xml:space="preserve">   Совокупная    </w:t>
            </w:r>
          </w:p>
          <w:p>
            <w:pPr>
              <w:pStyle w:val="1"/>
              <w:jc w:val="both"/>
            </w:pPr>
            <w:r>
              <w:rPr>
                <w:sz w:val="20"/>
              </w:rPr>
              <w:t xml:space="preserve">   номинальная   </w:t>
            </w:r>
          </w:p>
          <w:p>
            <w:pPr>
              <w:pStyle w:val="1"/>
              <w:jc w:val="both"/>
            </w:pPr>
            <w:r>
              <w:rPr>
                <w:sz w:val="20"/>
              </w:rPr>
              <w:t xml:space="preserve">    тепловая     </w:t>
            </w:r>
          </w:p>
          <w:p>
            <w:pPr>
              <w:pStyle w:val="1"/>
              <w:jc w:val="both"/>
            </w:pPr>
            <w:r>
              <w:rPr>
                <w:sz w:val="20"/>
              </w:rPr>
              <w:t xml:space="preserve">  мощность (MW)  </w:t>
            </w:r>
          </w:p>
        </w:tc>
        <w:tc>
          <w:tcPr>
            <w:tcW w:w="3042" w:type="dxa"/>
          </w:tcPr>
          <w:p>
            <w:pPr>
              <w:pStyle w:val="1"/>
              <w:jc w:val="both"/>
            </w:pPr>
            <w:r>
              <w:rPr>
                <w:sz w:val="20"/>
              </w:rPr>
              <w:t xml:space="preserve"> Уголь и бурый уголь, а </w:t>
            </w:r>
          </w:p>
          <w:p>
            <w:pPr>
              <w:pStyle w:val="1"/>
              <w:jc w:val="both"/>
            </w:pPr>
            <w:r>
              <w:rPr>
                <w:sz w:val="20"/>
              </w:rPr>
              <w:t xml:space="preserve">  также виды твердого   </w:t>
            </w:r>
          </w:p>
          <w:p>
            <w:pPr>
              <w:pStyle w:val="1"/>
              <w:jc w:val="both"/>
            </w:pPr>
            <w:r>
              <w:rPr>
                <w:sz w:val="20"/>
              </w:rPr>
              <w:t xml:space="preserve">        топлива         </w:t>
            </w:r>
          </w:p>
        </w:tc>
        <w:tc>
          <w:tcPr>
            <w:tcW w:w="1989" w:type="dxa"/>
          </w:tcPr>
          <w:p>
            <w:pPr>
              <w:pStyle w:val="1"/>
              <w:jc w:val="both"/>
            </w:pPr>
            <w:r>
              <w:rPr>
                <w:sz w:val="20"/>
              </w:rPr>
              <w:t xml:space="preserve">  Биомасса и   </w:t>
            </w:r>
          </w:p>
          <w:p>
            <w:pPr>
              <w:pStyle w:val="1"/>
              <w:jc w:val="both"/>
            </w:pPr>
            <w:r>
              <w:rPr>
                <w:sz w:val="20"/>
              </w:rPr>
              <w:t xml:space="preserve">     торф      </w:t>
            </w:r>
          </w:p>
        </w:tc>
        <w:tc>
          <w:tcPr>
            <w:tcW w:w="1872" w:type="dxa"/>
          </w:tcPr>
          <w:p>
            <w:pPr>
              <w:pStyle w:val="1"/>
              <w:jc w:val="both"/>
            </w:pPr>
            <w:r>
              <w:rPr>
                <w:sz w:val="20"/>
              </w:rPr>
              <w:t xml:space="preserve">    Жидкое    </w:t>
            </w:r>
          </w:p>
          <w:p>
            <w:pPr>
              <w:pStyle w:val="1"/>
              <w:jc w:val="both"/>
            </w:pPr>
            <w:r>
              <w:rPr>
                <w:sz w:val="20"/>
              </w:rPr>
              <w:t xml:space="preserve">   топливо    </w:t>
            </w:r>
          </w:p>
        </w:tc>
      </w:tr>
      <w:tr>
        <w:trPr>
          <w:trHeight w:val="240" w:hRule="atLeast"/>
        </w:trPr>
        <w:tc>
          <w:tcPr>
            <w:tcW w:w="2223" w:type="dxa"/>
            <w:tcBorders>
              <w:top w:val="nil"/>
            </w:tcBorders>
          </w:tcPr>
          <w:p>
            <w:pPr>
              <w:pStyle w:val="1"/>
              <w:jc w:val="both"/>
            </w:pPr>
            <w:r>
              <w:rPr>
                <w:sz w:val="20"/>
              </w:rPr>
              <w:t xml:space="preserve">         50 - 100</w:t>
            </w:r>
          </w:p>
        </w:tc>
        <w:tc>
          <w:tcPr>
            <w:tcW w:w="3042" w:type="dxa"/>
            <w:tcBorders>
              <w:top w:val="nil"/>
            </w:tcBorders>
          </w:tcPr>
          <w:p>
            <w:pPr>
              <w:pStyle w:val="1"/>
              <w:jc w:val="both"/>
            </w:pPr>
            <w:r>
              <w:rPr>
                <w:sz w:val="20"/>
              </w:rPr>
              <w:t xml:space="preserve">300                     </w:t>
            </w:r>
          </w:p>
          <w:p>
            <w:pPr>
              <w:pStyle w:val="1"/>
              <w:jc w:val="both"/>
            </w:pPr>
            <w:r>
              <w:rPr>
                <w:sz w:val="20"/>
              </w:rPr>
              <w:t xml:space="preserve">400 при сжигании        </w:t>
            </w:r>
          </w:p>
          <w:p>
            <w:pPr>
              <w:pStyle w:val="1"/>
              <w:jc w:val="both"/>
            </w:pPr>
            <w:r>
              <w:rPr>
                <w:sz w:val="20"/>
              </w:rPr>
              <w:t xml:space="preserve">пульверизированного     </w:t>
            </w:r>
          </w:p>
          <w:p>
            <w:pPr>
              <w:pStyle w:val="1"/>
              <w:jc w:val="both"/>
            </w:pPr>
            <w:r>
              <w:rPr>
                <w:sz w:val="20"/>
              </w:rPr>
              <w:t xml:space="preserve">бурого угля             </w:t>
            </w:r>
          </w:p>
        </w:tc>
        <w:tc>
          <w:tcPr>
            <w:tcW w:w="1989" w:type="dxa"/>
            <w:tcBorders>
              <w:top w:val="nil"/>
            </w:tcBorders>
          </w:tcPr>
          <w:p>
            <w:pPr>
              <w:pStyle w:val="1"/>
              <w:jc w:val="both"/>
            </w:pPr>
            <w:r>
              <w:rPr>
                <w:sz w:val="20"/>
              </w:rPr>
              <w:t xml:space="preserve">            250</w:t>
            </w:r>
          </w:p>
        </w:tc>
        <w:tc>
          <w:tcPr>
            <w:tcW w:w="1872" w:type="dxa"/>
            <w:tcBorders>
              <w:top w:val="nil"/>
            </w:tcBorders>
          </w:tcPr>
          <w:p>
            <w:pPr>
              <w:pStyle w:val="1"/>
              <w:jc w:val="both"/>
            </w:pPr>
            <w:r>
              <w:rPr>
                <w:sz w:val="20"/>
              </w:rPr>
              <w:t xml:space="preserve">           300</w:t>
            </w:r>
          </w:p>
        </w:tc>
      </w:tr>
      <w:tr>
        <w:trPr>
          <w:trHeight w:val="240" w:hRule="atLeast"/>
        </w:trPr>
        <w:tc>
          <w:tcPr>
            <w:tcW w:w="2223" w:type="dxa"/>
            <w:tcBorders>
              <w:top w:val="nil"/>
            </w:tcBorders>
          </w:tcPr>
          <w:p>
            <w:pPr>
              <w:pStyle w:val="1"/>
              <w:jc w:val="both"/>
            </w:pPr>
            <w:r>
              <w:rPr>
                <w:sz w:val="20"/>
              </w:rPr>
              <w:t xml:space="preserve">        100 - 300</w:t>
            </w:r>
          </w:p>
        </w:tc>
        <w:tc>
          <w:tcPr>
            <w:tcW w:w="3042" w:type="dxa"/>
            <w:tcBorders>
              <w:top w:val="nil"/>
            </w:tcBorders>
          </w:tcPr>
          <w:p>
            <w:pPr>
              <w:pStyle w:val="1"/>
              <w:jc w:val="both"/>
            </w:pPr>
            <w:r>
              <w:rPr>
                <w:sz w:val="20"/>
              </w:rPr>
              <w:t xml:space="preserve">200                     </w:t>
            </w:r>
          </w:p>
        </w:tc>
        <w:tc>
          <w:tcPr>
            <w:tcW w:w="1989" w:type="dxa"/>
            <w:tcBorders>
              <w:top w:val="nil"/>
            </w:tcBorders>
          </w:tcPr>
          <w:p>
            <w:pPr>
              <w:pStyle w:val="1"/>
              <w:jc w:val="both"/>
            </w:pPr>
            <w:r>
              <w:rPr>
                <w:sz w:val="20"/>
              </w:rPr>
              <w:t xml:space="preserve">            200</w:t>
            </w:r>
          </w:p>
        </w:tc>
        <w:tc>
          <w:tcPr>
            <w:tcW w:w="1872" w:type="dxa"/>
            <w:tcBorders>
              <w:top w:val="nil"/>
            </w:tcBorders>
          </w:tcPr>
          <w:p>
            <w:pPr>
              <w:pStyle w:val="1"/>
              <w:jc w:val="both"/>
            </w:pPr>
            <w:r>
              <w:rPr>
                <w:sz w:val="20"/>
              </w:rPr>
              <w:t xml:space="preserve">           150</w:t>
            </w:r>
          </w:p>
        </w:tc>
      </w:tr>
      <w:tr>
        <w:trPr>
          <w:trHeight w:val="240" w:hRule="atLeast"/>
        </w:trPr>
        <w:tc>
          <w:tcPr>
            <w:tcW w:w="2223" w:type="dxa"/>
            <w:tcBorders>
              <w:top w:val="nil"/>
            </w:tcBorders>
          </w:tcPr>
          <w:p>
            <w:pPr>
              <w:pStyle w:val="1"/>
              <w:jc w:val="both"/>
            </w:pPr>
            <w:r>
              <w:rPr>
                <w:sz w:val="20"/>
              </w:rPr>
              <w:t xml:space="preserve">            &gt; 300</w:t>
            </w:r>
          </w:p>
        </w:tc>
        <w:tc>
          <w:tcPr>
            <w:tcW w:w="3042" w:type="dxa"/>
            <w:tcBorders>
              <w:top w:val="nil"/>
            </w:tcBorders>
          </w:tcPr>
          <w:p>
            <w:pPr>
              <w:pStyle w:val="1"/>
              <w:jc w:val="both"/>
            </w:pPr>
            <w:r>
              <w:rPr>
                <w:sz w:val="20"/>
              </w:rPr>
              <w:t xml:space="preserve">150                     </w:t>
            </w:r>
          </w:p>
          <w:p>
            <w:pPr>
              <w:pStyle w:val="1"/>
              <w:jc w:val="both"/>
            </w:pPr>
            <w:r>
              <w:rPr>
                <w:sz w:val="20"/>
              </w:rPr>
              <w:t xml:space="preserve">200 при сжигании        </w:t>
            </w:r>
          </w:p>
          <w:p>
            <w:pPr>
              <w:pStyle w:val="1"/>
              <w:jc w:val="both"/>
            </w:pPr>
            <w:r>
              <w:rPr>
                <w:sz w:val="20"/>
              </w:rPr>
              <w:t xml:space="preserve">пульверизированного     </w:t>
            </w:r>
          </w:p>
          <w:p>
            <w:pPr>
              <w:pStyle w:val="1"/>
              <w:jc w:val="both"/>
            </w:pPr>
            <w:r>
              <w:rPr>
                <w:sz w:val="20"/>
              </w:rPr>
              <w:t xml:space="preserve">бурого угля             </w:t>
            </w:r>
          </w:p>
        </w:tc>
        <w:tc>
          <w:tcPr>
            <w:tcW w:w="1989" w:type="dxa"/>
            <w:tcBorders>
              <w:top w:val="nil"/>
            </w:tcBorders>
          </w:tcPr>
          <w:p>
            <w:pPr>
              <w:pStyle w:val="1"/>
              <w:jc w:val="both"/>
            </w:pPr>
            <w:r>
              <w:rPr>
                <w:sz w:val="20"/>
              </w:rPr>
              <w:t xml:space="preserve">            150</w:t>
            </w:r>
          </w:p>
        </w:tc>
        <w:tc>
          <w:tcPr>
            <w:tcW w:w="1872" w:type="dxa"/>
            <w:tcBorders>
              <w:top w:val="nil"/>
            </w:tcBorders>
          </w:tcPr>
          <w:p>
            <w:pPr>
              <w:pStyle w:val="1"/>
              <w:jc w:val="both"/>
            </w:pPr>
            <w:r>
              <w:rPr>
                <w:sz w:val="20"/>
              </w:rPr>
              <w:t xml:space="preserve">           100</w:t>
            </w:r>
          </w:p>
        </w:tc>
      </w:tr>
    </w:tbl>
    <w:p>
      <w:pPr>
        <w:pStyle w:val="0"/>
        <w:ind w:firstLine="540"/>
        <w:jc w:val="both"/>
      </w:pPr>
      <w:r>
        <w:rPr>
          <w:sz w:val="20"/>
        </w:rPr>
      </w:r>
    </w:p>
    <w:bookmarkStart w:id="1856" w:name="P1856"/>
    <w:bookmarkEnd w:id="1856"/>
    <w:p>
      <w:pPr>
        <w:pStyle w:val="1"/>
        <w:jc w:val="both"/>
      </w:pPr>
      <w:r>
        <w:rPr>
          <w:sz w:val="20"/>
        </w:rPr>
        <w:t xml:space="preserve">    5. На газовые турбины (в том числе CCGT), использующие легкие и средние</w:t>
      </w:r>
    </w:p>
    <w:p>
      <w:pPr>
        <w:pStyle w:val="1"/>
        <w:jc w:val="both"/>
      </w:pPr>
      <w:r>
        <w:rPr>
          <w:sz w:val="20"/>
        </w:rPr>
        <w:t xml:space="preserve">дистилляты  в качестве жидкого топлива, распространяется пороговое значение</w:t>
      </w:r>
    </w:p>
    <w:p>
      <w:pPr>
        <w:pStyle w:val="1"/>
        <w:jc w:val="both"/>
      </w:pPr>
      <w:r>
        <w:rPr>
          <w:sz w:val="20"/>
        </w:rPr>
        <w:t xml:space="preserve">                                 3                             3</w:t>
      </w:r>
    </w:p>
    <w:p>
      <w:pPr>
        <w:pStyle w:val="1"/>
        <w:jc w:val="both"/>
      </w:pPr>
      <w:r>
        <w:rPr>
          <w:sz w:val="20"/>
        </w:rPr>
        <w:t xml:space="preserve">выбросов для NO , равное 50 мг/Nm , а для CO - равное 100 мг/Nm .</w:t>
      </w:r>
    </w:p>
    <w:p>
      <w:pPr>
        <w:pStyle w:val="1"/>
        <w:jc w:val="both"/>
      </w:pPr>
      <w:r>
        <w:rPr>
          <w:sz w:val="20"/>
        </w:rPr>
        <w:t xml:space="preserve">               x</w:t>
      </w:r>
    </w:p>
    <w:p>
      <w:pPr>
        <w:pStyle w:val="0"/>
        <w:ind w:firstLine="540"/>
        <w:jc w:val="both"/>
      </w:pPr>
      <w:r>
        <w:rPr>
          <w:sz w:val="20"/>
        </w:rPr>
        <w:t xml:space="preserve">На газовые турбины, предназначенные для аварийного использования, которые функционируют менее 500 часов в год, не распространяются пороговые значения выбросов, установленные настоящим пунктом. Оператор таких заводов должен фиксировать часы функционирования.</w:t>
      </w:r>
    </w:p>
    <w:p>
      <w:pPr>
        <w:pStyle w:val="1"/>
        <w:spacing w:before="200" w:line-rule="auto"/>
        <w:jc w:val="both"/>
      </w:pPr>
      <w:r>
        <w:rPr>
          <w:sz w:val="20"/>
        </w:rPr>
        <w:t xml:space="preserve">                                             3</w:t>
      </w:r>
    </w:p>
    <w:bookmarkStart w:id="1863" w:name="P1863"/>
    <w:bookmarkEnd w:id="1863"/>
    <w:p>
      <w:pPr>
        <w:pStyle w:val="1"/>
        <w:jc w:val="both"/>
      </w:pPr>
      <w:r>
        <w:rPr>
          <w:sz w:val="20"/>
        </w:rPr>
        <w:t xml:space="preserve">    6.  Пороговые  значения  выбросов  (мг/Nm ) для NO  и CO для заводов по</w:t>
      </w:r>
    </w:p>
    <w:p>
      <w:pPr>
        <w:pStyle w:val="1"/>
        <w:jc w:val="both"/>
      </w:pPr>
      <w:r>
        <w:rPr>
          <w:sz w:val="20"/>
        </w:rPr>
        <w:t xml:space="preserve">                                                      x</w:t>
      </w:r>
    </w:p>
    <w:p>
      <w:pPr>
        <w:pStyle w:val="1"/>
        <w:jc w:val="both"/>
      </w:pPr>
      <w:r>
        <w:rPr>
          <w:sz w:val="20"/>
        </w:rPr>
        <w:t xml:space="preserve">сжиганию, сжигающих газы</w:t>
      </w:r>
    </w:p>
    <w:p>
      <w:pPr>
        <w:pStyle w:val="0"/>
        <w:ind w:firstLine="540"/>
        <w:jc w:val="both"/>
      </w:pPr>
      <w:r>
        <w:rPr>
          <w:sz w:val="20"/>
        </w:rPr>
      </w:r>
    </w:p>
    <w:p>
      <w:pPr>
        <w:pStyle w:val="3"/>
        <w:jc w:val="both"/>
      </w:pPr>
      <w:r>
        <w:rPr>
          <w:sz w:val="20"/>
        </w:rPr>
        <w:t xml:space="preserve">┌───────────────────────────────────────────┬──────────────┬──────────────┐</w:t>
      </w:r>
    </w:p>
    <w:p>
      <w:pPr>
        <w:pStyle w:val="3"/>
        <w:jc w:val="both"/>
      </w:pPr>
      <w:r>
        <w:rPr>
          <w:sz w:val="20"/>
        </w:rPr>
        <w:t xml:space="preserve">│                                           │      NO      │      CO      │</w:t>
      </w:r>
    </w:p>
    <w:p>
      <w:pPr>
        <w:pStyle w:val="3"/>
        <w:jc w:val="both"/>
      </w:pPr>
      <w:r>
        <w:rPr>
          <w:sz w:val="20"/>
        </w:rPr>
        <w:t xml:space="preserve">│                                           │        x     │              │</w:t>
      </w:r>
    </w:p>
    <w:p>
      <w:pPr>
        <w:pStyle w:val="3"/>
        <w:jc w:val="both"/>
      </w:pPr>
      <w:r>
        <w:rPr>
          <w:sz w:val="20"/>
        </w:rPr>
        <w:t xml:space="preserve">├───────────────────────────────────────────┼──────────────┼──────────────┤</w:t>
      </w:r>
    </w:p>
    <w:p>
      <w:pPr>
        <w:pStyle w:val="3"/>
        <w:jc w:val="both"/>
      </w:pPr>
      <w:r>
        <w:rPr>
          <w:sz w:val="20"/>
        </w:rPr>
        <w:t xml:space="preserve">│Заводы по сжиганию, за исключением газовых │       100    │           100│</w:t>
      </w:r>
    </w:p>
    <w:p>
      <w:pPr>
        <w:pStyle w:val="3"/>
        <w:jc w:val="both"/>
      </w:pPr>
      <w:r>
        <w:rPr>
          <w:sz w:val="20"/>
        </w:rPr>
        <w:t xml:space="preserve">│турбин и газовых двигателей                │              │              │</w:t>
      </w:r>
    </w:p>
    <w:p>
      <w:pPr>
        <w:pStyle w:val="3"/>
        <w:jc w:val="both"/>
      </w:pPr>
      <w:r>
        <w:rPr>
          <w:sz w:val="20"/>
        </w:rPr>
        <w:t xml:space="preserve">├───────────────────────────────────────────┼──────────────┼──────────────┤</w:t>
      </w:r>
    </w:p>
    <w:p>
      <w:pPr>
        <w:pStyle w:val="3"/>
        <w:jc w:val="both"/>
      </w:pPr>
      <w:r>
        <w:rPr>
          <w:sz w:val="20"/>
        </w:rPr>
        <w:t xml:space="preserve">│Газовые турбины (в том числе CCGT)         │        50 </w:t>
      </w:r>
      <w:hyperlink w:history="0" w:anchor="P1880" w:tooltip="    &lt;*&gt;  Для  газовых  турбин простого цикла, имеющих коэффициент полезного">
        <w:r>
          <w:rPr>
            <w:sz w:val="20"/>
            <w:color w:val="0000ff"/>
          </w:rPr>
          <w:t xml:space="preserve">&lt;*&gt;</w:t>
        </w:r>
      </w:hyperlink>
      <w:r>
        <w:rPr>
          <w:sz w:val="20"/>
        </w:rPr>
        <w:t xml:space="preserve">│           100│</w:t>
      </w:r>
    </w:p>
    <w:p>
      <w:pPr>
        <w:pStyle w:val="3"/>
        <w:jc w:val="both"/>
      </w:pPr>
      <w:r>
        <w:rPr>
          <w:sz w:val="20"/>
        </w:rPr>
        <w:t xml:space="preserve">├───────────────────────────────────────────┼──────────────┼──────────────┤</w:t>
      </w:r>
    </w:p>
    <w:p>
      <w:pPr>
        <w:pStyle w:val="3"/>
        <w:jc w:val="both"/>
      </w:pPr>
      <w:r>
        <w:rPr>
          <w:sz w:val="20"/>
        </w:rPr>
        <w:t xml:space="preserve">│Газовые двигатели                          │        75    │           100│</w:t>
      </w:r>
    </w:p>
    <w:p>
      <w:pPr>
        <w:pStyle w:val="3"/>
        <w:jc w:val="both"/>
      </w:pPr>
      <w:r>
        <w:rPr>
          <w:sz w:val="20"/>
        </w:rPr>
        <w:t xml:space="preserve">└───────────────────────────────────────────┴──────────────┴──────────────┘</w:t>
      </w:r>
    </w:p>
    <w:p>
      <w:pPr>
        <w:pStyle w:val="0"/>
        <w:ind w:firstLine="540"/>
        <w:jc w:val="both"/>
      </w:pPr>
      <w:r>
        <w:rPr>
          <w:sz w:val="20"/>
        </w:rPr>
      </w:r>
    </w:p>
    <w:p>
      <w:pPr>
        <w:pStyle w:val="0"/>
        <w:ind w:firstLine="540"/>
        <w:jc w:val="both"/>
      </w:pPr>
      <w:r>
        <w:rPr>
          <w:sz w:val="20"/>
        </w:rPr>
        <w:t xml:space="preserve">Примечание</w:t>
      </w:r>
    </w:p>
    <w:bookmarkStart w:id="1880" w:name="P1880"/>
    <w:bookmarkEnd w:id="1880"/>
    <w:p>
      <w:pPr>
        <w:pStyle w:val="1"/>
        <w:spacing w:before="200" w:line-rule="auto"/>
        <w:jc w:val="both"/>
      </w:pPr>
      <w:r>
        <w:rPr>
          <w:sz w:val="20"/>
        </w:rPr>
        <w:t xml:space="preserve">    &lt;*&gt;  Для  газовых  турбин простого цикла, имеющих коэффициент полезного</w:t>
      </w:r>
    </w:p>
    <w:p>
      <w:pPr>
        <w:pStyle w:val="1"/>
        <w:jc w:val="both"/>
      </w:pPr>
      <w:r>
        <w:rPr>
          <w:sz w:val="20"/>
        </w:rPr>
        <w:t xml:space="preserve">действия  более  35%,  определяемый  на  основе  базового  режима  работы в</w:t>
      </w:r>
    </w:p>
    <w:p>
      <w:pPr>
        <w:pStyle w:val="1"/>
        <w:jc w:val="both"/>
      </w:pPr>
      <w:r>
        <w:rPr>
          <w:sz w:val="20"/>
        </w:rPr>
        <w:t xml:space="preserve">соответствии   с  ISO,  пороговое  значение  выбросов  для  NO   составляет</w:t>
      </w:r>
    </w:p>
    <w:p>
      <w:pPr>
        <w:pStyle w:val="1"/>
        <w:jc w:val="both"/>
      </w:pPr>
      <w:r>
        <w:rPr>
          <w:sz w:val="20"/>
        </w:rPr>
        <w:t xml:space="preserve">                                                              x</w:t>
      </w:r>
    </w:p>
    <w:p>
      <w:pPr>
        <w:pStyle w:val="1"/>
        <w:jc w:val="both"/>
      </w:pPr>
      <w:r>
        <w:rPr>
          <w:sz w:val="20"/>
        </w:rPr>
        <w:t xml:space="preserve">50xэта/35,  где  эта  -  коэффициент полезного  действия  газовой  турбины,</w:t>
      </w:r>
    </w:p>
    <w:p>
      <w:pPr>
        <w:pStyle w:val="1"/>
        <w:jc w:val="both"/>
      </w:pPr>
      <w:r>
        <w:rPr>
          <w:sz w:val="20"/>
        </w:rPr>
        <w:t xml:space="preserve">определяемый  на  основе  базового  режима  работы  в  соответствии с ISO и</w:t>
      </w:r>
    </w:p>
    <w:p>
      <w:pPr>
        <w:pStyle w:val="1"/>
        <w:jc w:val="both"/>
      </w:pPr>
      <w:r>
        <w:rPr>
          <w:sz w:val="20"/>
        </w:rPr>
        <w:t xml:space="preserve">выраженный в процентах.</w:t>
      </w:r>
    </w:p>
    <w:p>
      <w:pPr>
        <w:pStyle w:val="0"/>
        <w:ind w:firstLine="540"/>
        <w:jc w:val="both"/>
      </w:pPr>
      <w:r>
        <w:rPr>
          <w:sz w:val="20"/>
        </w:rPr>
      </w:r>
    </w:p>
    <w:p>
      <w:pPr>
        <w:pStyle w:val="1"/>
        <w:jc w:val="both"/>
      </w:pPr>
      <w:r>
        <w:rPr>
          <w:sz w:val="20"/>
        </w:rPr>
        <w:t xml:space="preserve">    В  отношении  газовых  турбин  (в  том  числе  CCGT) пороговые значения</w:t>
      </w:r>
    </w:p>
    <w:p>
      <w:pPr>
        <w:pStyle w:val="1"/>
        <w:jc w:val="both"/>
      </w:pPr>
      <w:r>
        <w:rPr>
          <w:sz w:val="20"/>
        </w:rPr>
        <w:t xml:space="preserve">выбросов  для NO  и CO, установленные настоящим </w:t>
      </w:r>
      <w:hyperlink w:history="0" w:anchor="P1863" w:tooltip="    6.  Пороговые  значения  выбросов  (мг/Nm ) для NO  и CO для заводов по">
        <w:r>
          <w:rPr>
            <w:sz w:val="20"/>
            <w:color w:val="0000ff"/>
          </w:rPr>
          <w:t xml:space="preserve">пунктом</w:t>
        </w:r>
      </w:hyperlink>
      <w:r>
        <w:rPr>
          <w:sz w:val="20"/>
        </w:rPr>
        <w:t xml:space="preserve">, применяются только</w:t>
      </w:r>
    </w:p>
    <w:p>
      <w:pPr>
        <w:pStyle w:val="1"/>
        <w:jc w:val="both"/>
      </w:pPr>
      <w:r>
        <w:rPr>
          <w:sz w:val="20"/>
        </w:rPr>
        <w:t xml:space="preserve">                x</w:t>
      </w:r>
    </w:p>
    <w:p>
      <w:pPr>
        <w:pStyle w:val="1"/>
        <w:jc w:val="both"/>
      </w:pPr>
      <w:r>
        <w:rPr>
          <w:sz w:val="20"/>
        </w:rPr>
        <w:t xml:space="preserve">при нагрузке более 70%.</w:t>
      </w:r>
    </w:p>
    <w:p>
      <w:pPr>
        <w:pStyle w:val="0"/>
        <w:ind w:firstLine="540"/>
        <w:jc w:val="both"/>
      </w:pPr>
      <w:r>
        <w:rPr>
          <w:sz w:val="20"/>
        </w:rPr>
        <w:t xml:space="preserve">На газовые турбины и газовые двигатели, предназначенные для аварийного использования, которые функционируют менее 500 часов в год, не распространяются пороговые значения выбросов, установленные настоящим пунктом. Оператор таких заводов должен фиксировать часы функционирования.</w:t>
      </w:r>
    </w:p>
    <w:p>
      <w:pPr>
        <w:pStyle w:val="1"/>
        <w:spacing w:before="200" w:line-rule="auto"/>
        <w:jc w:val="both"/>
      </w:pPr>
      <w:r>
        <w:rPr>
          <w:sz w:val="20"/>
        </w:rPr>
        <w:t xml:space="preserve">                                             3</w:t>
      </w:r>
    </w:p>
    <w:bookmarkStart w:id="1894" w:name="P1894"/>
    <w:bookmarkEnd w:id="1894"/>
    <w:p>
      <w:pPr>
        <w:pStyle w:val="1"/>
        <w:jc w:val="both"/>
      </w:pPr>
      <w:r>
        <w:rPr>
          <w:sz w:val="20"/>
        </w:rPr>
        <w:t xml:space="preserve">    7.  Пороговые  значения  выбросов  (мг/Nm )  для  пыли  для  заводов по</w:t>
      </w:r>
    </w:p>
    <w:p>
      <w:pPr>
        <w:pStyle w:val="1"/>
        <w:jc w:val="both"/>
      </w:pPr>
      <w:r>
        <w:rPr>
          <w:sz w:val="20"/>
        </w:rPr>
        <w:t xml:space="preserve">сжиганию,  использующих  твердое или жидкое топливо, за исключением газовых</w:t>
      </w:r>
    </w:p>
    <w:p>
      <w:pPr>
        <w:pStyle w:val="1"/>
        <w:jc w:val="both"/>
      </w:pPr>
      <w:r>
        <w:rPr>
          <w:sz w:val="20"/>
        </w:rPr>
        <w:t xml:space="preserve">турбин и газовых двигателей</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5265"/>
        <w:gridCol w:w="3393"/>
      </w:tblGrid>
      <w:tr>
        <w:trPr>
          <w:trHeight w:val="240" w:hRule="atLeast"/>
        </w:trPr>
        <w:tc>
          <w:tcPr>
            <w:tcW w:w="5382" w:type="dxa"/>
          </w:tcPr>
          <w:p>
            <w:pPr>
              <w:pStyle w:val="1"/>
              <w:jc w:val="both"/>
            </w:pPr>
            <w:r>
              <w:rPr>
                <w:sz w:val="20"/>
              </w:rPr>
              <w:t xml:space="preserve">  Совокупная номинальная тепловая мощность  </w:t>
            </w:r>
          </w:p>
          <w:p>
            <w:pPr>
              <w:pStyle w:val="1"/>
              <w:jc w:val="both"/>
            </w:pPr>
            <w:r>
              <w:rPr>
                <w:sz w:val="20"/>
              </w:rPr>
              <w:t xml:space="preserve">                    (MW)                    </w:t>
            </w:r>
          </w:p>
        </w:tc>
        <w:tc>
          <w:tcPr>
            <w:tcW w:w="3510" w:type="dxa"/>
          </w:tcPr>
          <w:p>
            <w:pPr>
              <w:pStyle w:val="1"/>
              <w:jc w:val="both"/>
            </w:pPr>
            <w:r>
              <w:rPr>
                <w:sz w:val="20"/>
              </w:rPr>
            </w:r>
          </w:p>
        </w:tc>
      </w:tr>
      <w:tr>
        <w:trPr>
          <w:trHeight w:val="240" w:hRule="atLeast"/>
        </w:trPr>
        <w:tc>
          <w:tcPr>
            <w:tcW w:w="5382" w:type="dxa"/>
            <w:tcBorders>
              <w:top w:val="nil"/>
            </w:tcBorders>
          </w:tcPr>
          <w:p>
            <w:pPr>
              <w:pStyle w:val="1"/>
              <w:jc w:val="both"/>
            </w:pPr>
            <w:r>
              <w:rPr>
                <w:sz w:val="20"/>
              </w:rPr>
              <w:t xml:space="preserve">                                    50 - 300</w:t>
            </w:r>
          </w:p>
        </w:tc>
        <w:tc>
          <w:tcPr>
            <w:tcW w:w="3510" w:type="dxa"/>
            <w:tcBorders>
              <w:top w:val="nil"/>
            </w:tcBorders>
          </w:tcPr>
          <w:p>
            <w:pPr>
              <w:pStyle w:val="1"/>
              <w:jc w:val="both"/>
            </w:pPr>
            <w:r>
              <w:rPr>
                <w:sz w:val="20"/>
              </w:rPr>
              <w:t xml:space="preserve">20                          </w:t>
            </w:r>
          </w:p>
        </w:tc>
      </w:tr>
      <w:tr>
        <w:trPr>
          <w:trHeight w:val="240" w:hRule="atLeast"/>
        </w:trPr>
        <w:tc>
          <w:tcPr>
            <w:tcW w:w="5382" w:type="dxa"/>
            <w:tcBorders>
              <w:top w:val="nil"/>
            </w:tcBorders>
          </w:tcPr>
          <w:p>
            <w:pPr>
              <w:pStyle w:val="1"/>
              <w:jc w:val="both"/>
            </w:pPr>
            <w:r>
              <w:rPr>
                <w:sz w:val="20"/>
              </w:rPr>
              <w:t xml:space="preserve">                                       &gt; 300</w:t>
            </w:r>
          </w:p>
        </w:tc>
        <w:tc>
          <w:tcPr>
            <w:tcW w:w="3510" w:type="dxa"/>
            <w:tcBorders>
              <w:top w:val="nil"/>
            </w:tcBorders>
          </w:tcPr>
          <w:p>
            <w:pPr>
              <w:pStyle w:val="1"/>
              <w:jc w:val="both"/>
            </w:pPr>
            <w:r>
              <w:rPr>
                <w:sz w:val="20"/>
              </w:rPr>
              <w:t xml:space="preserve">10                          </w:t>
            </w:r>
          </w:p>
          <w:p>
            <w:pPr>
              <w:pStyle w:val="1"/>
              <w:jc w:val="both"/>
            </w:pPr>
            <w:r>
              <w:rPr>
                <w:sz w:val="20"/>
              </w:rPr>
              <w:t xml:space="preserve">20 для биомассы и торфа     </w:t>
            </w:r>
          </w:p>
        </w:tc>
      </w:tr>
    </w:tbl>
    <w:p>
      <w:pPr>
        <w:pStyle w:val="0"/>
        <w:ind w:firstLine="540"/>
        <w:jc w:val="both"/>
      </w:pPr>
      <w:r>
        <w:rPr>
          <w:sz w:val="20"/>
        </w:rPr>
      </w:r>
    </w:p>
    <w:p>
      <w:pPr>
        <w:pStyle w:val="1"/>
        <w:jc w:val="both"/>
      </w:pPr>
      <w:r>
        <w:rPr>
          <w:sz w:val="20"/>
        </w:rPr>
        <w:t xml:space="preserve">                                             3</w:t>
      </w:r>
    </w:p>
    <w:bookmarkStart w:id="1909" w:name="P1909"/>
    <w:bookmarkEnd w:id="1909"/>
    <w:p>
      <w:pPr>
        <w:pStyle w:val="1"/>
        <w:jc w:val="both"/>
      </w:pPr>
      <w:r>
        <w:rPr>
          <w:sz w:val="20"/>
        </w:rPr>
        <w:t xml:space="preserve">    8.  Пороговые  значения  выбросов  (мг/Nm )  для  пыли  для  заводов по</w:t>
      </w:r>
    </w:p>
    <w:p>
      <w:pPr>
        <w:pStyle w:val="1"/>
        <w:jc w:val="both"/>
      </w:pPr>
      <w:r>
        <w:rPr>
          <w:sz w:val="20"/>
        </w:rPr>
        <w:t xml:space="preserve">сжиганию,  использующих газообразное топливо, за исключением газовых турбин</w:t>
      </w:r>
    </w:p>
    <w:p>
      <w:pPr>
        <w:pStyle w:val="1"/>
        <w:jc w:val="both"/>
      </w:pPr>
      <w:r>
        <w:rPr>
          <w:sz w:val="20"/>
        </w:rPr>
        <w:t xml:space="preserve">и газовых двигателей</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5265"/>
        <w:gridCol w:w="3393"/>
      </w:tblGrid>
      <w:tr>
        <w:trPr>
          <w:trHeight w:val="240" w:hRule="atLeast"/>
        </w:trPr>
        <w:tc>
          <w:tcPr>
            <w:tcW w:w="5382" w:type="dxa"/>
          </w:tcPr>
          <w:p>
            <w:pPr>
              <w:pStyle w:val="1"/>
              <w:jc w:val="both"/>
            </w:pPr>
            <w:r>
              <w:rPr>
                <w:sz w:val="20"/>
              </w:rPr>
              <w:t xml:space="preserve">В общем                                     </w:t>
            </w:r>
          </w:p>
        </w:tc>
        <w:tc>
          <w:tcPr>
            <w:tcW w:w="3510" w:type="dxa"/>
          </w:tcPr>
          <w:p>
            <w:pPr>
              <w:pStyle w:val="1"/>
              <w:jc w:val="both"/>
            </w:pPr>
            <w:r>
              <w:rPr>
                <w:sz w:val="20"/>
              </w:rPr>
              <w:t xml:space="preserve">                           5</w:t>
            </w:r>
          </w:p>
        </w:tc>
      </w:tr>
      <w:tr>
        <w:trPr>
          <w:trHeight w:val="240" w:hRule="atLeast"/>
        </w:trPr>
        <w:tc>
          <w:tcPr>
            <w:tcW w:w="5382" w:type="dxa"/>
            <w:tcBorders>
              <w:top w:val="nil"/>
            </w:tcBorders>
          </w:tcPr>
          <w:p>
            <w:pPr>
              <w:pStyle w:val="1"/>
              <w:jc w:val="both"/>
            </w:pPr>
            <w:r>
              <w:rPr>
                <w:sz w:val="20"/>
              </w:rPr>
              <w:t xml:space="preserve">Доменный газ                                </w:t>
            </w:r>
          </w:p>
        </w:tc>
        <w:tc>
          <w:tcPr>
            <w:tcW w:w="3510" w:type="dxa"/>
            <w:tcBorders>
              <w:top w:val="nil"/>
            </w:tcBorders>
          </w:tcPr>
          <w:p>
            <w:pPr>
              <w:pStyle w:val="1"/>
              <w:jc w:val="both"/>
            </w:pPr>
            <w:r>
              <w:rPr>
                <w:sz w:val="20"/>
              </w:rPr>
              <w:t xml:space="preserve">                          10</w:t>
            </w:r>
          </w:p>
        </w:tc>
      </w:tr>
      <w:tr>
        <w:trPr>
          <w:trHeight w:val="240" w:hRule="atLeast"/>
        </w:trPr>
        <w:tc>
          <w:tcPr>
            <w:tcW w:w="5382" w:type="dxa"/>
            <w:tcBorders>
              <w:top w:val="nil"/>
            </w:tcBorders>
          </w:tcPr>
          <w:p>
            <w:pPr>
              <w:pStyle w:val="1"/>
              <w:jc w:val="both"/>
            </w:pPr>
            <w:r>
              <w:rPr>
                <w:sz w:val="20"/>
              </w:rPr>
              <w:t xml:space="preserve">Газы, образуемые сталелитейной              </w:t>
            </w:r>
          </w:p>
          <w:p>
            <w:pPr>
              <w:pStyle w:val="1"/>
              <w:jc w:val="both"/>
            </w:pPr>
            <w:r>
              <w:rPr>
                <w:sz w:val="20"/>
              </w:rPr>
              <w:t xml:space="preserve">промышленностью, которые могут быть         </w:t>
            </w:r>
          </w:p>
          <w:p>
            <w:pPr>
              <w:pStyle w:val="1"/>
              <w:jc w:val="both"/>
            </w:pPr>
            <w:r>
              <w:rPr>
                <w:sz w:val="20"/>
              </w:rPr>
              <w:t xml:space="preserve">использованы иным образом                   </w:t>
            </w:r>
          </w:p>
        </w:tc>
        <w:tc>
          <w:tcPr>
            <w:tcW w:w="3510" w:type="dxa"/>
            <w:tcBorders>
              <w:top w:val="nil"/>
            </w:tcBorders>
          </w:tcPr>
          <w:p>
            <w:pPr>
              <w:pStyle w:val="1"/>
              <w:jc w:val="both"/>
            </w:pPr>
            <w:r>
              <w:rPr>
                <w:sz w:val="20"/>
              </w:rPr>
              <w:t xml:space="preserve">                          30</w:t>
            </w:r>
          </w:p>
        </w:tc>
      </w:tr>
    </w:tbl>
    <w:p>
      <w:pPr>
        <w:pStyle w:val="0"/>
        <w:ind w:firstLine="540"/>
        <w:jc w:val="both"/>
      </w:pPr>
      <w:r>
        <w:rPr>
          <w:sz w:val="20"/>
        </w:rPr>
      </w:r>
    </w:p>
    <w:bookmarkStart w:id="1923" w:name="P1923"/>
    <w:bookmarkEnd w:id="1923"/>
    <w:p>
      <w:pPr>
        <w:pStyle w:val="0"/>
        <w:outlineLvl w:val="1"/>
        <w:jc w:val="center"/>
      </w:pPr>
      <w:r>
        <w:rPr>
          <w:sz w:val="20"/>
        </w:rPr>
        <w:t xml:space="preserve">Часть 3</w:t>
      </w:r>
    </w:p>
    <w:p>
      <w:pPr>
        <w:pStyle w:val="0"/>
        <w:jc w:val="center"/>
      </w:pPr>
      <w:r>
        <w:rPr>
          <w:sz w:val="20"/>
        </w:rPr>
      </w:r>
    </w:p>
    <w:p>
      <w:pPr>
        <w:pStyle w:val="0"/>
        <w:jc w:val="center"/>
      </w:pPr>
      <w:r>
        <w:rPr>
          <w:sz w:val="20"/>
        </w:rPr>
        <w:t xml:space="preserve">Мониторинг выбросов</w:t>
      </w:r>
    </w:p>
    <w:p>
      <w:pPr>
        <w:pStyle w:val="0"/>
        <w:jc w:val="center"/>
      </w:pPr>
      <w:r>
        <w:rPr>
          <w:sz w:val="20"/>
        </w:rPr>
      </w:r>
    </w:p>
    <w:bookmarkStart w:id="1927" w:name="P1927"/>
    <w:bookmarkEnd w:id="1927"/>
    <w:p>
      <w:pPr>
        <w:pStyle w:val="1"/>
        <w:jc w:val="both"/>
      </w:pPr>
      <w:r>
        <w:rPr>
          <w:sz w:val="20"/>
        </w:rPr>
        <w:t xml:space="preserve">    1.  Концентрации SO , NO  и пыли в отработанных газах от каждого завода</w:t>
      </w:r>
    </w:p>
    <w:p>
      <w:pPr>
        <w:pStyle w:val="1"/>
        <w:jc w:val="both"/>
      </w:pPr>
      <w:r>
        <w:rPr>
          <w:sz w:val="20"/>
        </w:rPr>
        <w:t xml:space="preserve">                       2    x</w:t>
      </w:r>
    </w:p>
    <w:p>
      <w:pPr>
        <w:pStyle w:val="1"/>
        <w:jc w:val="both"/>
      </w:pPr>
      <w:r>
        <w:rPr>
          <w:sz w:val="20"/>
        </w:rPr>
        <w:t xml:space="preserve">по  сжиганию  с  совокупной  номинальной тепловой мощностью 100 MW или выше</w:t>
      </w:r>
    </w:p>
    <w:p>
      <w:pPr>
        <w:pStyle w:val="1"/>
        <w:jc w:val="both"/>
      </w:pPr>
      <w:r>
        <w:rPr>
          <w:sz w:val="20"/>
        </w:rPr>
        <w:t xml:space="preserve">должны непрерывно измеряться.</w:t>
      </w:r>
    </w:p>
    <w:bookmarkStart w:id="1931" w:name="P1931"/>
    <w:bookmarkEnd w:id="1931"/>
    <w:p>
      <w:pPr>
        <w:pStyle w:val="0"/>
        <w:ind w:firstLine="540"/>
        <w:jc w:val="both"/>
      </w:pPr>
      <w:r>
        <w:rPr>
          <w:sz w:val="20"/>
        </w:rPr>
        <w:t xml:space="preserve">Концентрации CO в отработанных газах от каждого завода по сжиганию, сжигающего газообразное топливо, с совокупной номинальной тепловой мощностью 100 MW или выше должны непрерывно измеряться.</w:t>
      </w:r>
    </w:p>
    <w:bookmarkStart w:id="1932" w:name="P1932"/>
    <w:bookmarkEnd w:id="1932"/>
    <w:p>
      <w:pPr>
        <w:pStyle w:val="0"/>
        <w:spacing w:before="200" w:line-rule="auto"/>
        <w:ind w:firstLine="540"/>
        <w:jc w:val="both"/>
      </w:pPr>
      <w:r>
        <w:rPr>
          <w:sz w:val="20"/>
        </w:rPr>
        <w:t xml:space="preserve">2. Компетентный орган вправе не требовать непрерывных измерений, предусмотренных </w:t>
      </w:r>
      <w:hyperlink w:history="0" w:anchor="P1927" w:tooltip="    1.  Концентрации SO , NO  и пыли в отработанных газах от каждого завода">
        <w:r>
          <w:rPr>
            <w:sz w:val="20"/>
            <w:color w:val="0000ff"/>
          </w:rPr>
          <w:t xml:space="preserve">пунктом 1 настоящей части</w:t>
        </w:r>
      </w:hyperlink>
      <w:r>
        <w:rPr>
          <w:sz w:val="20"/>
        </w:rPr>
        <w:t xml:space="preserve">, в следующих случаях:</w:t>
      </w:r>
    </w:p>
    <w:p>
      <w:pPr>
        <w:pStyle w:val="0"/>
        <w:spacing w:before="200" w:line-rule="auto"/>
        <w:ind w:firstLine="540"/>
        <w:jc w:val="both"/>
      </w:pPr>
      <w:r>
        <w:rPr>
          <w:sz w:val="20"/>
        </w:rPr>
        <w:t xml:space="preserve">a) в отношении заводов по сжиганию с периодом эксплуатации менее 10000 часов;</w:t>
      </w:r>
    </w:p>
    <w:p>
      <w:pPr>
        <w:pStyle w:val="1"/>
        <w:spacing w:before="200" w:line-rule="auto"/>
        <w:jc w:val="both"/>
      </w:pPr>
      <w:r>
        <w:rPr>
          <w:sz w:val="20"/>
        </w:rPr>
        <w:t xml:space="preserve">    b)  в  отношении SO  и пыли от заводов по сжиганию, сжигающих природный</w:t>
      </w:r>
    </w:p>
    <w:p>
      <w:pPr>
        <w:pStyle w:val="1"/>
        <w:jc w:val="both"/>
      </w:pPr>
      <w:r>
        <w:rPr>
          <w:sz w:val="20"/>
        </w:rPr>
        <w:t xml:space="preserve">                       2</w:t>
      </w:r>
    </w:p>
    <w:p>
      <w:pPr>
        <w:pStyle w:val="1"/>
        <w:jc w:val="both"/>
      </w:pPr>
      <w:r>
        <w:rPr>
          <w:sz w:val="20"/>
        </w:rPr>
        <w:t xml:space="preserve">газ;</w:t>
      </w:r>
    </w:p>
    <w:p>
      <w:pPr>
        <w:pStyle w:val="1"/>
        <w:jc w:val="both"/>
      </w:pPr>
      <w:r>
        <w:rPr>
          <w:sz w:val="20"/>
        </w:rPr>
        <w:t xml:space="preserve">    c)  в отношении SO  от заводов по сжиганию, сжигающих нефть с известным</w:t>
      </w:r>
    </w:p>
    <w:p>
      <w:pPr>
        <w:pStyle w:val="1"/>
        <w:jc w:val="both"/>
      </w:pPr>
      <w:r>
        <w:rPr>
          <w:sz w:val="20"/>
        </w:rPr>
        <w:t xml:space="preserve">                      2</w:t>
      </w:r>
    </w:p>
    <w:p>
      <w:pPr>
        <w:pStyle w:val="1"/>
        <w:jc w:val="both"/>
      </w:pPr>
      <w:r>
        <w:rPr>
          <w:sz w:val="20"/>
        </w:rPr>
        <w:t xml:space="preserve">содержанием   серы   при   отсутствии   оборудования   по   десульфуризации</w:t>
      </w:r>
    </w:p>
    <w:p>
      <w:pPr>
        <w:pStyle w:val="1"/>
        <w:jc w:val="both"/>
      </w:pPr>
      <w:r>
        <w:rPr>
          <w:sz w:val="20"/>
        </w:rPr>
        <w:t xml:space="preserve">отработанных газов;</w:t>
      </w:r>
    </w:p>
    <w:p>
      <w:pPr>
        <w:pStyle w:val="1"/>
        <w:jc w:val="both"/>
      </w:pPr>
      <w:r>
        <w:rPr>
          <w:sz w:val="20"/>
        </w:rPr>
        <w:t xml:space="preserve">    d)  в  отношении  SO   от заводов по сжиганию, сжигающих биомассу, если</w:t>
      </w:r>
    </w:p>
    <w:p>
      <w:pPr>
        <w:pStyle w:val="1"/>
        <w:jc w:val="both"/>
      </w:pPr>
      <w:r>
        <w:rPr>
          <w:sz w:val="20"/>
        </w:rPr>
        <w:t xml:space="preserve">                        2</w:t>
      </w:r>
    </w:p>
    <w:p>
      <w:pPr>
        <w:pStyle w:val="1"/>
        <w:jc w:val="both"/>
      </w:pPr>
      <w:r>
        <w:rPr>
          <w:sz w:val="20"/>
        </w:rPr>
        <w:t xml:space="preserve">оператор докажет, что выбросы SO  ни при каких обстоятельствах не превышают</w:t>
      </w:r>
    </w:p>
    <w:p>
      <w:pPr>
        <w:pStyle w:val="1"/>
        <w:jc w:val="both"/>
      </w:pPr>
      <w:r>
        <w:rPr>
          <w:sz w:val="20"/>
        </w:rPr>
        <w:t xml:space="preserve">                                2</w:t>
      </w:r>
    </w:p>
    <w:p>
      <w:pPr>
        <w:pStyle w:val="1"/>
        <w:jc w:val="both"/>
      </w:pPr>
      <w:r>
        <w:rPr>
          <w:sz w:val="20"/>
        </w:rPr>
        <w:t xml:space="preserve">установленные пороговые значения выбросов.</w:t>
      </w:r>
    </w:p>
    <w:bookmarkStart w:id="1946" w:name="P1946"/>
    <w:bookmarkEnd w:id="1946"/>
    <w:p>
      <w:pPr>
        <w:pStyle w:val="1"/>
        <w:jc w:val="both"/>
      </w:pPr>
      <w:r>
        <w:rPr>
          <w:sz w:val="20"/>
        </w:rPr>
        <w:t xml:space="preserve">    3.  При  отсутствии  требования о непрерывных измерениях измерения SO ,</w:t>
      </w:r>
    </w:p>
    <w:p>
      <w:pPr>
        <w:pStyle w:val="1"/>
        <w:jc w:val="both"/>
      </w:pPr>
      <w:r>
        <w:rPr>
          <w:sz w:val="20"/>
        </w:rPr>
        <w:t xml:space="preserve">                                                                         2</w:t>
      </w:r>
    </w:p>
    <w:p>
      <w:pPr>
        <w:pStyle w:val="1"/>
        <w:jc w:val="both"/>
      </w:pPr>
      <w:r>
        <w:rPr>
          <w:sz w:val="20"/>
        </w:rPr>
        <w:t xml:space="preserve">NO ,  пыли  и для заводов, сжигающих газ, CO, должны проводиться по крайней</w:t>
      </w:r>
    </w:p>
    <w:p>
      <w:pPr>
        <w:pStyle w:val="1"/>
        <w:jc w:val="both"/>
      </w:pPr>
      <w:r>
        <w:rPr>
          <w:sz w:val="20"/>
        </w:rPr>
        <w:t xml:space="preserve">  x</w:t>
      </w:r>
    </w:p>
    <w:p>
      <w:pPr>
        <w:pStyle w:val="1"/>
        <w:jc w:val="both"/>
      </w:pPr>
      <w:r>
        <w:rPr>
          <w:sz w:val="20"/>
        </w:rPr>
        <w:t xml:space="preserve">мере каждые 6 месяцев.</w:t>
      </w:r>
    </w:p>
    <w:bookmarkStart w:id="1951" w:name="P1951"/>
    <w:bookmarkEnd w:id="1951"/>
    <w:p>
      <w:pPr>
        <w:pStyle w:val="0"/>
        <w:ind w:firstLine="540"/>
        <w:jc w:val="both"/>
      </w:pPr>
      <w:r>
        <w:rPr>
          <w:sz w:val="20"/>
        </w:rPr>
        <w:t xml:space="preserve">4. Для заводов по сжиганию, сжигающих уголь или бурый уголь, суммарные выбросы ртути должны измеряться, по крайней мере, один раз в год.</w:t>
      </w:r>
    </w:p>
    <w:bookmarkStart w:id="1952" w:name="P1952"/>
    <w:bookmarkEnd w:id="1952"/>
    <w:p>
      <w:pPr>
        <w:pStyle w:val="1"/>
        <w:spacing w:before="200" w:line-rule="auto"/>
        <w:jc w:val="both"/>
      </w:pPr>
      <w:r>
        <w:rPr>
          <w:sz w:val="20"/>
        </w:rPr>
        <w:t xml:space="preserve">    5.  В  качестве альтернативы измерениям SO  и NO , указанным в </w:t>
      </w:r>
      <w:hyperlink w:history="0" w:anchor="P1946" w:tooltip="    3.  При  отсутствии  требования о непрерывных измерениях измерения SO ,">
        <w:r>
          <w:rPr>
            <w:sz w:val="20"/>
            <w:color w:val="0000ff"/>
          </w:rPr>
          <w:t xml:space="preserve">пункте 3</w:t>
        </w:r>
      </w:hyperlink>
    </w:p>
    <w:p>
      <w:pPr>
        <w:pStyle w:val="1"/>
        <w:jc w:val="both"/>
      </w:pPr>
      <w:r>
        <w:rPr>
          <w:sz w:val="20"/>
        </w:rPr>
        <w:t xml:space="preserve">                                              2     x</w:t>
      </w:r>
    </w:p>
    <w:p>
      <w:pPr>
        <w:pStyle w:val="1"/>
        <w:jc w:val="both"/>
      </w:pPr>
      <w:r>
        <w:rPr>
          <w:sz w:val="20"/>
        </w:rPr>
        <w:t xml:space="preserve">настоящей части, могут применяться иные процедуры, проверенные и одобренные</w:t>
      </w:r>
    </w:p>
    <w:p>
      <w:pPr>
        <w:pStyle w:val="1"/>
        <w:jc w:val="both"/>
      </w:pPr>
      <w:r>
        <w:rPr>
          <w:sz w:val="20"/>
        </w:rPr>
        <w:t xml:space="preserve">компетентным  органом,  для определения выбросов SO  и NO . Такие процедуры</w:t>
      </w:r>
    </w:p>
    <w:p>
      <w:pPr>
        <w:pStyle w:val="1"/>
        <w:jc w:val="both"/>
      </w:pPr>
      <w:r>
        <w:rPr>
          <w:sz w:val="20"/>
        </w:rPr>
        <w:t xml:space="preserve">                                                   2     x</w:t>
      </w:r>
    </w:p>
    <w:p>
      <w:pPr>
        <w:pStyle w:val="1"/>
        <w:jc w:val="both"/>
      </w:pPr>
      <w:r>
        <w:rPr>
          <w:sz w:val="20"/>
        </w:rPr>
        <w:t xml:space="preserve">должны проводиться в соответствии со стандартами CEN или, при невозможности</w:t>
      </w:r>
    </w:p>
    <w:p>
      <w:pPr>
        <w:pStyle w:val="1"/>
        <w:jc w:val="both"/>
      </w:pPr>
      <w:r>
        <w:rPr>
          <w:sz w:val="20"/>
        </w:rPr>
        <w:t xml:space="preserve">применения  стандартов  CEN,  в соответствии с ISO, национальными или иными</w:t>
      </w:r>
    </w:p>
    <w:p>
      <w:pPr>
        <w:pStyle w:val="1"/>
        <w:jc w:val="both"/>
      </w:pPr>
      <w:r>
        <w:rPr>
          <w:sz w:val="20"/>
        </w:rPr>
        <w:t xml:space="preserve">международными  стандартами,  которые  гарантируют  предоставление  научных</w:t>
      </w:r>
    </w:p>
    <w:p>
      <w:pPr>
        <w:pStyle w:val="1"/>
        <w:jc w:val="both"/>
      </w:pPr>
      <w:r>
        <w:rPr>
          <w:sz w:val="20"/>
        </w:rPr>
        <w:t xml:space="preserve">сведений эквивалентного качества.</w:t>
      </w:r>
    </w:p>
    <w:bookmarkStart w:id="1961" w:name="P1961"/>
    <w:bookmarkEnd w:id="1961"/>
    <w:p>
      <w:pPr>
        <w:pStyle w:val="0"/>
        <w:ind w:firstLine="540"/>
        <w:jc w:val="both"/>
      </w:pPr>
      <w:r>
        <w:rPr>
          <w:sz w:val="20"/>
        </w:rPr>
        <w:t xml:space="preserve">6. Компетентный орган должен быть проинформирован о существенных изменениях вида топлива, используемого при эксплуатации завода. Компетентный орган решает, являются ли требования мониторинга, предусмотренные </w:t>
      </w:r>
      <w:hyperlink w:history="0" w:anchor="P1927" w:tooltip="    1.  Концентрации SO , NO  и пыли в отработанных газах от каждого завода">
        <w:r>
          <w:rPr>
            <w:sz w:val="20"/>
            <w:color w:val="0000ff"/>
          </w:rPr>
          <w:t xml:space="preserve">пунктами 1</w:t>
        </w:r>
      </w:hyperlink>
      <w:r>
        <w:rPr>
          <w:sz w:val="20"/>
        </w:rPr>
        <w:t xml:space="preserve"> - </w:t>
      </w:r>
      <w:hyperlink w:history="0" w:anchor="P1951" w:tooltip="4. Для заводов по сжиганию, сжигающих уголь или бурый уголь, суммарные выбросы ртути должны измеряться, по крайней мере, один раз в год.">
        <w:r>
          <w:rPr>
            <w:sz w:val="20"/>
            <w:color w:val="0000ff"/>
          </w:rPr>
          <w:t xml:space="preserve">4 настоящей части</w:t>
        </w:r>
      </w:hyperlink>
      <w:r>
        <w:rPr>
          <w:sz w:val="20"/>
        </w:rPr>
        <w:t xml:space="preserve">, надлежащими или требуют изменения.</w:t>
      </w:r>
    </w:p>
    <w:bookmarkStart w:id="1962" w:name="P1962"/>
    <w:bookmarkEnd w:id="1962"/>
    <w:p>
      <w:pPr>
        <w:pStyle w:val="0"/>
        <w:spacing w:before="200" w:line-rule="auto"/>
        <w:ind w:firstLine="540"/>
        <w:jc w:val="both"/>
      </w:pPr>
      <w:r>
        <w:rPr>
          <w:sz w:val="20"/>
        </w:rPr>
        <w:t xml:space="preserve">7. Непрерывные измерения, проводимые в соответствии с пунктом 1 настоящей части, должны включать измерения содержания кислорода, температуры, давления и содержания водяного пара в отработанных газах. Непрерывные измерения содержания водяного пара в отработанных газах не требуются при условии, что образцы отработанного газа высушены перед проведением анализа выбросов.</w:t>
      </w:r>
    </w:p>
    <w:bookmarkStart w:id="1963" w:name="P1963"/>
    <w:bookmarkEnd w:id="1963"/>
    <w:p>
      <w:pPr>
        <w:pStyle w:val="0"/>
        <w:spacing w:before="200" w:line-rule="auto"/>
        <w:ind w:firstLine="540"/>
        <w:jc w:val="both"/>
      </w:pPr>
      <w:r>
        <w:rPr>
          <w:sz w:val="20"/>
        </w:rPr>
        <w:t xml:space="preserve">8. Отбор и анализ соответствующих загрязняющих веществ, измерения параметров процесса и гарантии качества автоматических систем измерения, а также контрольные измерения для проверки таких систем должны проводиться в соответствии со стандартами CEN. При невозможности применения стандартов CEN необходимо применять ISO, национальные или иные международные стандарты, которые гарантируют предоставление научных сведений эквивалентного качества.</w:t>
      </w:r>
    </w:p>
    <w:p>
      <w:pPr>
        <w:pStyle w:val="0"/>
        <w:spacing w:before="200" w:line-rule="auto"/>
        <w:ind w:firstLine="540"/>
        <w:jc w:val="both"/>
      </w:pPr>
      <w:r>
        <w:rPr>
          <w:sz w:val="20"/>
        </w:rPr>
        <w:t xml:space="preserve">Автоматические системы измерения контролируются путем проведения параллельных контрольных измерений, по крайней мере, один раз в год.</w:t>
      </w:r>
    </w:p>
    <w:bookmarkStart w:id="1965" w:name="P1965"/>
    <w:bookmarkEnd w:id="1965"/>
    <w:p>
      <w:pPr>
        <w:pStyle w:val="0"/>
        <w:spacing w:before="200" w:line-rule="auto"/>
        <w:ind w:firstLine="540"/>
        <w:jc w:val="both"/>
      </w:pPr>
      <w:r>
        <w:rPr>
          <w:sz w:val="20"/>
        </w:rPr>
        <w:t xml:space="preserve">Оператор информирует компетентный орган о результатах проверки автоматических систем измерения.</w:t>
      </w:r>
    </w:p>
    <w:bookmarkStart w:id="1966" w:name="P1966"/>
    <w:bookmarkEnd w:id="1966"/>
    <w:p>
      <w:pPr>
        <w:pStyle w:val="0"/>
        <w:spacing w:before="200" w:line-rule="auto"/>
        <w:ind w:firstLine="540"/>
        <w:jc w:val="both"/>
      </w:pPr>
      <w:r>
        <w:rPr>
          <w:sz w:val="20"/>
        </w:rPr>
        <w:t xml:space="preserve">9. На уровне порогового значения выбросов значения 95-процентного доверительного интервала для результата, измеренного без контрольной проверки, не должны превышать следующие пороговые значения выбросов в процентах:</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5616"/>
        <w:gridCol w:w="3042"/>
      </w:tblGrid>
      <w:tr>
        <w:trPr>
          <w:trHeight w:val="240" w:hRule="atLeast"/>
        </w:trPr>
        <w:tc>
          <w:tcPr>
            <w:tcW w:w="5733" w:type="dxa"/>
          </w:tcPr>
          <w:p>
            <w:pPr>
              <w:pStyle w:val="1"/>
              <w:jc w:val="both"/>
            </w:pPr>
            <w:r>
              <w:rPr>
                <w:sz w:val="20"/>
              </w:rPr>
              <w:t xml:space="preserve">Оксид углерода                                 </w:t>
            </w:r>
          </w:p>
        </w:tc>
        <w:tc>
          <w:tcPr>
            <w:tcW w:w="3159" w:type="dxa"/>
          </w:tcPr>
          <w:p>
            <w:pPr>
              <w:pStyle w:val="1"/>
              <w:jc w:val="both"/>
            </w:pPr>
            <w:r>
              <w:rPr>
                <w:sz w:val="20"/>
              </w:rPr>
              <w:t xml:space="preserve">                      10%</w:t>
            </w:r>
          </w:p>
        </w:tc>
      </w:tr>
      <w:tr>
        <w:trPr>
          <w:trHeight w:val="240" w:hRule="atLeast"/>
        </w:trPr>
        <w:tc>
          <w:tcPr>
            <w:tcW w:w="5733" w:type="dxa"/>
            <w:tcBorders>
              <w:top w:val="nil"/>
            </w:tcBorders>
          </w:tcPr>
          <w:p>
            <w:pPr>
              <w:pStyle w:val="1"/>
              <w:jc w:val="both"/>
            </w:pPr>
            <w:r>
              <w:rPr>
                <w:sz w:val="20"/>
              </w:rPr>
              <w:t xml:space="preserve">Диоксид серы                                   </w:t>
            </w:r>
          </w:p>
        </w:tc>
        <w:tc>
          <w:tcPr>
            <w:tcW w:w="3159" w:type="dxa"/>
            <w:tcBorders>
              <w:top w:val="nil"/>
            </w:tcBorders>
          </w:tcPr>
          <w:p>
            <w:pPr>
              <w:pStyle w:val="1"/>
              <w:jc w:val="both"/>
            </w:pPr>
            <w:r>
              <w:rPr>
                <w:sz w:val="20"/>
              </w:rPr>
              <w:t xml:space="preserve">                      20%</w:t>
            </w:r>
          </w:p>
        </w:tc>
      </w:tr>
      <w:tr>
        <w:trPr>
          <w:trHeight w:val="240" w:hRule="atLeast"/>
        </w:trPr>
        <w:tc>
          <w:tcPr>
            <w:tcW w:w="5733" w:type="dxa"/>
            <w:tcBorders>
              <w:top w:val="nil"/>
            </w:tcBorders>
          </w:tcPr>
          <w:p>
            <w:pPr>
              <w:pStyle w:val="1"/>
              <w:jc w:val="both"/>
            </w:pPr>
            <w:r>
              <w:rPr>
                <w:sz w:val="20"/>
              </w:rPr>
              <w:t xml:space="preserve">Оксиды азота                                   </w:t>
            </w:r>
          </w:p>
        </w:tc>
        <w:tc>
          <w:tcPr>
            <w:tcW w:w="3159" w:type="dxa"/>
            <w:tcBorders>
              <w:top w:val="nil"/>
            </w:tcBorders>
          </w:tcPr>
          <w:p>
            <w:pPr>
              <w:pStyle w:val="1"/>
              <w:jc w:val="both"/>
            </w:pPr>
            <w:r>
              <w:rPr>
                <w:sz w:val="20"/>
              </w:rPr>
              <w:t xml:space="preserve">                      20%</w:t>
            </w:r>
          </w:p>
        </w:tc>
      </w:tr>
      <w:tr>
        <w:trPr>
          <w:trHeight w:val="240" w:hRule="atLeast"/>
        </w:trPr>
        <w:tc>
          <w:tcPr>
            <w:tcW w:w="5733" w:type="dxa"/>
            <w:tcBorders>
              <w:top w:val="nil"/>
            </w:tcBorders>
          </w:tcPr>
          <w:p>
            <w:pPr>
              <w:pStyle w:val="1"/>
              <w:jc w:val="both"/>
            </w:pPr>
            <w:r>
              <w:rPr>
                <w:sz w:val="20"/>
              </w:rPr>
              <w:t xml:space="preserve">Пыль                                           </w:t>
            </w:r>
          </w:p>
        </w:tc>
        <w:tc>
          <w:tcPr>
            <w:tcW w:w="3159" w:type="dxa"/>
            <w:tcBorders>
              <w:top w:val="nil"/>
            </w:tcBorders>
          </w:tcPr>
          <w:p>
            <w:pPr>
              <w:pStyle w:val="1"/>
              <w:jc w:val="both"/>
            </w:pPr>
            <w:r>
              <w:rPr>
                <w:sz w:val="20"/>
              </w:rPr>
              <w:t xml:space="preserve">                      30%</w:t>
            </w:r>
          </w:p>
        </w:tc>
      </w:tr>
    </w:tbl>
    <w:p>
      <w:pPr>
        <w:pStyle w:val="0"/>
        <w:ind w:firstLine="540"/>
        <w:jc w:val="both"/>
      </w:pPr>
      <w:r>
        <w:rPr>
          <w:sz w:val="20"/>
        </w:rPr>
      </w:r>
    </w:p>
    <w:bookmarkStart w:id="1978" w:name="P1978"/>
    <w:bookmarkEnd w:id="1978"/>
    <w:p>
      <w:pPr>
        <w:pStyle w:val="0"/>
        <w:ind w:firstLine="540"/>
        <w:jc w:val="both"/>
      </w:pPr>
      <w:r>
        <w:rPr>
          <w:sz w:val="20"/>
        </w:rPr>
        <w:t xml:space="preserve">10. Допустимые среднечасовые и среднесуточные значения определяются путем измерения допустимых среднечасовых значений за вычетом значения доверительного коэффициента, определенного в </w:t>
      </w:r>
      <w:hyperlink w:history="0" w:anchor="P1966" w:tooltip="9. На уровне порогового значения выбросов значения 95-процентного доверительного интервала для результата, измеренного без контрольной проверки, не должны превышать следующие пороговые значения выбросов в процентах:">
        <w:r>
          <w:rPr>
            <w:sz w:val="20"/>
            <w:color w:val="0000ff"/>
          </w:rPr>
          <w:t xml:space="preserve">пункте 9 настоящей части</w:t>
        </w:r>
      </w:hyperlink>
      <w:r>
        <w:rPr>
          <w:sz w:val="20"/>
        </w:rPr>
        <w:t xml:space="preserve">.</w:t>
      </w:r>
    </w:p>
    <w:p>
      <w:pPr>
        <w:pStyle w:val="0"/>
        <w:spacing w:before="200" w:line-rule="auto"/>
        <w:ind w:firstLine="540"/>
        <w:jc w:val="both"/>
      </w:pPr>
      <w:r>
        <w:rPr>
          <w:sz w:val="20"/>
        </w:rPr>
        <w:t xml:space="preserve">Если в течение суток более трех среднечасовых значений недействительны вследствие нарушения функционирования или технического обслуживания автоматической системы измерений, среднесуточное значение недействительно. Если более 10 среднесуточных значений за год недействительны по вышеуказанным причинам, компетентный орган должен потребовать от оператора принятия необходимых мер по повышению надежности автоматической системы измерения.</w:t>
      </w:r>
    </w:p>
    <w:bookmarkStart w:id="1980" w:name="P1980"/>
    <w:bookmarkEnd w:id="1980"/>
    <w:p>
      <w:pPr>
        <w:pStyle w:val="0"/>
        <w:spacing w:before="200" w:line-rule="auto"/>
        <w:ind w:firstLine="540"/>
        <w:jc w:val="both"/>
      </w:pPr>
      <w:r>
        <w:rPr>
          <w:sz w:val="20"/>
        </w:rPr>
        <w:t xml:space="preserve">11. В отношении заводов, которые должны соблюдать коэффициенты десульфуризации, предусмотренные </w:t>
      </w:r>
      <w:hyperlink w:history="0" w:anchor="P626" w:tooltip="Статья 31">
        <w:r>
          <w:rPr>
            <w:sz w:val="20"/>
            <w:color w:val="0000ff"/>
          </w:rPr>
          <w:t xml:space="preserve">статьей 31</w:t>
        </w:r>
      </w:hyperlink>
      <w:r>
        <w:rPr>
          <w:sz w:val="20"/>
        </w:rPr>
        <w:t xml:space="preserve"> настоящей Директивы, необходимо осуществлять регулярный мониторинг содержания серы в сжигаемом топливе. Компетентные органы должны быть проинформированы о существенных изменениях вида используемого топлива.</w:t>
      </w:r>
    </w:p>
    <w:p>
      <w:pPr>
        <w:pStyle w:val="0"/>
        <w:ind w:firstLine="540"/>
        <w:jc w:val="both"/>
      </w:pPr>
      <w:r>
        <w:rPr>
          <w:sz w:val="20"/>
        </w:rPr>
      </w:r>
    </w:p>
    <w:bookmarkStart w:id="1982" w:name="P1982"/>
    <w:bookmarkEnd w:id="1982"/>
    <w:p>
      <w:pPr>
        <w:pStyle w:val="0"/>
        <w:outlineLvl w:val="1"/>
        <w:jc w:val="center"/>
      </w:pPr>
      <w:r>
        <w:rPr>
          <w:sz w:val="20"/>
        </w:rPr>
        <w:t xml:space="preserve">Часть 4</w:t>
      </w:r>
    </w:p>
    <w:p>
      <w:pPr>
        <w:pStyle w:val="0"/>
        <w:jc w:val="center"/>
      </w:pPr>
      <w:r>
        <w:rPr>
          <w:sz w:val="20"/>
        </w:rPr>
      </w:r>
    </w:p>
    <w:p>
      <w:pPr>
        <w:pStyle w:val="0"/>
        <w:jc w:val="center"/>
      </w:pPr>
      <w:r>
        <w:rPr>
          <w:sz w:val="20"/>
        </w:rPr>
        <w:t xml:space="preserve">Оценка соблюдения пороговых значений выбросов</w:t>
      </w:r>
    </w:p>
    <w:p>
      <w:pPr>
        <w:pStyle w:val="0"/>
        <w:jc w:val="center"/>
      </w:pPr>
      <w:r>
        <w:rPr>
          <w:sz w:val="20"/>
        </w:rPr>
      </w:r>
    </w:p>
    <w:bookmarkStart w:id="1986" w:name="P1986"/>
    <w:bookmarkEnd w:id="1986"/>
    <w:p>
      <w:pPr>
        <w:pStyle w:val="0"/>
        <w:ind w:firstLine="540"/>
        <w:jc w:val="both"/>
      </w:pPr>
      <w:r>
        <w:rPr>
          <w:sz w:val="20"/>
        </w:rPr>
        <w:t xml:space="preserve">1. При проведении непрерывных измерений пороговые значения выбросов, установленные </w:t>
      </w:r>
      <w:hyperlink w:history="0" w:anchor="P1510" w:tooltip="Часть 1">
        <w:r>
          <w:rPr>
            <w:sz w:val="20"/>
            <w:color w:val="0000ff"/>
          </w:rPr>
          <w:t xml:space="preserve">частями 1</w:t>
        </w:r>
      </w:hyperlink>
      <w:r>
        <w:rPr>
          <w:sz w:val="20"/>
        </w:rPr>
        <w:t xml:space="preserve"> и </w:t>
      </w:r>
      <w:hyperlink w:history="0" w:anchor="P1771" w:tooltip="Часть 2">
        <w:r>
          <w:rPr>
            <w:sz w:val="20"/>
            <w:color w:val="0000ff"/>
          </w:rPr>
          <w:t xml:space="preserve">2</w:t>
        </w:r>
      </w:hyperlink>
      <w:r>
        <w:rPr>
          <w:sz w:val="20"/>
        </w:rPr>
        <w:t xml:space="preserve"> настоящего Приложения, считаются соблюденными, если оценка результатов измерений показывает, что все нижеперечисленные условия соблюдены с учетом часов эксплуатации в календарном году:</w:t>
      </w:r>
    </w:p>
    <w:p>
      <w:pPr>
        <w:pStyle w:val="0"/>
        <w:spacing w:before="200" w:line-rule="auto"/>
        <w:ind w:firstLine="540"/>
        <w:jc w:val="both"/>
      </w:pPr>
      <w:r>
        <w:rPr>
          <w:sz w:val="20"/>
        </w:rPr>
        <w:t xml:space="preserve">a) допустимое среднемесячное значение не превышает соответствующие пороговые значения выбросов, установленные частями 1 и 2 настоящего Приложения;</w:t>
      </w:r>
    </w:p>
    <w:p>
      <w:pPr>
        <w:pStyle w:val="0"/>
        <w:spacing w:before="200" w:line-rule="auto"/>
        <w:ind w:firstLine="540"/>
        <w:jc w:val="both"/>
      </w:pPr>
      <w:r>
        <w:rPr>
          <w:sz w:val="20"/>
        </w:rPr>
        <w:t xml:space="preserve">b) допустимое среднесуточное значение не превышает 110% от соответствующих пороговых значений выбросов, установленных </w:t>
      </w:r>
      <w:hyperlink w:history="0" w:anchor="P1510" w:tooltip="Часть 1">
        <w:r>
          <w:rPr>
            <w:sz w:val="20"/>
            <w:color w:val="0000ff"/>
          </w:rPr>
          <w:t xml:space="preserve">частями 1</w:t>
        </w:r>
      </w:hyperlink>
      <w:r>
        <w:rPr>
          <w:sz w:val="20"/>
        </w:rPr>
        <w:t xml:space="preserve"> и </w:t>
      </w:r>
      <w:hyperlink w:history="0" w:anchor="P1771" w:tooltip="Часть 2">
        <w:r>
          <w:rPr>
            <w:sz w:val="20"/>
            <w:color w:val="0000ff"/>
          </w:rPr>
          <w:t xml:space="preserve">2</w:t>
        </w:r>
      </w:hyperlink>
      <w:r>
        <w:rPr>
          <w:sz w:val="20"/>
        </w:rPr>
        <w:t xml:space="preserve"> настоящего Приложения;</w:t>
      </w:r>
    </w:p>
    <w:p>
      <w:pPr>
        <w:pStyle w:val="0"/>
        <w:spacing w:before="200" w:line-rule="auto"/>
        <w:ind w:firstLine="540"/>
        <w:jc w:val="both"/>
      </w:pPr>
      <w:r>
        <w:rPr>
          <w:sz w:val="20"/>
        </w:rPr>
        <w:t xml:space="preserve">c) в отношении заводов по сжиганию, состоящих только из котлов, использующих уголь, с совокупной номинальной тепловой мощностью не выше 50 MW, допустимое среднесуточное значение не превышает 150% от соответствующих пороговых значений выбросов, установленных частями 1 и 2 настоящего Приложения;</w:t>
      </w:r>
    </w:p>
    <w:p>
      <w:pPr>
        <w:pStyle w:val="0"/>
        <w:spacing w:before="200" w:line-rule="auto"/>
        <w:ind w:firstLine="540"/>
        <w:jc w:val="both"/>
      </w:pPr>
      <w:r>
        <w:rPr>
          <w:sz w:val="20"/>
        </w:rPr>
        <w:t xml:space="preserve">d) 95% всех допустимых среднечасовых значений за год не превышают 200% от соответствующих пороговых значений выбросов, установленных </w:t>
      </w:r>
      <w:hyperlink w:history="0" w:anchor="P1510" w:tooltip="Часть 1">
        <w:r>
          <w:rPr>
            <w:sz w:val="20"/>
            <w:color w:val="0000ff"/>
          </w:rPr>
          <w:t xml:space="preserve">частями 1</w:t>
        </w:r>
      </w:hyperlink>
      <w:r>
        <w:rPr>
          <w:sz w:val="20"/>
        </w:rPr>
        <w:t xml:space="preserve"> и </w:t>
      </w:r>
      <w:hyperlink w:history="0" w:anchor="P1771" w:tooltip="Часть 2">
        <w:r>
          <w:rPr>
            <w:sz w:val="20"/>
            <w:color w:val="0000ff"/>
          </w:rPr>
          <w:t xml:space="preserve">2</w:t>
        </w:r>
      </w:hyperlink>
      <w:r>
        <w:rPr>
          <w:sz w:val="20"/>
        </w:rPr>
        <w:t xml:space="preserve"> настоящего Приложения.</w:t>
      </w:r>
    </w:p>
    <w:p>
      <w:pPr>
        <w:pStyle w:val="0"/>
        <w:spacing w:before="200" w:line-rule="auto"/>
        <w:ind w:firstLine="540"/>
        <w:jc w:val="both"/>
      </w:pPr>
      <w:r>
        <w:rPr>
          <w:sz w:val="20"/>
        </w:rPr>
        <w:t xml:space="preserve">Допустимые средние значения исчисляются в соответствии с </w:t>
      </w:r>
      <w:hyperlink w:history="0" w:anchor="P1978" w:tooltip="10. Допустимые среднечасовые и среднесуточные значения определяются путем измерения допустимых среднечасовых значений за вычетом значения доверительного коэффициента, определенного в пункте 9 настоящей части.">
        <w:r>
          <w:rPr>
            <w:sz w:val="20"/>
            <w:color w:val="0000ff"/>
          </w:rPr>
          <w:t xml:space="preserve">пунктом 10 части 3</w:t>
        </w:r>
      </w:hyperlink>
      <w:r>
        <w:rPr>
          <w:sz w:val="20"/>
        </w:rPr>
        <w:t xml:space="preserve"> настоящего Приложения.</w:t>
      </w:r>
    </w:p>
    <w:p>
      <w:pPr>
        <w:pStyle w:val="0"/>
        <w:spacing w:before="200" w:line-rule="auto"/>
        <w:ind w:firstLine="540"/>
        <w:jc w:val="both"/>
      </w:pPr>
      <w:r>
        <w:rPr>
          <w:sz w:val="20"/>
        </w:rPr>
        <w:t xml:space="preserve">В целях исчисления средних значений выбросов, значения, измеренные в течение периодов, предусмотренных </w:t>
      </w:r>
      <w:hyperlink w:history="0" w:anchor="P610" w:tooltip="5. Компетентный орган может предоставить частичное отступление от обязательства по соблюдению пороговых значений выбросов, указанных в параграфах 2 и 3 настоящей статьи, для диоксида серы на срок не более 6 месяцев. Такое освобождение может касаться заводов по сжиганию, которые обычно используют топливо с низким содержанием серы, в тех случаях, когда оператор не способен соблюдать указанные пороговые значения вследствие сбоев в поставке топлива с низким содержанием серы, вызванных серьезным дефицитом.">
        <w:r>
          <w:rPr>
            <w:sz w:val="20"/>
            <w:color w:val="0000ff"/>
          </w:rPr>
          <w:t xml:space="preserve">статьей 30 (5)</w:t>
        </w:r>
      </w:hyperlink>
      <w:r>
        <w:rPr>
          <w:sz w:val="20"/>
        </w:rPr>
        <w:t xml:space="preserve"> и </w:t>
      </w:r>
      <w:hyperlink w:history="0" w:anchor="P612" w:tooltip="6. Компетентный орган может предоставить частичное отступление от обязательства по соблюдению пороговых значений выбросов, указанных в параграфах 2 и 3 настоящей статьи, в тех случаях, когда заводу по сжиганию, который использует исключительно газообразное топливо, приходится переходить на использование других видов топлива вследствие сбоев в поставке газа и по этой причине устанавливать оборудование по очистке отработанных газов. Срок такого освобождения не должен превышать 10 дней, за исключением случа...">
        <w:r>
          <w:rPr>
            <w:sz w:val="20"/>
            <w:color w:val="0000ff"/>
          </w:rPr>
          <w:t xml:space="preserve">(6)</w:t>
        </w:r>
      </w:hyperlink>
      <w:r>
        <w:rPr>
          <w:sz w:val="20"/>
        </w:rPr>
        <w:t xml:space="preserve"> и </w:t>
      </w:r>
      <w:hyperlink w:history="0" w:anchor="P713" w:tooltip="Статья 37">
        <w:r>
          <w:rPr>
            <w:sz w:val="20"/>
            <w:color w:val="0000ff"/>
          </w:rPr>
          <w:t xml:space="preserve">статьей 37</w:t>
        </w:r>
      </w:hyperlink>
      <w:r>
        <w:rPr>
          <w:sz w:val="20"/>
        </w:rPr>
        <w:t xml:space="preserve"> настоящей Директивы, а также в течение периодов включения и отключения, не учитываются.</w:t>
      </w:r>
    </w:p>
    <w:p>
      <w:pPr>
        <w:pStyle w:val="0"/>
        <w:spacing w:before="200" w:line-rule="auto"/>
        <w:ind w:firstLine="540"/>
        <w:jc w:val="both"/>
      </w:pPr>
      <w:r>
        <w:rPr>
          <w:sz w:val="20"/>
        </w:rPr>
        <w:t xml:space="preserve">2. При отсутствии непрерывных измерений пороговые значения выбросов, установленные </w:t>
      </w:r>
      <w:hyperlink w:history="0" w:anchor="P1510" w:tooltip="Часть 1">
        <w:r>
          <w:rPr>
            <w:sz w:val="20"/>
            <w:color w:val="0000ff"/>
          </w:rPr>
          <w:t xml:space="preserve">частями 1</w:t>
        </w:r>
      </w:hyperlink>
      <w:r>
        <w:rPr>
          <w:sz w:val="20"/>
        </w:rPr>
        <w:t xml:space="preserve"> и </w:t>
      </w:r>
      <w:hyperlink w:history="0" w:anchor="P1771" w:tooltip="Часть 2">
        <w:r>
          <w:rPr>
            <w:sz w:val="20"/>
            <w:color w:val="0000ff"/>
          </w:rPr>
          <w:t xml:space="preserve">2</w:t>
        </w:r>
      </w:hyperlink>
      <w:r>
        <w:rPr>
          <w:sz w:val="20"/>
        </w:rPr>
        <w:t xml:space="preserve"> настоящего Приложения, считаются соблюденными, если результаты каждой серии измерений или иных процедур, определенных в соответствии с правилами, установленными компетентными органами, не превышают пороговые значения выбросов.</w:t>
      </w:r>
    </w:p>
    <w:p>
      <w:pPr>
        <w:pStyle w:val="0"/>
        <w:ind w:firstLine="540"/>
        <w:jc w:val="both"/>
      </w:pPr>
      <w:r>
        <w:rPr>
          <w:sz w:val="20"/>
        </w:rPr>
      </w:r>
    </w:p>
    <w:bookmarkStart w:id="1995" w:name="P1995"/>
    <w:bookmarkEnd w:id="1995"/>
    <w:p>
      <w:pPr>
        <w:pStyle w:val="0"/>
        <w:outlineLvl w:val="1"/>
        <w:jc w:val="center"/>
      </w:pPr>
      <w:r>
        <w:rPr>
          <w:sz w:val="20"/>
        </w:rPr>
        <w:t xml:space="preserve">Часть 5</w:t>
      </w:r>
    </w:p>
    <w:p>
      <w:pPr>
        <w:pStyle w:val="0"/>
        <w:jc w:val="center"/>
      </w:pPr>
      <w:r>
        <w:rPr>
          <w:sz w:val="20"/>
        </w:rPr>
      </w:r>
    </w:p>
    <w:p>
      <w:pPr>
        <w:pStyle w:val="0"/>
        <w:jc w:val="center"/>
      </w:pPr>
      <w:r>
        <w:rPr>
          <w:sz w:val="20"/>
        </w:rPr>
        <w:t xml:space="preserve">Минимальные коэффициенты десульфуризации</w:t>
      </w:r>
    </w:p>
    <w:p>
      <w:pPr>
        <w:pStyle w:val="0"/>
        <w:jc w:val="center"/>
      </w:pPr>
      <w:r>
        <w:rPr>
          <w:sz w:val="20"/>
        </w:rPr>
      </w:r>
    </w:p>
    <w:p>
      <w:pPr>
        <w:pStyle w:val="0"/>
        <w:ind w:firstLine="540"/>
        <w:jc w:val="both"/>
      </w:pPr>
      <w:r>
        <w:rPr>
          <w:sz w:val="20"/>
        </w:rPr>
        <w:t xml:space="preserve">1. Минимальные коэффициенты десульфуризации для заводов по сжиганию, предусмотренных </w:t>
      </w:r>
      <w:hyperlink w:history="0" w:anchor="P606" w:tooltip="2. Все разрешения на установки, содержащие заводы по сжиганию, разрешение на которые были выданы до 7 января 2013 г., или операторы которых подали полностью оформленное заявление на выдачу разрешения до указанной даты, при условии, что такие заводы введены в эксплуатацию не позднее 7 января 2014 г., должны содержать условия, гарантирующие, что выбросы в воздух от таких заводов не превышают пороговые значения выбросов, установленные в части 1 Приложения V к настоящей Директиве.">
        <w:r>
          <w:rPr>
            <w:sz w:val="20"/>
            <w:color w:val="0000ff"/>
          </w:rPr>
          <w:t xml:space="preserve">статьей 30 (2)</w:t>
        </w:r>
      </w:hyperlink>
      <w:r>
        <w:rPr>
          <w:sz w:val="20"/>
        </w:rPr>
        <w:t xml:space="preserve"> настоящей Директивы</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2808"/>
        <w:gridCol w:w="4446"/>
        <w:gridCol w:w="1404"/>
      </w:tblGrid>
      <w:tr>
        <w:trPr>
          <w:trHeight w:val="240" w:hRule="atLeast"/>
        </w:trPr>
        <w:tc>
          <w:tcPr>
            <w:tcW w:w="2925" w:type="dxa"/>
          </w:tcPr>
          <w:p>
            <w:pPr>
              <w:pStyle w:val="1"/>
              <w:jc w:val="both"/>
            </w:pPr>
            <w:r>
              <w:rPr>
                <w:sz w:val="20"/>
              </w:rPr>
            </w:r>
          </w:p>
        </w:tc>
        <w:tc>
          <w:tcPr>
            <w:gridSpan w:val="2"/>
            <w:tcW w:w="6084" w:type="dxa"/>
          </w:tcPr>
          <w:p>
            <w:pPr>
              <w:pStyle w:val="1"/>
              <w:jc w:val="both"/>
            </w:pPr>
            <w:r>
              <w:rPr>
                <w:sz w:val="20"/>
              </w:rPr>
              <w:t xml:space="preserve">    Минимальные коэффициенты десульфуризации     </w:t>
            </w:r>
          </w:p>
        </w:tc>
      </w:tr>
      <w:tr>
        <w:trPr>
          <w:trHeight w:val="240" w:hRule="atLeast"/>
        </w:trPr>
        <w:tc>
          <w:tcPr>
            <w:tcW w:w="2925" w:type="dxa"/>
            <w:tcBorders>
              <w:top w:val="nil"/>
            </w:tcBorders>
          </w:tcPr>
          <w:p>
            <w:pPr>
              <w:pStyle w:val="1"/>
              <w:jc w:val="both"/>
            </w:pPr>
            <w:r>
              <w:rPr>
                <w:sz w:val="20"/>
              </w:rPr>
              <w:t xml:space="preserve">Совокупная номинальная </w:t>
            </w:r>
          </w:p>
          <w:p>
            <w:pPr>
              <w:pStyle w:val="1"/>
              <w:jc w:val="both"/>
            </w:pPr>
            <w:r>
              <w:rPr>
                <w:sz w:val="20"/>
              </w:rPr>
              <w:t xml:space="preserve">тепловая мощность (MW) </w:t>
            </w:r>
          </w:p>
        </w:tc>
        <w:tc>
          <w:tcPr>
            <w:tcW w:w="4563" w:type="dxa"/>
            <w:tcBorders>
              <w:top w:val="nil"/>
            </w:tcBorders>
          </w:tcPr>
          <w:p>
            <w:pPr>
              <w:pStyle w:val="1"/>
              <w:jc w:val="both"/>
            </w:pPr>
            <w:r>
              <w:rPr>
                <w:sz w:val="20"/>
              </w:rPr>
              <w:t xml:space="preserve">Заводы, разрешение на которые было   </w:t>
            </w:r>
          </w:p>
          <w:p>
            <w:pPr>
              <w:pStyle w:val="1"/>
              <w:jc w:val="both"/>
            </w:pPr>
            <w:r>
              <w:rPr>
                <w:sz w:val="20"/>
              </w:rPr>
              <w:t xml:space="preserve">выдано до 27 ноября 2002 г. или      </w:t>
            </w:r>
          </w:p>
          <w:p>
            <w:pPr>
              <w:pStyle w:val="1"/>
              <w:jc w:val="both"/>
            </w:pPr>
            <w:r>
              <w:rPr>
                <w:sz w:val="20"/>
              </w:rPr>
              <w:t xml:space="preserve">операторы которых подали полностью   </w:t>
            </w:r>
          </w:p>
          <w:p>
            <w:pPr>
              <w:pStyle w:val="1"/>
              <w:jc w:val="both"/>
            </w:pPr>
            <w:r>
              <w:rPr>
                <w:sz w:val="20"/>
              </w:rPr>
              <w:t xml:space="preserve">оформленное заявление на выдачу      </w:t>
            </w:r>
          </w:p>
          <w:p>
            <w:pPr>
              <w:pStyle w:val="1"/>
              <w:jc w:val="both"/>
            </w:pPr>
            <w:r>
              <w:rPr>
                <w:sz w:val="20"/>
              </w:rPr>
              <w:t xml:space="preserve">разрешения до указанной даты, при    </w:t>
            </w:r>
          </w:p>
          <w:p>
            <w:pPr>
              <w:pStyle w:val="1"/>
              <w:jc w:val="both"/>
            </w:pPr>
            <w:r>
              <w:rPr>
                <w:sz w:val="20"/>
              </w:rPr>
              <w:t xml:space="preserve">условии, что такие заводы введены в  </w:t>
            </w:r>
          </w:p>
          <w:p>
            <w:pPr>
              <w:pStyle w:val="1"/>
              <w:jc w:val="both"/>
            </w:pPr>
            <w:r>
              <w:rPr>
                <w:sz w:val="20"/>
              </w:rPr>
              <w:t xml:space="preserve">эксплуатацию не позднее 27 ноября    </w:t>
            </w:r>
          </w:p>
          <w:p>
            <w:pPr>
              <w:pStyle w:val="1"/>
              <w:jc w:val="both"/>
            </w:pPr>
            <w:r>
              <w:rPr>
                <w:sz w:val="20"/>
              </w:rPr>
              <w:t xml:space="preserve">2003 г.                              </w:t>
            </w:r>
          </w:p>
        </w:tc>
        <w:tc>
          <w:tcPr>
            <w:tcW w:w="1521" w:type="dxa"/>
            <w:tcBorders>
              <w:top w:val="nil"/>
            </w:tcBorders>
          </w:tcPr>
          <w:p>
            <w:pPr>
              <w:pStyle w:val="1"/>
              <w:jc w:val="both"/>
            </w:pPr>
            <w:r>
              <w:rPr>
                <w:sz w:val="20"/>
              </w:rPr>
              <w:t xml:space="preserve">Иные заводы</w:t>
            </w:r>
          </w:p>
        </w:tc>
      </w:tr>
      <w:tr>
        <w:trPr>
          <w:trHeight w:val="240" w:hRule="atLeast"/>
        </w:trPr>
        <w:tc>
          <w:tcPr>
            <w:tcW w:w="2925" w:type="dxa"/>
            <w:tcBorders>
              <w:top w:val="nil"/>
            </w:tcBorders>
          </w:tcPr>
          <w:p>
            <w:pPr>
              <w:pStyle w:val="1"/>
              <w:jc w:val="both"/>
            </w:pPr>
            <w:r>
              <w:rPr>
                <w:sz w:val="20"/>
              </w:rPr>
              <w:t xml:space="preserve">               50 - 100</w:t>
            </w:r>
          </w:p>
        </w:tc>
        <w:tc>
          <w:tcPr>
            <w:tcW w:w="4563" w:type="dxa"/>
            <w:tcBorders>
              <w:top w:val="nil"/>
            </w:tcBorders>
          </w:tcPr>
          <w:p>
            <w:pPr>
              <w:pStyle w:val="1"/>
              <w:jc w:val="both"/>
            </w:pPr>
            <w:r>
              <w:rPr>
                <w:sz w:val="20"/>
              </w:rPr>
              <w:t xml:space="preserve">                              80%    </w:t>
            </w:r>
          </w:p>
        </w:tc>
        <w:tc>
          <w:tcPr>
            <w:tcW w:w="1521" w:type="dxa"/>
            <w:tcBorders>
              <w:top w:val="nil"/>
            </w:tcBorders>
          </w:tcPr>
          <w:p>
            <w:pPr>
              <w:pStyle w:val="1"/>
              <w:jc w:val="both"/>
            </w:pPr>
            <w:r>
              <w:rPr>
                <w:sz w:val="20"/>
              </w:rPr>
              <w:t xml:space="preserve">        92%</w:t>
            </w:r>
          </w:p>
        </w:tc>
      </w:tr>
      <w:tr>
        <w:trPr>
          <w:trHeight w:val="240" w:hRule="atLeast"/>
        </w:trPr>
        <w:tc>
          <w:tcPr>
            <w:tcW w:w="2925" w:type="dxa"/>
            <w:tcBorders>
              <w:top w:val="nil"/>
            </w:tcBorders>
          </w:tcPr>
          <w:p>
            <w:pPr>
              <w:pStyle w:val="1"/>
              <w:jc w:val="both"/>
            </w:pPr>
            <w:r>
              <w:rPr>
                <w:sz w:val="20"/>
              </w:rPr>
              <w:t xml:space="preserve">              100 - 300</w:t>
            </w:r>
          </w:p>
        </w:tc>
        <w:tc>
          <w:tcPr>
            <w:tcW w:w="4563" w:type="dxa"/>
            <w:tcBorders>
              <w:top w:val="nil"/>
            </w:tcBorders>
          </w:tcPr>
          <w:p>
            <w:pPr>
              <w:pStyle w:val="1"/>
              <w:jc w:val="both"/>
            </w:pPr>
            <w:r>
              <w:rPr>
                <w:sz w:val="20"/>
              </w:rPr>
              <w:t xml:space="preserve">                              90%    </w:t>
            </w:r>
          </w:p>
        </w:tc>
        <w:tc>
          <w:tcPr>
            <w:tcW w:w="1521" w:type="dxa"/>
            <w:tcBorders>
              <w:top w:val="nil"/>
            </w:tcBorders>
          </w:tcPr>
          <w:p>
            <w:pPr>
              <w:pStyle w:val="1"/>
              <w:jc w:val="both"/>
            </w:pPr>
            <w:r>
              <w:rPr>
                <w:sz w:val="20"/>
              </w:rPr>
              <w:t xml:space="preserve">        92%</w:t>
            </w:r>
          </w:p>
        </w:tc>
      </w:tr>
      <w:tr>
        <w:trPr>
          <w:trHeight w:val="240" w:hRule="atLeast"/>
        </w:trPr>
        <w:tc>
          <w:tcPr>
            <w:tcW w:w="2925" w:type="dxa"/>
            <w:tcBorders>
              <w:top w:val="nil"/>
            </w:tcBorders>
          </w:tcPr>
          <w:p>
            <w:pPr>
              <w:pStyle w:val="1"/>
              <w:jc w:val="both"/>
            </w:pPr>
            <w:r>
              <w:rPr>
                <w:sz w:val="20"/>
              </w:rPr>
              <w:t xml:space="preserve">                  &gt; 300</w:t>
            </w:r>
          </w:p>
        </w:tc>
        <w:tc>
          <w:tcPr>
            <w:tcW w:w="4563" w:type="dxa"/>
            <w:tcBorders>
              <w:top w:val="nil"/>
            </w:tcBorders>
          </w:tcPr>
          <w:p>
            <w:pPr>
              <w:pStyle w:val="1"/>
              <w:jc w:val="both"/>
            </w:pPr>
            <w:r>
              <w:rPr>
                <w:sz w:val="20"/>
              </w:rPr>
              <w:t xml:space="preserve">                              96% &lt;*&gt;</w:t>
            </w:r>
          </w:p>
        </w:tc>
        <w:tc>
          <w:tcPr>
            <w:tcW w:w="1521" w:type="dxa"/>
            <w:tcBorders>
              <w:top w:val="nil"/>
            </w:tcBorders>
          </w:tcPr>
          <w:p>
            <w:pPr>
              <w:pStyle w:val="1"/>
              <w:jc w:val="both"/>
            </w:pPr>
            <w:r>
              <w:rPr>
                <w:sz w:val="20"/>
              </w:rPr>
              <w:t xml:space="preserve">        96%</w:t>
            </w:r>
          </w:p>
        </w:tc>
      </w:tr>
    </w:tbl>
    <w:p>
      <w:pPr>
        <w:pStyle w:val="0"/>
        <w:ind w:firstLine="540"/>
        <w:jc w:val="both"/>
      </w:pPr>
      <w:r>
        <w:rPr>
          <w:sz w:val="20"/>
        </w:rPr>
      </w:r>
    </w:p>
    <w:p>
      <w:pPr>
        <w:pStyle w:val="0"/>
        <w:ind w:firstLine="540"/>
        <w:jc w:val="both"/>
      </w:pPr>
      <w:r>
        <w:rPr>
          <w:sz w:val="20"/>
        </w:rPr>
        <w:t xml:space="preserve">Примечание</w:t>
      </w:r>
    </w:p>
    <w:p>
      <w:pPr>
        <w:pStyle w:val="0"/>
        <w:spacing w:before="200" w:line-rule="auto"/>
        <w:ind w:firstLine="540"/>
        <w:jc w:val="both"/>
      </w:pPr>
      <w:r>
        <w:rPr>
          <w:sz w:val="20"/>
        </w:rPr>
        <w:t xml:space="preserve">&lt;*&gt; Для заводов по сжиганию, сжигающих горючий сланец, минимальный коэффициент десульфуризации составляет 95%.</w:t>
      </w:r>
    </w:p>
    <w:p>
      <w:pPr>
        <w:pStyle w:val="0"/>
        <w:ind w:firstLine="540"/>
        <w:jc w:val="both"/>
      </w:pPr>
      <w:r>
        <w:rPr>
          <w:sz w:val="20"/>
        </w:rPr>
      </w:r>
    </w:p>
    <w:p>
      <w:pPr>
        <w:pStyle w:val="0"/>
        <w:ind w:firstLine="540"/>
        <w:jc w:val="both"/>
      </w:pPr>
      <w:r>
        <w:rPr>
          <w:sz w:val="20"/>
        </w:rPr>
        <w:t xml:space="preserve">2. Минимальные коэффициенты десульфуризации для заводов по сжиганию, предусмотренных </w:t>
      </w:r>
      <w:hyperlink w:history="0" w:anchor="P608" w:tooltip="3. Все разрешения на установки, содержащие заводы по сжиганию, на которые не распространяется действие параграфа 2 настоящей статьи, должны содержать условия, гарантирующие, что выбросы в воздух от таких заводов не превышают пороговые значения выбросов, установленные в части 2 Приложения V к настоящей Директиве.">
        <w:r>
          <w:rPr>
            <w:sz w:val="20"/>
            <w:color w:val="0000ff"/>
          </w:rPr>
          <w:t xml:space="preserve">статьей 30 (3)</w:t>
        </w:r>
      </w:hyperlink>
      <w:r>
        <w:rPr>
          <w:sz w:val="20"/>
        </w:rPr>
        <w:t xml:space="preserve"> настоящей Директивы</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4680"/>
        <w:gridCol w:w="3978"/>
      </w:tblGrid>
      <w:tr>
        <w:trPr>
          <w:trHeight w:val="240" w:hRule="atLeast"/>
        </w:trPr>
        <w:tc>
          <w:tcPr>
            <w:tcW w:w="4797" w:type="dxa"/>
          </w:tcPr>
          <w:p>
            <w:pPr>
              <w:pStyle w:val="1"/>
              <w:jc w:val="both"/>
            </w:pPr>
            <w:r>
              <w:rPr>
                <w:sz w:val="20"/>
              </w:rPr>
              <w:t xml:space="preserve">    Совокупная номинальная тепловая    </w:t>
            </w:r>
          </w:p>
          <w:p>
            <w:pPr>
              <w:pStyle w:val="1"/>
              <w:jc w:val="both"/>
            </w:pPr>
            <w:r>
              <w:rPr>
                <w:sz w:val="20"/>
              </w:rPr>
              <w:t xml:space="preserve">             мощность (MW)             </w:t>
            </w:r>
          </w:p>
        </w:tc>
        <w:tc>
          <w:tcPr>
            <w:tcW w:w="4095" w:type="dxa"/>
          </w:tcPr>
          <w:p>
            <w:pPr>
              <w:pStyle w:val="1"/>
              <w:jc w:val="both"/>
            </w:pPr>
            <w:r>
              <w:rPr>
                <w:sz w:val="20"/>
              </w:rPr>
              <w:t xml:space="preserve">    Минимальные коэффициенты     </w:t>
            </w:r>
          </w:p>
          <w:p>
            <w:pPr>
              <w:pStyle w:val="1"/>
              <w:jc w:val="both"/>
            </w:pPr>
            <w:r>
              <w:rPr>
                <w:sz w:val="20"/>
              </w:rPr>
              <w:t xml:space="preserve">         десульфуризации         </w:t>
            </w:r>
          </w:p>
        </w:tc>
      </w:tr>
      <w:tr>
        <w:trPr>
          <w:trHeight w:val="240" w:hRule="atLeast"/>
        </w:trPr>
        <w:tc>
          <w:tcPr>
            <w:tcW w:w="4797" w:type="dxa"/>
            <w:tcBorders>
              <w:top w:val="nil"/>
            </w:tcBorders>
          </w:tcPr>
          <w:p>
            <w:pPr>
              <w:pStyle w:val="1"/>
              <w:jc w:val="both"/>
            </w:pPr>
            <w:r>
              <w:rPr>
                <w:sz w:val="20"/>
              </w:rPr>
              <w:t xml:space="preserve">                               50 - 100</w:t>
            </w:r>
          </w:p>
        </w:tc>
        <w:tc>
          <w:tcPr>
            <w:tcW w:w="4095" w:type="dxa"/>
            <w:tcBorders>
              <w:top w:val="nil"/>
            </w:tcBorders>
          </w:tcPr>
          <w:p>
            <w:pPr>
              <w:pStyle w:val="1"/>
              <w:jc w:val="both"/>
            </w:pPr>
            <w:r>
              <w:rPr>
                <w:sz w:val="20"/>
              </w:rPr>
              <w:t xml:space="preserve">                              93%</w:t>
            </w:r>
          </w:p>
        </w:tc>
      </w:tr>
      <w:tr>
        <w:trPr>
          <w:trHeight w:val="240" w:hRule="atLeast"/>
        </w:trPr>
        <w:tc>
          <w:tcPr>
            <w:tcW w:w="4797" w:type="dxa"/>
            <w:tcBorders>
              <w:top w:val="nil"/>
            </w:tcBorders>
          </w:tcPr>
          <w:p>
            <w:pPr>
              <w:pStyle w:val="1"/>
              <w:jc w:val="both"/>
            </w:pPr>
            <w:r>
              <w:rPr>
                <w:sz w:val="20"/>
              </w:rPr>
              <w:t xml:space="preserve">                              100 - 300</w:t>
            </w:r>
          </w:p>
        </w:tc>
        <w:tc>
          <w:tcPr>
            <w:tcW w:w="4095" w:type="dxa"/>
            <w:tcBorders>
              <w:top w:val="nil"/>
            </w:tcBorders>
          </w:tcPr>
          <w:p>
            <w:pPr>
              <w:pStyle w:val="1"/>
              <w:jc w:val="both"/>
            </w:pPr>
            <w:r>
              <w:rPr>
                <w:sz w:val="20"/>
              </w:rPr>
              <w:t xml:space="preserve">                              93%</w:t>
            </w:r>
          </w:p>
        </w:tc>
      </w:tr>
      <w:tr>
        <w:trPr>
          <w:trHeight w:val="240" w:hRule="atLeast"/>
        </w:trPr>
        <w:tc>
          <w:tcPr>
            <w:tcW w:w="4797" w:type="dxa"/>
            <w:tcBorders>
              <w:top w:val="nil"/>
            </w:tcBorders>
          </w:tcPr>
          <w:p>
            <w:pPr>
              <w:pStyle w:val="1"/>
              <w:jc w:val="both"/>
            </w:pPr>
            <w:r>
              <w:rPr>
                <w:sz w:val="20"/>
              </w:rPr>
              <w:t xml:space="preserve">                                  &gt; 300</w:t>
            </w:r>
          </w:p>
        </w:tc>
        <w:tc>
          <w:tcPr>
            <w:tcW w:w="4095" w:type="dxa"/>
            <w:tcBorders>
              <w:top w:val="nil"/>
            </w:tcBorders>
          </w:tcPr>
          <w:p>
            <w:pPr>
              <w:pStyle w:val="1"/>
              <w:jc w:val="both"/>
            </w:pPr>
            <w:r>
              <w:rPr>
                <w:sz w:val="20"/>
              </w:rPr>
              <w:t xml:space="preserve">                              97%</w:t>
            </w:r>
          </w:p>
        </w:tc>
      </w:tr>
    </w:tbl>
    <w:p>
      <w:pPr>
        <w:pStyle w:val="0"/>
        <w:ind w:firstLine="540"/>
        <w:jc w:val="both"/>
      </w:pPr>
      <w:r>
        <w:rPr>
          <w:sz w:val="20"/>
        </w:rPr>
      </w:r>
    </w:p>
    <w:bookmarkStart w:id="2036" w:name="P2036"/>
    <w:bookmarkEnd w:id="2036"/>
    <w:p>
      <w:pPr>
        <w:pStyle w:val="0"/>
        <w:outlineLvl w:val="1"/>
        <w:jc w:val="center"/>
      </w:pPr>
      <w:r>
        <w:rPr>
          <w:sz w:val="20"/>
        </w:rPr>
        <w:t xml:space="preserve">Часть 6</w:t>
      </w:r>
    </w:p>
    <w:p>
      <w:pPr>
        <w:pStyle w:val="0"/>
        <w:jc w:val="center"/>
      </w:pPr>
      <w:r>
        <w:rPr>
          <w:sz w:val="20"/>
        </w:rPr>
      </w:r>
    </w:p>
    <w:p>
      <w:pPr>
        <w:pStyle w:val="0"/>
        <w:jc w:val="center"/>
      </w:pPr>
      <w:r>
        <w:rPr>
          <w:sz w:val="20"/>
        </w:rPr>
        <w:t xml:space="preserve">Соблюдение минимальных коэффициентов десульфуризации</w:t>
      </w:r>
    </w:p>
    <w:p>
      <w:pPr>
        <w:pStyle w:val="0"/>
        <w:jc w:val="center"/>
      </w:pPr>
      <w:r>
        <w:rPr>
          <w:sz w:val="20"/>
        </w:rPr>
      </w:r>
    </w:p>
    <w:p>
      <w:pPr>
        <w:pStyle w:val="0"/>
        <w:ind w:firstLine="540"/>
        <w:jc w:val="both"/>
      </w:pPr>
      <w:r>
        <w:rPr>
          <w:sz w:val="20"/>
        </w:rPr>
        <w:t xml:space="preserve">Минимальные коэффициенты десульфуризации, установленные </w:t>
      </w:r>
      <w:hyperlink w:history="0" w:anchor="P1995" w:tooltip="Часть 5">
        <w:r>
          <w:rPr>
            <w:sz w:val="20"/>
            <w:color w:val="0000ff"/>
          </w:rPr>
          <w:t xml:space="preserve">частью 5</w:t>
        </w:r>
      </w:hyperlink>
      <w:r>
        <w:rPr>
          <w:sz w:val="20"/>
        </w:rPr>
        <w:t xml:space="preserve"> настоящего Приложения, применяются в качестве среднемесячного порогового значения.</w:t>
      </w:r>
    </w:p>
    <w:p>
      <w:pPr>
        <w:pStyle w:val="0"/>
        <w:ind w:firstLine="540"/>
        <w:jc w:val="both"/>
      </w:pPr>
      <w:r>
        <w:rPr>
          <w:sz w:val="20"/>
        </w:rPr>
      </w:r>
    </w:p>
    <w:bookmarkStart w:id="2042" w:name="P2042"/>
    <w:bookmarkEnd w:id="2042"/>
    <w:p>
      <w:pPr>
        <w:pStyle w:val="0"/>
        <w:outlineLvl w:val="1"/>
        <w:jc w:val="center"/>
      </w:pPr>
      <w:r>
        <w:rPr>
          <w:sz w:val="20"/>
        </w:rPr>
        <w:t xml:space="preserve">Часть 7</w:t>
      </w:r>
    </w:p>
    <w:p>
      <w:pPr>
        <w:pStyle w:val="0"/>
        <w:jc w:val="center"/>
      </w:pPr>
      <w:r>
        <w:rPr>
          <w:sz w:val="20"/>
        </w:rPr>
      </w:r>
    </w:p>
    <w:p>
      <w:pPr>
        <w:pStyle w:val="0"/>
        <w:jc w:val="center"/>
      </w:pPr>
      <w:r>
        <w:rPr>
          <w:sz w:val="20"/>
        </w:rPr>
        <w:t xml:space="preserve">Средние пороговые значения выбросов для многотопливных</w:t>
      </w:r>
    </w:p>
    <w:p>
      <w:pPr>
        <w:pStyle w:val="0"/>
        <w:jc w:val="center"/>
      </w:pPr>
      <w:r>
        <w:rPr>
          <w:sz w:val="20"/>
        </w:rPr>
        <w:t xml:space="preserve">заводов по сжиганию в составе очистительных заводов</w:t>
      </w:r>
    </w:p>
    <w:p>
      <w:pPr>
        <w:pStyle w:val="0"/>
        <w:jc w:val="center"/>
      </w:pPr>
      <w:r>
        <w:rPr>
          <w:sz w:val="20"/>
        </w:rPr>
      </w:r>
    </w:p>
    <w:p>
      <w:pPr>
        <w:pStyle w:val="1"/>
        <w:jc w:val="both"/>
      </w:pPr>
      <w:r>
        <w:rPr>
          <w:sz w:val="20"/>
        </w:rPr>
        <w:t xml:space="preserve">                                              3</w:t>
      </w:r>
    </w:p>
    <w:p>
      <w:pPr>
        <w:pStyle w:val="1"/>
        <w:jc w:val="both"/>
      </w:pPr>
      <w:r>
        <w:rPr>
          <w:sz w:val="20"/>
        </w:rPr>
        <w:t xml:space="preserve">    Средние пороговые значения выбросов (мг/Nm ) для SO  для многотопливных</w:t>
      </w:r>
    </w:p>
    <w:p>
      <w:pPr>
        <w:pStyle w:val="1"/>
        <w:jc w:val="both"/>
      </w:pPr>
      <w:r>
        <w:rPr>
          <w:sz w:val="20"/>
        </w:rPr>
        <w:t xml:space="preserve">                                                       2</w:t>
      </w:r>
    </w:p>
    <w:p>
      <w:pPr>
        <w:pStyle w:val="1"/>
        <w:jc w:val="both"/>
      </w:pPr>
      <w:r>
        <w:rPr>
          <w:sz w:val="20"/>
        </w:rPr>
        <w:t xml:space="preserve">заводов по сжиганию в составе очистительных заводов, за исключением газовых</w:t>
      </w:r>
    </w:p>
    <w:p>
      <w:pPr>
        <w:pStyle w:val="1"/>
        <w:jc w:val="both"/>
      </w:pPr>
      <w:r>
        <w:rPr>
          <w:sz w:val="20"/>
        </w:rPr>
        <w:t xml:space="preserve">турбин  и газовых двигателей, использующих дистилляцию и конверсию остатков</w:t>
      </w:r>
    </w:p>
    <w:p>
      <w:pPr>
        <w:pStyle w:val="1"/>
        <w:jc w:val="both"/>
      </w:pPr>
      <w:r>
        <w:rPr>
          <w:sz w:val="20"/>
        </w:rPr>
        <w:t xml:space="preserve">перегонки сырой нефти для собственных нужд отдельно или совместно с другими</w:t>
      </w:r>
    </w:p>
    <w:p>
      <w:pPr>
        <w:pStyle w:val="1"/>
        <w:jc w:val="both"/>
      </w:pPr>
      <w:r>
        <w:rPr>
          <w:sz w:val="20"/>
        </w:rPr>
        <w:t xml:space="preserve">видами топлива:</w:t>
      </w:r>
    </w:p>
    <w:p>
      <w:pPr>
        <w:pStyle w:val="1"/>
        <w:jc w:val="both"/>
      </w:pPr>
      <w:r>
        <w:rPr>
          <w:sz w:val="20"/>
        </w:rPr>
        <w:t xml:space="preserve">    a)  для  заводов  по  сжиганию, разрешение на которые было выдано до 27</w:t>
      </w:r>
    </w:p>
    <w:p>
      <w:pPr>
        <w:pStyle w:val="1"/>
        <w:jc w:val="both"/>
      </w:pPr>
      <w:r>
        <w:rPr>
          <w:sz w:val="20"/>
        </w:rPr>
        <w:t xml:space="preserve">ноября 2002 г. или операторы которых подали полностью оформленное заявление</w:t>
      </w:r>
    </w:p>
    <w:p>
      <w:pPr>
        <w:pStyle w:val="1"/>
        <w:jc w:val="both"/>
      </w:pPr>
      <w:r>
        <w:rPr>
          <w:sz w:val="20"/>
        </w:rPr>
        <w:t xml:space="preserve">на  выдачу  разрешения  до  указанной  даты,  при условии, что такие заводы</w:t>
      </w:r>
    </w:p>
    <w:p>
      <w:pPr>
        <w:pStyle w:val="1"/>
        <w:jc w:val="both"/>
      </w:pPr>
      <w:r>
        <w:rPr>
          <w:sz w:val="20"/>
        </w:rPr>
        <w:t xml:space="preserve">                                                                3</w:t>
      </w:r>
    </w:p>
    <w:p>
      <w:pPr>
        <w:pStyle w:val="1"/>
        <w:jc w:val="both"/>
      </w:pPr>
      <w:r>
        <w:rPr>
          <w:sz w:val="20"/>
        </w:rPr>
        <w:t xml:space="preserve">введены в эксплуатацию не позднее 27 ноября 2003 г. - 1000 мг/Nm ;</w:t>
      </w:r>
    </w:p>
    <w:p>
      <w:pPr>
        <w:pStyle w:val="1"/>
        <w:jc w:val="both"/>
      </w:pPr>
      <w:r>
        <w:rPr>
          <w:sz w:val="20"/>
        </w:rPr>
        <w:t xml:space="preserve">                                               3</w:t>
      </w:r>
    </w:p>
    <w:p>
      <w:pPr>
        <w:pStyle w:val="1"/>
        <w:jc w:val="both"/>
      </w:pPr>
      <w:r>
        <w:rPr>
          <w:sz w:val="20"/>
        </w:rPr>
        <w:t xml:space="preserve">    b) для иных заводов по сжиганию - 600 мг/Nm .</w:t>
      </w:r>
    </w:p>
    <w:p>
      <w:pPr>
        <w:pStyle w:val="1"/>
        <w:jc w:val="both"/>
      </w:pPr>
      <w:r>
        <w:rPr>
          <w:sz w:val="20"/>
        </w:rPr>
        <w:t xml:space="preserve">    Указанные  пороговые  значения  выбросов  исчисляются  при  температуре</w:t>
      </w:r>
    </w:p>
    <w:p>
      <w:pPr>
        <w:pStyle w:val="1"/>
        <w:jc w:val="both"/>
      </w:pPr>
      <w:r>
        <w:rPr>
          <w:sz w:val="20"/>
        </w:rPr>
        <w:t xml:space="preserve">273,15 K,  давлении 101,3 kPa, после корректировок содержания водяного пара</w:t>
      </w:r>
    </w:p>
    <w:p>
      <w:pPr>
        <w:pStyle w:val="1"/>
        <w:jc w:val="both"/>
      </w:pPr>
      <w:r>
        <w:rPr>
          <w:sz w:val="20"/>
        </w:rPr>
        <w:t xml:space="preserve">в  отработанных  газах  и  при  стандартном  содержании  O ,  равном 6% для</w:t>
      </w:r>
    </w:p>
    <w:p>
      <w:pPr>
        <w:pStyle w:val="1"/>
        <w:jc w:val="both"/>
      </w:pPr>
      <w:r>
        <w:rPr>
          <w:sz w:val="20"/>
        </w:rPr>
        <w:t xml:space="preserve">                                                          2</w:t>
      </w:r>
    </w:p>
    <w:p>
      <w:pPr>
        <w:pStyle w:val="1"/>
        <w:jc w:val="both"/>
      </w:pPr>
      <w:r>
        <w:rPr>
          <w:sz w:val="20"/>
        </w:rPr>
        <w:t xml:space="preserve">твердого топлива и 3% для жидкого и газообразного топлива.</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 VI</w:t>
      </w:r>
    </w:p>
    <w:p>
      <w:pPr>
        <w:pStyle w:val="0"/>
        <w:jc w:val="right"/>
      </w:pPr>
      <w:r>
        <w:rPr>
          <w:sz w:val="20"/>
        </w:rPr>
      </w:r>
    </w:p>
    <w:bookmarkStart w:id="2073" w:name="P2073"/>
    <w:bookmarkEnd w:id="2073"/>
    <w:p>
      <w:pPr>
        <w:pStyle w:val="2"/>
        <w:jc w:val="center"/>
      </w:pPr>
      <w:r>
        <w:rPr>
          <w:sz w:val="20"/>
        </w:rPr>
        <w:t xml:space="preserve">ТЕХНИЧЕСКИЕ ХАРАКТЕРИСТИКИ</w:t>
      </w:r>
    </w:p>
    <w:p>
      <w:pPr>
        <w:pStyle w:val="2"/>
        <w:jc w:val="center"/>
      </w:pPr>
      <w:r>
        <w:rPr>
          <w:sz w:val="20"/>
        </w:rPr>
        <w:t xml:space="preserve">ЗАВОДОВ ПО СЖИГАНИЮ ОТХОДОВ И ЗАВОДОВ ПО СОВМЕСТНОМУ</w:t>
      </w:r>
    </w:p>
    <w:p>
      <w:pPr>
        <w:pStyle w:val="2"/>
        <w:jc w:val="center"/>
      </w:pPr>
      <w:r>
        <w:rPr>
          <w:sz w:val="20"/>
        </w:rPr>
        <w:t xml:space="preserve">СЖИГАНИЮ ОТХОДОВ</w:t>
      </w:r>
    </w:p>
    <w:p>
      <w:pPr>
        <w:pStyle w:val="0"/>
        <w:jc w:val="center"/>
      </w:pPr>
      <w:r>
        <w:rPr>
          <w:sz w:val="20"/>
        </w:rPr>
      </w:r>
    </w:p>
    <w:p>
      <w:pPr>
        <w:pStyle w:val="0"/>
        <w:outlineLvl w:val="1"/>
        <w:jc w:val="center"/>
      </w:pPr>
      <w:r>
        <w:rPr>
          <w:sz w:val="20"/>
        </w:rPr>
        <w:t xml:space="preserve">Часть 1</w:t>
      </w:r>
    </w:p>
    <w:p>
      <w:pPr>
        <w:pStyle w:val="0"/>
        <w:jc w:val="center"/>
      </w:pPr>
      <w:r>
        <w:rPr>
          <w:sz w:val="20"/>
        </w:rPr>
      </w:r>
    </w:p>
    <w:p>
      <w:pPr>
        <w:pStyle w:val="0"/>
        <w:jc w:val="center"/>
      </w:pPr>
      <w:r>
        <w:rPr>
          <w:sz w:val="20"/>
        </w:rPr>
        <w:t xml:space="preserve">Определения</w:t>
      </w:r>
    </w:p>
    <w:p>
      <w:pPr>
        <w:pStyle w:val="0"/>
        <w:jc w:val="center"/>
      </w:pPr>
      <w:r>
        <w:rPr>
          <w:sz w:val="20"/>
        </w:rPr>
      </w:r>
    </w:p>
    <w:p>
      <w:pPr>
        <w:pStyle w:val="0"/>
        <w:ind w:firstLine="540"/>
        <w:jc w:val="both"/>
      </w:pPr>
      <w:r>
        <w:rPr>
          <w:sz w:val="20"/>
        </w:rPr>
        <w:t xml:space="preserve">В целях настоящего Приложения применяются следующие определения:</w:t>
      </w:r>
    </w:p>
    <w:bookmarkStart w:id="2082" w:name="P2082"/>
    <w:bookmarkEnd w:id="2082"/>
    <w:p>
      <w:pPr>
        <w:pStyle w:val="0"/>
        <w:spacing w:before="200" w:line-rule="auto"/>
        <w:ind w:firstLine="540"/>
        <w:jc w:val="both"/>
      </w:pPr>
      <w:r>
        <w:rPr>
          <w:sz w:val="20"/>
        </w:rPr>
        <w:t xml:space="preserve">a) под "существующим заводом по сжиганию отходов" понимается один из следующих заводов:</w:t>
      </w:r>
    </w:p>
    <w:p>
      <w:pPr>
        <w:pStyle w:val="0"/>
        <w:spacing w:before="200" w:line-rule="auto"/>
        <w:ind w:firstLine="540"/>
        <w:jc w:val="both"/>
      </w:pPr>
      <w:r>
        <w:rPr>
          <w:sz w:val="20"/>
        </w:rPr>
        <w:t xml:space="preserve">i) заводы, которые функционировали и получили разрешение в соответствии с применимым законодательством Европейского Союза до 28 декабря 2002 г.,</w:t>
      </w:r>
    </w:p>
    <w:p>
      <w:pPr>
        <w:pStyle w:val="0"/>
        <w:spacing w:before="200" w:line-rule="auto"/>
        <w:ind w:firstLine="540"/>
        <w:jc w:val="both"/>
      </w:pPr>
      <w:r>
        <w:rPr>
          <w:sz w:val="20"/>
        </w:rPr>
        <w:t xml:space="preserve">ii) заводы, которые получили разрешение или были зарегистрированы в качестве заводов по сжиганию отходов и получили разрешение в соответствии с применимым законодательством Европейского Союза до 28 декабря 2002 г., при условии, что такие заводы введены в эксплуатацию не позднее 28 декабря 2003 г.,</w:t>
      </w:r>
    </w:p>
    <w:p>
      <w:pPr>
        <w:pStyle w:val="0"/>
        <w:spacing w:before="200" w:line-rule="auto"/>
        <w:ind w:firstLine="540"/>
        <w:jc w:val="both"/>
      </w:pPr>
      <w:r>
        <w:rPr>
          <w:sz w:val="20"/>
        </w:rPr>
        <w:t xml:space="preserve">iii) заводы, которые, по мнению компетентного органа, являлись предметом заявления на выдачу разрешения до 28 декабря 2002 г., при условии, что такие заводы введены в эксплуатацию не позднее 28 декабря 2004 г.;</w:t>
      </w:r>
    </w:p>
    <w:bookmarkStart w:id="2086" w:name="P2086"/>
    <w:bookmarkEnd w:id="2086"/>
    <w:p>
      <w:pPr>
        <w:pStyle w:val="0"/>
        <w:spacing w:before="200" w:line-rule="auto"/>
        <w:ind w:firstLine="540"/>
        <w:jc w:val="both"/>
      </w:pPr>
      <w:r>
        <w:rPr>
          <w:sz w:val="20"/>
        </w:rPr>
        <w:t xml:space="preserve">b) под "новым заводом по сжиганию отходов" понимается завод по сжиганию отходов, на который не распространяется </w:t>
      </w:r>
      <w:hyperlink w:history="0" w:anchor="P2082" w:tooltip="a) под &quot;существующим заводом по сжиганию отходов&quot; понимается один из следующих заводов:">
        <w:r>
          <w:rPr>
            <w:sz w:val="20"/>
            <w:color w:val="0000ff"/>
          </w:rPr>
          <w:t xml:space="preserve">пункт "a"</w:t>
        </w:r>
      </w:hyperlink>
      <w:r>
        <w:rPr>
          <w:sz w:val="20"/>
        </w:rPr>
        <w:t xml:space="preserve">.</w:t>
      </w:r>
    </w:p>
    <w:p>
      <w:pPr>
        <w:pStyle w:val="0"/>
        <w:ind w:firstLine="540"/>
        <w:jc w:val="both"/>
      </w:pPr>
      <w:r>
        <w:rPr>
          <w:sz w:val="20"/>
        </w:rPr>
      </w:r>
    </w:p>
    <w:bookmarkStart w:id="2088" w:name="P2088"/>
    <w:bookmarkEnd w:id="2088"/>
    <w:p>
      <w:pPr>
        <w:pStyle w:val="0"/>
        <w:outlineLvl w:val="1"/>
        <w:jc w:val="center"/>
      </w:pPr>
      <w:r>
        <w:rPr>
          <w:sz w:val="20"/>
        </w:rPr>
        <w:t xml:space="preserve">Часть 2</w:t>
      </w:r>
    </w:p>
    <w:p>
      <w:pPr>
        <w:pStyle w:val="0"/>
        <w:jc w:val="center"/>
      </w:pPr>
      <w:r>
        <w:rPr>
          <w:sz w:val="20"/>
        </w:rPr>
      </w:r>
    </w:p>
    <w:p>
      <w:pPr>
        <w:pStyle w:val="0"/>
        <w:jc w:val="center"/>
      </w:pPr>
      <w:r>
        <w:rPr>
          <w:sz w:val="20"/>
        </w:rPr>
        <w:t xml:space="preserve">Коэффициенты эквивалентности</w:t>
      </w:r>
    </w:p>
    <w:p>
      <w:pPr>
        <w:pStyle w:val="0"/>
        <w:jc w:val="center"/>
      </w:pPr>
      <w:r>
        <w:rPr>
          <w:sz w:val="20"/>
        </w:rPr>
        <w:t xml:space="preserve">для дибензо-пи-диоксинов и дибензофуранов</w:t>
      </w:r>
    </w:p>
    <w:p>
      <w:pPr>
        <w:pStyle w:val="0"/>
        <w:jc w:val="center"/>
      </w:pPr>
      <w:r>
        <w:rPr>
          <w:sz w:val="20"/>
        </w:rPr>
      </w:r>
    </w:p>
    <w:p>
      <w:pPr>
        <w:pStyle w:val="0"/>
        <w:ind w:firstLine="540"/>
        <w:jc w:val="both"/>
      </w:pPr>
      <w:r>
        <w:rPr>
          <w:sz w:val="20"/>
        </w:rPr>
        <w:t xml:space="preserve">В целях определения совокупной концентрации диоксинов и фуранов концентрация по массе следующих дибензо-пи-диоксинов и дибензофуранов умножается на соответствующий коэффициент эквивалентности, а затем складывается:</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6201"/>
        <w:gridCol w:w="2457"/>
      </w:tblGrid>
      <w:tr>
        <w:trPr>
          <w:trHeight w:val="240" w:hRule="atLeast"/>
        </w:trPr>
        <w:tc>
          <w:tcPr>
            <w:tcW w:w="6318" w:type="dxa"/>
          </w:tcPr>
          <w:p>
            <w:pPr>
              <w:pStyle w:val="1"/>
              <w:jc w:val="both"/>
            </w:pPr>
            <w:r>
              <w:rPr>
                <w:sz w:val="20"/>
              </w:rPr>
            </w:r>
          </w:p>
        </w:tc>
        <w:tc>
          <w:tcPr>
            <w:tcW w:w="2574" w:type="dxa"/>
          </w:tcPr>
          <w:p>
            <w:pPr>
              <w:pStyle w:val="1"/>
              <w:jc w:val="both"/>
            </w:pPr>
            <w:r>
              <w:rPr>
                <w:sz w:val="20"/>
              </w:rPr>
              <w:t xml:space="preserve">    Коэффициенты    </w:t>
            </w:r>
          </w:p>
          <w:p>
            <w:pPr>
              <w:pStyle w:val="1"/>
              <w:jc w:val="both"/>
            </w:pPr>
            <w:r>
              <w:rPr>
                <w:sz w:val="20"/>
              </w:rPr>
              <w:t xml:space="preserve">    токсической     </w:t>
            </w:r>
          </w:p>
          <w:p>
            <w:pPr>
              <w:pStyle w:val="1"/>
              <w:jc w:val="both"/>
            </w:pPr>
            <w:r>
              <w:rPr>
                <w:sz w:val="20"/>
              </w:rPr>
              <w:t xml:space="preserve">  эквивалентности   </w:t>
            </w:r>
          </w:p>
        </w:tc>
      </w:tr>
      <w:tr>
        <w:trPr>
          <w:trHeight w:val="240" w:hRule="atLeast"/>
        </w:trPr>
        <w:tc>
          <w:tcPr>
            <w:tcW w:w="6318" w:type="dxa"/>
            <w:tcBorders>
              <w:top w:val="nil"/>
            </w:tcBorders>
          </w:tcPr>
          <w:p>
            <w:pPr>
              <w:pStyle w:val="1"/>
              <w:jc w:val="both"/>
            </w:pPr>
            <w:r>
              <w:rPr>
                <w:sz w:val="20"/>
              </w:rPr>
              <w:t xml:space="preserve">2,3,7,8-тетрахлородибензодиоксин (TCDD)             </w:t>
            </w:r>
          </w:p>
        </w:tc>
        <w:tc>
          <w:tcPr>
            <w:tcW w:w="2574" w:type="dxa"/>
            <w:tcBorders>
              <w:top w:val="nil"/>
            </w:tcBorders>
          </w:tcPr>
          <w:p>
            <w:pPr>
              <w:pStyle w:val="1"/>
              <w:jc w:val="both"/>
            </w:pPr>
            <w:r>
              <w:rPr>
                <w:sz w:val="20"/>
              </w:rPr>
              <w:t xml:space="preserve">               1    </w:t>
            </w:r>
          </w:p>
        </w:tc>
      </w:tr>
      <w:tr>
        <w:trPr>
          <w:trHeight w:val="240" w:hRule="atLeast"/>
        </w:trPr>
        <w:tc>
          <w:tcPr>
            <w:tcW w:w="6318" w:type="dxa"/>
            <w:tcBorders>
              <w:top w:val="nil"/>
            </w:tcBorders>
          </w:tcPr>
          <w:p>
            <w:pPr>
              <w:pStyle w:val="1"/>
              <w:jc w:val="both"/>
            </w:pPr>
            <w:r>
              <w:rPr>
                <w:sz w:val="20"/>
              </w:rPr>
              <w:t xml:space="preserve">1,2,3,7,8-пентахлородибензодиоксин (PeCDD)          </w:t>
            </w:r>
          </w:p>
        </w:tc>
        <w:tc>
          <w:tcPr>
            <w:tcW w:w="2574" w:type="dxa"/>
            <w:tcBorders>
              <w:top w:val="nil"/>
            </w:tcBorders>
          </w:tcPr>
          <w:p>
            <w:pPr>
              <w:pStyle w:val="1"/>
              <w:jc w:val="both"/>
            </w:pPr>
            <w:r>
              <w:rPr>
                <w:sz w:val="20"/>
              </w:rPr>
              <w:t xml:space="preserve">               0,5  </w:t>
            </w:r>
          </w:p>
        </w:tc>
      </w:tr>
      <w:tr>
        <w:trPr>
          <w:trHeight w:val="240" w:hRule="atLeast"/>
        </w:trPr>
        <w:tc>
          <w:tcPr>
            <w:tcW w:w="6318" w:type="dxa"/>
            <w:tcBorders>
              <w:top w:val="nil"/>
            </w:tcBorders>
          </w:tcPr>
          <w:p>
            <w:pPr>
              <w:pStyle w:val="1"/>
              <w:jc w:val="both"/>
            </w:pPr>
            <w:r>
              <w:rPr>
                <w:sz w:val="20"/>
              </w:rPr>
              <w:t xml:space="preserve">1,2,3,4,7,8-гексахлородибензодиоксин (HxCDD)        </w:t>
            </w:r>
          </w:p>
        </w:tc>
        <w:tc>
          <w:tcPr>
            <w:tcW w:w="2574" w:type="dxa"/>
            <w:tcBorders>
              <w:top w:val="nil"/>
            </w:tcBorders>
          </w:tcPr>
          <w:p>
            <w:pPr>
              <w:pStyle w:val="1"/>
              <w:jc w:val="both"/>
            </w:pPr>
            <w:r>
              <w:rPr>
                <w:sz w:val="20"/>
              </w:rPr>
              <w:t xml:space="preserve">               0,1  </w:t>
            </w:r>
          </w:p>
        </w:tc>
      </w:tr>
      <w:tr>
        <w:trPr>
          <w:trHeight w:val="240" w:hRule="atLeast"/>
        </w:trPr>
        <w:tc>
          <w:tcPr>
            <w:tcW w:w="6318" w:type="dxa"/>
            <w:tcBorders>
              <w:top w:val="nil"/>
            </w:tcBorders>
          </w:tcPr>
          <w:p>
            <w:pPr>
              <w:pStyle w:val="1"/>
              <w:jc w:val="both"/>
            </w:pPr>
            <w:r>
              <w:rPr>
                <w:sz w:val="20"/>
              </w:rPr>
              <w:t xml:space="preserve">1,2,3,6,7,8-гексахлородибензодиоксин (HxCDD)        </w:t>
            </w:r>
          </w:p>
        </w:tc>
        <w:tc>
          <w:tcPr>
            <w:tcW w:w="2574" w:type="dxa"/>
            <w:tcBorders>
              <w:top w:val="nil"/>
            </w:tcBorders>
          </w:tcPr>
          <w:p>
            <w:pPr>
              <w:pStyle w:val="1"/>
              <w:jc w:val="both"/>
            </w:pPr>
            <w:r>
              <w:rPr>
                <w:sz w:val="20"/>
              </w:rPr>
              <w:t xml:space="preserve">               0,1  </w:t>
            </w:r>
          </w:p>
        </w:tc>
      </w:tr>
      <w:tr>
        <w:trPr>
          <w:trHeight w:val="240" w:hRule="atLeast"/>
        </w:trPr>
        <w:tc>
          <w:tcPr>
            <w:tcW w:w="6318" w:type="dxa"/>
            <w:tcBorders>
              <w:top w:val="nil"/>
            </w:tcBorders>
          </w:tcPr>
          <w:p>
            <w:pPr>
              <w:pStyle w:val="1"/>
              <w:jc w:val="both"/>
            </w:pPr>
            <w:r>
              <w:rPr>
                <w:sz w:val="20"/>
              </w:rPr>
              <w:t xml:space="preserve">1,2,3,7,8,9-гексахлородибензодиоксин (HxCDD)        </w:t>
            </w:r>
          </w:p>
        </w:tc>
        <w:tc>
          <w:tcPr>
            <w:tcW w:w="2574" w:type="dxa"/>
            <w:tcBorders>
              <w:top w:val="nil"/>
            </w:tcBorders>
          </w:tcPr>
          <w:p>
            <w:pPr>
              <w:pStyle w:val="1"/>
              <w:jc w:val="both"/>
            </w:pPr>
            <w:r>
              <w:rPr>
                <w:sz w:val="20"/>
              </w:rPr>
              <w:t xml:space="preserve">               0,1  </w:t>
            </w:r>
          </w:p>
        </w:tc>
      </w:tr>
      <w:tr>
        <w:trPr>
          <w:trHeight w:val="240" w:hRule="atLeast"/>
        </w:trPr>
        <w:tc>
          <w:tcPr>
            <w:tcW w:w="6318" w:type="dxa"/>
            <w:tcBorders>
              <w:top w:val="nil"/>
            </w:tcBorders>
          </w:tcPr>
          <w:p>
            <w:pPr>
              <w:pStyle w:val="1"/>
              <w:jc w:val="both"/>
            </w:pPr>
            <w:r>
              <w:rPr>
                <w:sz w:val="20"/>
              </w:rPr>
              <w:t xml:space="preserve">1,2,3,4,6,7,8-гептахлородибензодиоксин (HpCDD)      </w:t>
            </w:r>
          </w:p>
        </w:tc>
        <w:tc>
          <w:tcPr>
            <w:tcW w:w="2574" w:type="dxa"/>
            <w:tcBorders>
              <w:top w:val="nil"/>
            </w:tcBorders>
          </w:tcPr>
          <w:p>
            <w:pPr>
              <w:pStyle w:val="1"/>
              <w:jc w:val="both"/>
            </w:pPr>
            <w:r>
              <w:rPr>
                <w:sz w:val="20"/>
              </w:rPr>
              <w:t xml:space="preserve">               0,01 </w:t>
            </w:r>
          </w:p>
        </w:tc>
      </w:tr>
      <w:tr>
        <w:trPr>
          <w:trHeight w:val="240" w:hRule="atLeast"/>
        </w:trPr>
        <w:tc>
          <w:tcPr>
            <w:tcW w:w="6318" w:type="dxa"/>
            <w:tcBorders>
              <w:top w:val="nil"/>
            </w:tcBorders>
          </w:tcPr>
          <w:p>
            <w:pPr>
              <w:pStyle w:val="1"/>
              <w:jc w:val="both"/>
            </w:pPr>
            <w:r>
              <w:rPr>
                <w:sz w:val="20"/>
              </w:rPr>
              <w:t xml:space="preserve">Октахлородибензодиоксин (OCDD)                      </w:t>
            </w:r>
          </w:p>
        </w:tc>
        <w:tc>
          <w:tcPr>
            <w:tcW w:w="2574" w:type="dxa"/>
            <w:tcBorders>
              <w:top w:val="nil"/>
            </w:tcBorders>
          </w:tcPr>
          <w:p>
            <w:pPr>
              <w:pStyle w:val="1"/>
              <w:jc w:val="both"/>
            </w:pPr>
            <w:r>
              <w:rPr>
                <w:sz w:val="20"/>
              </w:rPr>
              <w:t xml:space="preserve">               0,001</w:t>
            </w:r>
          </w:p>
        </w:tc>
      </w:tr>
      <w:tr>
        <w:trPr>
          <w:trHeight w:val="240" w:hRule="atLeast"/>
        </w:trPr>
        <w:tc>
          <w:tcPr>
            <w:tcW w:w="6318" w:type="dxa"/>
            <w:tcBorders>
              <w:top w:val="nil"/>
            </w:tcBorders>
          </w:tcPr>
          <w:p>
            <w:pPr>
              <w:pStyle w:val="1"/>
              <w:jc w:val="both"/>
            </w:pPr>
            <w:r>
              <w:rPr>
                <w:sz w:val="20"/>
              </w:rPr>
              <w:t xml:space="preserve">2,3,7,8-тетрахлородибензофуран (TCDF)               </w:t>
            </w:r>
          </w:p>
        </w:tc>
        <w:tc>
          <w:tcPr>
            <w:tcW w:w="2574" w:type="dxa"/>
            <w:tcBorders>
              <w:top w:val="nil"/>
            </w:tcBorders>
          </w:tcPr>
          <w:p>
            <w:pPr>
              <w:pStyle w:val="1"/>
              <w:jc w:val="both"/>
            </w:pPr>
            <w:r>
              <w:rPr>
                <w:sz w:val="20"/>
              </w:rPr>
              <w:t xml:space="preserve">               0,1  </w:t>
            </w:r>
          </w:p>
        </w:tc>
      </w:tr>
      <w:tr>
        <w:trPr>
          <w:trHeight w:val="240" w:hRule="atLeast"/>
        </w:trPr>
        <w:tc>
          <w:tcPr>
            <w:tcW w:w="6318" w:type="dxa"/>
            <w:tcBorders>
              <w:top w:val="nil"/>
            </w:tcBorders>
          </w:tcPr>
          <w:p>
            <w:pPr>
              <w:pStyle w:val="1"/>
              <w:jc w:val="both"/>
            </w:pPr>
            <w:r>
              <w:rPr>
                <w:sz w:val="20"/>
              </w:rPr>
              <w:t xml:space="preserve">2,3,4,7,8-пентахлородибензофуран (PeCDF)            </w:t>
            </w:r>
          </w:p>
        </w:tc>
        <w:tc>
          <w:tcPr>
            <w:tcW w:w="2574" w:type="dxa"/>
            <w:tcBorders>
              <w:top w:val="nil"/>
            </w:tcBorders>
          </w:tcPr>
          <w:p>
            <w:pPr>
              <w:pStyle w:val="1"/>
              <w:jc w:val="both"/>
            </w:pPr>
            <w:r>
              <w:rPr>
                <w:sz w:val="20"/>
              </w:rPr>
              <w:t xml:space="preserve">               0,5  </w:t>
            </w:r>
          </w:p>
        </w:tc>
      </w:tr>
      <w:tr>
        <w:trPr>
          <w:trHeight w:val="240" w:hRule="atLeast"/>
        </w:trPr>
        <w:tc>
          <w:tcPr>
            <w:tcW w:w="6318" w:type="dxa"/>
            <w:tcBorders>
              <w:top w:val="nil"/>
            </w:tcBorders>
          </w:tcPr>
          <w:p>
            <w:pPr>
              <w:pStyle w:val="1"/>
              <w:jc w:val="both"/>
            </w:pPr>
            <w:r>
              <w:rPr>
                <w:sz w:val="20"/>
              </w:rPr>
              <w:t xml:space="preserve">1,2,3,7,8-пентахлородибензофуран (PeCDF)            </w:t>
            </w:r>
          </w:p>
        </w:tc>
        <w:tc>
          <w:tcPr>
            <w:tcW w:w="2574" w:type="dxa"/>
            <w:tcBorders>
              <w:top w:val="nil"/>
            </w:tcBorders>
          </w:tcPr>
          <w:p>
            <w:pPr>
              <w:pStyle w:val="1"/>
              <w:jc w:val="both"/>
            </w:pPr>
            <w:r>
              <w:rPr>
                <w:sz w:val="20"/>
              </w:rPr>
              <w:t xml:space="preserve">               0,05 </w:t>
            </w:r>
          </w:p>
        </w:tc>
      </w:tr>
      <w:tr>
        <w:trPr>
          <w:trHeight w:val="240" w:hRule="atLeast"/>
        </w:trPr>
        <w:tc>
          <w:tcPr>
            <w:tcW w:w="6318" w:type="dxa"/>
            <w:tcBorders>
              <w:top w:val="nil"/>
            </w:tcBorders>
          </w:tcPr>
          <w:p>
            <w:pPr>
              <w:pStyle w:val="1"/>
              <w:jc w:val="both"/>
            </w:pPr>
            <w:r>
              <w:rPr>
                <w:sz w:val="20"/>
              </w:rPr>
              <w:t xml:space="preserve">1,2,3,4,7,8-гексахлородибензофуран (HxCDF)          </w:t>
            </w:r>
          </w:p>
        </w:tc>
        <w:tc>
          <w:tcPr>
            <w:tcW w:w="2574" w:type="dxa"/>
            <w:tcBorders>
              <w:top w:val="nil"/>
            </w:tcBorders>
          </w:tcPr>
          <w:p>
            <w:pPr>
              <w:pStyle w:val="1"/>
              <w:jc w:val="both"/>
            </w:pPr>
            <w:r>
              <w:rPr>
                <w:sz w:val="20"/>
              </w:rPr>
              <w:t xml:space="preserve">               0,1  </w:t>
            </w:r>
          </w:p>
        </w:tc>
      </w:tr>
      <w:tr>
        <w:trPr>
          <w:trHeight w:val="240" w:hRule="atLeast"/>
        </w:trPr>
        <w:tc>
          <w:tcPr>
            <w:tcW w:w="6318" w:type="dxa"/>
            <w:tcBorders>
              <w:top w:val="nil"/>
            </w:tcBorders>
          </w:tcPr>
          <w:p>
            <w:pPr>
              <w:pStyle w:val="1"/>
              <w:jc w:val="both"/>
            </w:pPr>
            <w:r>
              <w:rPr>
                <w:sz w:val="20"/>
              </w:rPr>
              <w:t xml:space="preserve">1,2,3,6,7,8-гексахлородибензофуран (HxCDF)          </w:t>
            </w:r>
          </w:p>
        </w:tc>
        <w:tc>
          <w:tcPr>
            <w:tcW w:w="2574" w:type="dxa"/>
            <w:tcBorders>
              <w:top w:val="nil"/>
            </w:tcBorders>
          </w:tcPr>
          <w:p>
            <w:pPr>
              <w:pStyle w:val="1"/>
              <w:jc w:val="both"/>
            </w:pPr>
            <w:r>
              <w:rPr>
                <w:sz w:val="20"/>
              </w:rPr>
              <w:t xml:space="preserve">               0,1  </w:t>
            </w:r>
          </w:p>
        </w:tc>
      </w:tr>
      <w:tr>
        <w:trPr>
          <w:trHeight w:val="240" w:hRule="atLeast"/>
        </w:trPr>
        <w:tc>
          <w:tcPr>
            <w:tcW w:w="6318" w:type="dxa"/>
            <w:tcBorders>
              <w:top w:val="nil"/>
            </w:tcBorders>
          </w:tcPr>
          <w:p>
            <w:pPr>
              <w:pStyle w:val="1"/>
              <w:jc w:val="both"/>
            </w:pPr>
            <w:r>
              <w:rPr>
                <w:sz w:val="20"/>
              </w:rPr>
              <w:t xml:space="preserve">1,2,3,7,8,9-гексахлородибензофуран (HxCDF)          </w:t>
            </w:r>
          </w:p>
        </w:tc>
        <w:tc>
          <w:tcPr>
            <w:tcW w:w="2574" w:type="dxa"/>
            <w:tcBorders>
              <w:top w:val="nil"/>
            </w:tcBorders>
          </w:tcPr>
          <w:p>
            <w:pPr>
              <w:pStyle w:val="1"/>
              <w:jc w:val="both"/>
            </w:pPr>
            <w:r>
              <w:rPr>
                <w:sz w:val="20"/>
              </w:rPr>
              <w:t xml:space="preserve">               0,1  </w:t>
            </w:r>
          </w:p>
        </w:tc>
      </w:tr>
      <w:tr>
        <w:trPr>
          <w:trHeight w:val="240" w:hRule="atLeast"/>
        </w:trPr>
        <w:tc>
          <w:tcPr>
            <w:tcW w:w="6318" w:type="dxa"/>
            <w:tcBorders>
              <w:top w:val="nil"/>
            </w:tcBorders>
          </w:tcPr>
          <w:p>
            <w:pPr>
              <w:pStyle w:val="1"/>
              <w:jc w:val="both"/>
            </w:pPr>
            <w:r>
              <w:rPr>
                <w:sz w:val="20"/>
              </w:rPr>
              <w:t xml:space="preserve">2,3,4,6,7,8-гексахлородибензофуран (HxCDF)          </w:t>
            </w:r>
          </w:p>
        </w:tc>
        <w:tc>
          <w:tcPr>
            <w:tcW w:w="2574" w:type="dxa"/>
            <w:tcBorders>
              <w:top w:val="nil"/>
            </w:tcBorders>
          </w:tcPr>
          <w:p>
            <w:pPr>
              <w:pStyle w:val="1"/>
              <w:jc w:val="both"/>
            </w:pPr>
            <w:r>
              <w:rPr>
                <w:sz w:val="20"/>
              </w:rPr>
              <w:t xml:space="preserve">               0,1  </w:t>
            </w:r>
          </w:p>
        </w:tc>
      </w:tr>
      <w:tr>
        <w:trPr>
          <w:trHeight w:val="240" w:hRule="atLeast"/>
        </w:trPr>
        <w:tc>
          <w:tcPr>
            <w:tcW w:w="6318" w:type="dxa"/>
            <w:tcBorders>
              <w:top w:val="nil"/>
            </w:tcBorders>
          </w:tcPr>
          <w:p>
            <w:pPr>
              <w:pStyle w:val="1"/>
              <w:jc w:val="both"/>
            </w:pPr>
            <w:r>
              <w:rPr>
                <w:sz w:val="20"/>
              </w:rPr>
              <w:t xml:space="preserve">1,2,3,4,6,7,8-гептахлородибензофуран (HpCDF)        </w:t>
            </w:r>
          </w:p>
        </w:tc>
        <w:tc>
          <w:tcPr>
            <w:tcW w:w="2574" w:type="dxa"/>
            <w:tcBorders>
              <w:top w:val="nil"/>
            </w:tcBorders>
          </w:tcPr>
          <w:p>
            <w:pPr>
              <w:pStyle w:val="1"/>
              <w:jc w:val="both"/>
            </w:pPr>
            <w:r>
              <w:rPr>
                <w:sz w:val="20"/>
              </w:rPr>
              <w:t xml:space="preserve">               0,01 </w:t>
            </w:r>
          </w:p>
        </w:tc>
      </w:tr>
      <w:tr>
        <w:trPr>
          <w:trHeight w:val="240" w:hRule="atLeast"/>
        </w:trPr>
        <w:tc>
          <w:tcPr>
            <w:tcW w:w="6318" w:type="dxa"/>
            <w:tcBorders>
              <w:top w:val="nil"/>
            </w:tcBorders>
          </w:tcPr>
          <w:p>
            <w:pPr>
              <w:pStyle w:val="1"/>
              <w:jc w:val="both"/>
            </w:pPr>
            <w:r>
              <w:rPr>
                <w:sz w:val="20"/>
              </w:rPr>
              <w:t xml:space="preserve">1,2,3,4,7,8,9-гептахлородибензофуран (HpCDF)        </w:t>
            </w:r>
          </w:p>
        </w:tc>
        <w:tc>
          <w:tcPr>
            <w:tcW w:w="2574" w:type="dxa"/>
            <w:tcBorders>
              <w:top w:val="nil"/>
            </w:tcBorders>
          </w:tcPr>
          <w:p>
            <w:pPr>
              <w:pStyle w:val="1"/>
              <w:jc w:val="both"/>
            </w:pPr>
            <w:r>
              <w:rPr>
                <w:sz w:val="20"/>
              </w:rPr>
              <w:t xml:space="preserve">               0,01 </w:t>
            </w:r>
          </w:p>
        </w:tc>
      </w:tr>
      <w:tr>
        <w:trPr>
          <w:trHeight w:val="240" w:hRule="atLeast"/>
        </w:trPr>
        <w:tc>
          <w:tcPr>
            <w:tcW w:w="6318" w:type="dxa"/>
            <w:tcBorders>
              <w:top w:val="nil"/>
            </w:tcBorders>
          </w:tcPr>
          <w:p>
            <w:pPr>
              <w:pStyle w:val="1"/>
              <w:jc w:val="both"/>
            </w:pPr>
            <w:r>
              <w:rPr>
                <w:sz w:val="20"/>
              </w:rPr>
              <w:t xml:space="preserve">Октахлородибензофуран (OCDF)                        </w:t>
            </w:r>
          </w:p>
        </w:tc>
        <w:tc>
          <w:tcPr>
            <w:tcW w:w="2574" w:type="dxa"/>
            <w:tcBorders>
              <w:top w:val="nil"/>
            </w:tcBorders>
          </w:tcPr>
          <w:p>
            <w:pPr>
              <w:pStyle w:val="1"/>
              <w:jc w:val="both"/>
            </w:pPr>
            <w:r>
              <w:rPr>
                <w:sz w:val="20"/>
              </w:rPr>
              <w:t xml:space="preserve">               0,001</w:t>
            </w:r>
          </w:p>
        </w:tc>
      </w:tr>
    </w:tbl>
    <w:p>
      <w:pPr>
        <w:pStyle w:val="0"/>
        <w:ind w:firstLine="540"/>
        <w:jc w:val="both"/>
      </w:pPr>
      <w:r>
        <w:rPr>
          <w:sz w:val="20"/>
        </w:rPr>
      </w:r>
    </w:p>
    <w:bookmarkStart w:id="2135" w:name="P2135"/>
    <w:bookmarkEnd w:id="2135"/>
    <w:p>
      <w:pPr>
        <w:pStyle w:val="0"/>
        <w:outlineLvl w:val="1"/>
        <w:jc w:val="center"/>
      </w:pPr>
      <w:r>
        <w:rPr>
          <w:sz w:val="20"/>
        </w:rPr>
        <w:t xml:space="preserve">Часть 3</w:t>
      </w:r>
    </w:p>
    <w:p>
      <w:pPr>
        <w:pStyle w:val="0"/>
        <w:jc w:val="center"/>
      </w:pPr>
      <w:r>
        <w:rPr>
          <w:sz w:val="20"/>
        </w:rPr>
      </w:r>
    </w:p>
    <w:p>
      <w:pPr>
        <w:pStyle w:val="0"/>
        <w:jc w:val="center"/>
      </w:pPr>
      <w:r>
        <w:rPr>
          <w:sz w:val="20"/>
        </w:rPr>
        <w:t xml:space="preserve">Пороговые значения выбросов в воздух</w:t>
      </w:r>
    </w:p>
    <w:p>
      <w:pPr>
        <w:pStyle w:val="0"/>
        <w:jc w:val="center"/>
      </w:pPr>
      <w:r>
        <w:rPr>
          <w:sz w:val="20"/>
        </w:rPr>
        <w:t xml:space="preserve">для заводов по сжиганию отходов</w:t>
      </w:r>
    </w:p>
    <w:p>
      <w:pPr>
        <w:pStyle w:val="0"/>
        <w:jc w:val="center"/>
      </w:pPr>
      <w:r>
        <w:rPr>
          <w:sz w:val="20"/>
        </w:rPr>
      </w:r>
    </w:p>
    <w:bookmarkStart w:id="2140" w:name="P2140"/>
    <w:bookmarkEnd w:id="2140"/>
    <w:p>
      <w:pPr>
        <w:pStyle w:val="0"/>
        <w:ind w:firstLine="540"/>
        <w:jc w:val="both"/>
      </w:pPr>
      <w:r>
        <w:rPr>
          <w:sz w:val="20"/>
        </w:rPr>
        <w:t xml:space="preserve">1. Пороговые значения выбросов в воздух исчисляются при температуре 273,15 K, давлении 101,3 kPa после корректировок содержания водяного пара в отработанных газах.</w:t>
      </w:r>
    </w:p>
    <w:p>
      <w:pPr>
        <w:pStyle w:val="0"/>
        <w:spacing w:before="200" w:line-rule="auto"/>
        <w:ind w:firstLine="540"/>
        <w:jc w:val="both"/>
      </w:pPr>
      <w:r>
        <w:rPr>
          <w:sz w:val="20"/>
        </w:rPr>
        <w:t xml:space="preserve">Они стандартизированы при содержании кислорода, равном 11%, за исключением случаев сжигания отработанного минерального масла, как определено </w:t>
      </w:r>
      <w:hyperlink w:history="0" r:id="rId91" w:tooltip="Директива N 2008/98/ЕС Европейского парламента и Совета Европейского Союза &quot;Об отходах и отмене ряда Директив&quot; [рус., англ.] (Вместе с &lt;Операциями по уничтожению, утилизации&gt;, &quot;Свойствами отходов, которые превращают их в опасные&quot;, &lt;Примерами мер по предотвращению образования отходов, экономических инструментов, предоставляющих льготы при применении иерархии&gt;, &lt;Планом реализации&gt;, &quot;Корреляционной таблицей&quot;) (Принята в г. Страсбурге 19.11.2008) (с изм. и доп. от 30.05.2018) {КонсультантПлюс}">
        <w:r>
          <w:rPr>
            <w:sz w:val="20"/>
            <w:color w:val="0000ff"/>
          </w:rPr>
          <w:t xml:space="preserve">пунктом 3 статьи 3</w:t>
        </w:r>
      </w:hyperlink>
      <w:r>
        <w:rPr>
          <w:sz w:val="20"/>
        </w:rPr>
        <w:t xml:space="preserve"> Директивы 2008/98/ЕС, когда они стандартизированы при содержании кислорода, равном 3%, а также в случаях, предусмотренных </w:t>
      </w:r>
      <w:hyperlink w:history="0" w:anchor="P2725" w:tooltip="2.7. Результаты измерений должны быть стандартизированы с использованием стандартных концентраций кислорода, указанных в части 3 настоящего Приложения или исчисленных в соответствии с частью 4 настоящего Приложения, а также с применением формулы, данной в части 7 настоящего Приложения.">
        <w:r>
          <w:rPr>
            <w:sz w:val="20"/>
            <w:color w:val="0000ff"/>
          </w:rPr>
          <w:t xml:space="preserve">пунктом 2.7 части 6</w:t>
        </w:r>
      </w:hyperlink>
      <w:r>
        <w:rPr>
          <w:sz w:val="20"/>
        </w:rPr>
        <w:t xml:space="preserve"> настоящего Приложения.</w:t>
      </w:r>
    </w:p>
    <w:bookmarkStart w:id="2142" w:name="P2142"/>
    <w:bookmarkEnd w:id="2142"/>
    <w:p>
      <w:pPr>
        <w:pStyle w:val="1"/>
        <w:spacing w:before="200" w:line-rule="auto"/>
        <w:jc w:val="both"/>
      </w:pPr>
      <w:r>
        <w:rPr>
          <w:sz w:val="20"/>
        </w:rPr>
        <w:t xml:space="preserve">    1.1.   Среднесуточные   пороговые   значения   выбросов  для  следующих</w:t>
      </w:r>
    </w:p>
    <w:p>
      <w:pPr>
        <w:pStyle w:val="1"/>
        <w:jc w:val="both"/>
      </w:pPr>
      <w:r>
        <w:rPr>
          <w:sz w:val="20"/>
        </w:rPr>
        <w:t xml:space="preserve">                           3</w:t>
      </w:r>
    </w:p>
    <w:p>
      <w:pPr>
        <w:pStyle w:val="1"/>
        <w:jc w:val="both"/>
      </w:pPr>
      <w:r>
        <w:rPr>
          <w:sz w:val="20"/>
        </w:rPr>
        <w:t xml:space="preserve">загрязняющих веществ (мг/Nm )</w:t>
      </w:r>
    </w:p>
    <w:p>
      <w:pPr>
        <w:pStyle w:val="0"/>
        <w:ind w:firstLine="540"/>
        <w:jc w:val="both"/>
      </w:pPr>
      <w:r>
        <w:rPr>
          <w:sz w:val="20"/>
        </w:rPr>
      </w:r>
    </w:p>
    <w:p>
      <w:pPr>
        <w:pStyle w:val="3"/>
        <w:jc w:val="both"/>
      </w:pPr>
      <w:r>
        <w:rPr>
          <w:sz w:val="20"/>
        </w:rPr>
        <w:t xml:space="preserve">┌──────────────────────────────────────────────────────────────┬──────────┐</w:t>
      </w:r>
    </w:p>
    <w:p>
      <w:pPr>
        <w:pStyle w:val="3"/>
        <w:jc w:val="both"/>
      </w:pPr>
      <w:r>
        <w:rPr>
          <w:sz w:val="20"/>
        </w:rPr>
        <w:t xml:space="preserve">│Всего пыли                                                    │        10│</w:t>
      </w:r>
    </w:p>
    <w:p>
      <w:pPr>
        <w:pStyle w:val="3"/>
        <w:jc w:val="both"/>
      </w:pPr>
      <w:r>
        <w:rPr>
          <w:sz w:val="20"/>
        </w:rPr>
        <w:t xml:space="preserve">├──────────────────────────────────────────────────────────────┼──────────┤</w:t>
      </w:r>
    </w:p>
    <w:p>
      <w:pPr>
        <w:pStyle w:val="3"/>
        <w:jc w:val="both"/>
      </w:pPr>
      <w:r>
        <w:rPr>
          <w:sz w:val="20"/>
        </w:rPr>
        <w:t xml:space="preserve">│Газообразные и парообразные органические вещества, выраженные │        10│</w:t>
      </w:r>
    </w:p>
    <w:p>
      <w:pPr>
        <w:pStyle w:val="3"/>
        <w:jc w:val="both"/>
      </w:pPr>
      <w:r>
        <w:rPr>
          <w:sz w:val="20"/>
        </w:rPr>
        <w:t xml:space="preserve">│как общее содержание органического углерода (TOC)             │          │</w:t>
      </w:r>
    </w:p>
    <w:p>
      <w:pPr>
        <w:pStyle w:val="3"/>
        <w:jc w:val="both"/>
      </w:pPr>
      <w:r>
        <w:rPr>
          <w:sz w:val="20"/>
        </w:rPr>
        <w:t xml:space="preserve">├──────────────────────────────────────────────────────────────┼──────────┤</w:t>
      </w:r>
    </w:p>
    <w:p>
      <w:pPr>
        <w:pStyle w:val="3"/>
        <w:jc w:val="both"/>
      </w:pPr>
      <w:r>
        <w:rPr>
          <w:sz w:val="20"/>
        </w:rPr>
        <w:t xml:space="preserve">│Хлорид водорода (HCl)                                         │        10│</w:t>
      </w:r>
    </w:p>
    <w:p>
      <w:pPr>
        <w:pStyle w:val="3"/>
        <w:jc w:val="both"/>
      </w:pPr>
      <w:r>
        <w:rPr>
          <w:sz w:val="20"/>
        </w:rPr>
        <w:t xml:space="preserve">├──────────────────────────────────────────────────────────────┼──────────┤</w:t>
      </w:r>
    </w:p>
    <w:p>
      <w:pPr>
        <w:pStyle w:val="3"/>
        <w:jc w:val="both"/>
      </w:pPr>
      <w:r>
        <w:rPr>
          <w:sz w:val="20"/>
        </w:rPr>
        <w:t xml:space="preserve">│Фторид водорода (HF)                                          │         1│</w:t>
      </w:r>
    </w:p>
    <w:p>
      <w:pPr>
        <w:pStyle w:val="3"/>
        <w:jc w:val="both"/>
      </w:pPr>
      <w:r>
        <w:rPr>
          <w:sz w:val="20"/>
        </w:rPr>
        <w:t xml:space="preserve">├──────────────────────────────────────────────────────────────┼──────────┤</w:t>
      </w:r>
    </w:p>
    <w:p>
      <w:pPr>
        <w:pStyle w:val="3"/>
        <w:jc w:val="both"/>
      </w:pPr>
      <w:r>
        <w:rPr>
          <w:sz w:val="20"/>
        </w:rPr>
        <w:t xml:space="preserve">│Диоксид серы (SO )                                            │        50│</w:t>
      </w:r>
    </w:p>
    <w:p>
      <w:pPr>
        <w:pStyle w:val="3"/>
        <w:jc w:val="both"/>
      </w:pPr>
      <w:r>
        <w:rPr>
          <w:sz w:val="20"/>
        </w:rPr>
        <w:t xml:space="preserve">│                2                                             │          │</w:t>
      </w:r>
    </w:p>
    <w:p>
      <w:pPr>
        <w:pStyle w:val="3"/>
        <w:jc w:val="both"/>
      </w:pPr>
      <w:r>
        <w:rPr>
          <w:sz w:val="20"/>
        </w:rPr>
        <w:t xml:space="preserve">├──────────────────────────────────────────────────────────────┼──────────┤</w:t>
      </w:r>
    </w:p>
    <w:p>
      <w:pPr>
        <w:pStyle w:val="3"/>
        <w:jc w:val="both"/>
      </w:pPr>
      <w:r>
        <w:rPr>
          <w:sz w:val="20"/>
        </w:rPr>
        <w:t xml:space="preserve">│Моноксид азота (NO) и диоксид азота (NO ), выраженные как NO  │       200│</w:t>
      </w:r>
    </w:p>
    <w:p>
      <w:pPr>
        <w:pStyle w:val="3"/>
        <w:jc w:val="both"/>
      </w:pPr>
      <w:r>
        <w:rPr>
          <w:sz w:val="20"/>
        </w:rPr>
        <w:t xml:space="preserve">│                                       2                    2 │          │</w:t>
      </w:r>
    </w:p>
    <w:p>
      <w:pPr>
        <w:pStyle w:val="3"/>
        <w:jc w:val="both"/>
      </w:pPr>
      <w:r>
        <w:rPr>
          <w:sz w:val="20"/>
        </w:rPr>
        <w:t xml:space="preserve">│для существующих заводов по сжиганию отходов с номинальной    │          │</w:t>
      </w:r>
    </w:p>
    <w:p>
      <w:pPr>
        <w:pStyle w:val="3"/>
        <w:jc w:val="both"/>
      </w:pPr>
      <w:r>
        <w:rPr>
          <w:sz w:val="20"/>
        </w:rPr>
        <w:t xml:space="preserve">│производительностью, превышающей 6 тонн в час, или для новых  │          │</w:t>
      </w:r>
    </w:p>
    <w:p>
      <w:pPr>
        <w:pStyle w:val="3"/>
        <w:jc w:val="both"/>
      </w:pPr>
      <w:r>
        <w:rPr>
          <w:sz w:val="20"/>
        </w:rPr>
        <w:t xml:space="preserve">│заводов по сжиганию отходов                                   │          │</w:t>
      </w:r>
    </w:p>
    <w:p>
      <w:pPr>
        <w:pStyle w:val="3"/>
        <w:jc w:val="both"/>
      </w:pPr>
      <w:r>
        <w:rPr>
          <w:sz w:val="20"/>
        </w:rPr>
        <w:t xml:space="preserve">├──────────────────────────────────────────────────────────────┼──────────┤</w:t>
      </w:r>
    </w:p>
    <w:p>
      <w:pPr>
        <w:pStyle w:val="3"/>
        <w:jc w:val="both"/>
      </w:pPr>
      <w:r>
        <w:rPr>
          <w:sz w:val="20"/>
        </w:rPr>
        <w:t xml:space="preserve">│Моноксид азота (NO) и диоксид азота (NO ), выраженные как NO  │       400│</w:t>
      </w:r>
    </w:p>
    <w:p>
      <w:pPr>
        <w:pStyle w:val="3"/>
        <w:jc w:val="both"/>
      </w:pPr>
      <w:r>
        <w:rPr>
          <w:sz w:val="20"/>
        </w:rPr>
        <w:t xml:space="preserve">│                                       2                    2 │          │</w:t>
      </w:r>
    </w:p>
    <w:p>
      <w:pPr>
        <w:pStyle w:val="3"/>
        <w:jc w:val="both"/>
      </w:pPr>
      <w:r>
        <w:rPr>
          <w:sz w:val="20"/>
        </w:rPr>
        <w:t xml:space="preserve">│для существующих заводов по сжиганию отходов с номинальной    │          │</w:t>
      </w:r>
    </w:p>
    <w:p>
      <w:pPr>
        <w:pStyle w:val="3"/>
        <w:jc w:val="both"/>
      </w:pPr>
      <w:r>
        <w:rPr>
          <w:sz w:val="20"/>
        </w:rPr>
        <w:t xml:space="preserve">│производительностью, равной 6 тонн в час или менее            │          │</w:t>
      </w:r>
    </w:p>
    <w:p>
      <w:pPr>
        <w:pStyle w:val="3"/>
        <w:jc w:val="both"/>
      </w:pPr>
      <w:r>
        <w:rPr>
          <w:sz w:val="20"/>
        </w:rPr>
        <w:t xml:space="preserve">└──────────────────────────────────────────────────────────────┴──────────┘</w:t>
      </w:r>
    </w:p>
    <w:p>
      <w:pPr>
        <w:pStyle w:val="0"/>
        <w:ind w:firstLine="540"/>
        <w:jc w:val="both"/>
      </w:pPr>
      <w:r>
        <w:rPr>
          <w:sz w:val="20"/>
        </w:rPr>
      </w:r>
    </w:p>
    <w:bookmarkStart w:id="2171" w:name="P2171"/>
    <w:bookmarkEnd w:id="2171"/>
    <w:p>
      <w:pPr>
        <w:pStyle w:val="1"/>
        <w:jc w:val="both"/>
      </w:pPr>
      <w:r>
        <w:rPr>
          <w:sz w:val="20"/>
        </w:rPr>
        <w:t xml:space="preserve">    1.2.  Средние  получасовые  пороговые  значения  выбросов для следующих</w:t>
      </w:r>
    </w:p>
    <w:p>
      <w:pPr>
        <w:pStyle w:val="1"/>
        <w:jc w:val="both"/>
      </w:pPr>
      <w:r>
        <w:rPr>
          <w:sz w:val="20"/>
        </w:rPr>
        <w:t xml:space="preserve">                           3</w:t>
      </w:r>
    </w:p>
    <w:p>
      <w:pPr>
        <w:pStyle w:val="1"/>
        <w:jc w:val="both"/>
      </w:pPr>
      <w:r>
        <w:rPr>
          <w:sz w:val="20"/>
        </w:rPr>
        <w:t xml:space="preserve">загрязняющих веществ (мг/Nm )</w:t>
      </w:r>
    </w:p>
    <w:p>
      <w:pPr>
        <w:pStyle w:val="0"/>
        <w:ind w:firstLine="540"/>
        <w:jc w:val="both"/>
      </w:pPr>
      <w:r>
        <w:rPr>
          <w:sz w:val="20"/>
        </w:rPr>
      </w:r>
    </w:p>
    <w:p>
      <w:pPr>
        <w:pStyle w:val="3"/>
        <w:jc w:val="both"/>
      </w:pPr>
      <w:r>
        <w:rPr>
          <w:sz w:val="20"/>
        </w:rPr>
        <w:t xml:space="preserve">┌──────────────────────────────────────────────────────┬────────┬─────────┐</w:t>
      </w:r>
    </w:p>
    <w:bookmarkStart w:id="2176" w:name="P2176"/>
    <w:bookmarkEnd w:id="2176"/>
    <w:p>
      <w:pPr>
        <w:pStyle w:val="3"/>
        <w:jc w:val="both"/>
      </w:pPr>
      <w:r>
        <w:rPr>
          <w:sz w:val="20"/>
        </w:rPr>
        <w:t xml:space="preserve">│                                                      │(100%) A│ (97%) B │</w:t>
      </w:r>
    </w:p>
    <w:p>
      <w:pPr>
        <w:pStyle w:val="3"/>
        <w:jc w:val="both"/>
      </w:pPr>
      <w:r>
        <w:rPr>
          <w:sz w:val="20"/>
        </w:rPr>
        <w:t xml:space="preserve">├──────────────────────────────────────────────────────┼────────┼─────────┤</w:t>
      </w:r>
    </w:p>
    <w:p>
      <w:pPr>
        <w:pStyle w:val="3"/>
        <w:jc w:val="both"/>
      </w:pPr>
      <w:r>
        <w:rPr>
          <w:sz w:val="20"/>
        </w:rPr>
        <w:t xml:space="preserve">│Всего пыли                                            │      30│       10│</w:t>
      </w:r>
    </w:p>
    <w:p>
      <w:pPr>
        <w:pStyle w:val="3"/>
        <w:jc w:val="both"/>
      </w:pPr>
      <w:r>
        <w:rPr>
          <w:sz w:val="20"/>
        </w:rPr>
        <w:t xml:space="preserve">├──────────────────────────────────────────────────────┼────────┼─────────┤</w:t>
      </w:r>
    </w:p>
    <w:p>
      <w:pPr>
        <w:pStyle w:val="3"/>
        <w:jc w:val="both"/>
      </w:pPr>
      <w:r>
        <w:rPr>
          <w:sz w:val="20"/>
        </w:rPr>
        <w:t xml:space="preserve">│Газообразные и парообразные органические вещества,    │      20│       10│</w:t>
      </w:r>
    </w:p>
    <w:p>
      <w:pPr>
        <w:pStyle w:val="3"/>
        <w:jc w:val="both"/>
      </w:pPr>
      <w:r>
        <w:rPr>
          <w:sz w:val="20"/>
        </w:rPr>
        <w:t xml:space="preserve">│выраженные как общее содержание органического         │        │         │</w:t>
      </w:r>
    </w:p>
    <w:p>
      <w:pPr>
        <w:pStyle w:val="3"/>
        <w:jc w:val="both"/>
      </w:pPr>
      <w:r>
        <w:rPr>
          <w:sz w:val="20"/>
        </w:rPr>
        <w:t xml:space="preserve">│углерода (TOC)                                        │        │         │</w:t>
      </w:r>
    </w:p>
    <w:p>
      <w:pPr>
        <w:pStyle w:val="3"/>
        <w:jc w:val="both"/>
      </w:pPr>
      <w:r>
        <w:rPr>
          <w:sz w:val="20"/>
        </w:rPr>
        <w:t xml:space="preserve">├──────────────────────────────────────────────────────┼────────┼─────────┤</w:t>
      </w:r>
    </w:p>
    <w:p>
      <w:pPr>
        <w:pStyle w:val="3"/>
        <w:jc w:val="both"/>
      </w:pPr>
      <w:r>
        <w:rPr>
          <w:sz w:val="20"/>
        </w:rPr>
        <w:t xml:space="preserve">│Хлорид водорода (HCl)                                 │      60│       10│</w:t>
      </w:r>
    </w:p>
    <w:p>
      <w:pPr>
        <w:pStyle w:val="3"/>
        <w:jc w:val="both"/>
      </w:pPr>
      <w:r>
        <w:rPr>
          <w:sz w:val="20"/>
        </w:rPr>
        <w:t xml:space="preserve">├──────────────────────────────────────────────────────┼────────┼─────────┤</w:t>
      </w:r>
    </w:p>
    <w:p>
      <w:pPr>
        <w:pStyle w:val="3"/>
        <w:jc w:val="both"/>
      </w:pPr>
      <w:r>
        <w:rPr>
          <w:sz w:val="20"/>
        </w:rPr>
        <w:t xml:space="preserve">│Фторид водорода (HF)                                  │       4│        2│</w:t>
      </w:r>
    </w:p>
    <w:p>
      <w:pPr>
        <w:pStyle w:val="3"/>
        <w:jc w:val="both"/>
      </w:pPr>
      <w:r>
        <w:rPr>
          <w:sz w:val="20"/>
        </w:rPr>
        <w:t xml:space="preserve">├──────────────────────────────────────────────────────┼────────┼─────────┤</w:t>
      </w:r>
    </w:p>
    <w:p>
      <w:pPr>
        <w:pStyle w:val="3"/>
        <w:jc w:val="both"/>
      </w:pPr>
      <w:r>
        <w:rPr>
          <w:sz w:val="20"/>
        </w:rPr>
        <w:t xml:space="preserve">│Диоксид серы (SO )                                    │     200│       50│</w:t>
      </w:r>
    </w:p>
    <w:p>
      <w:pPr>
        <w:pStyle w:val="3"/>
        <w:jc w:val="both"/>
      </w:pPr>
      <w:r>
        <w:rPr>
          <w:sz w:val="20"/>
        </w:rPr>
        <w:t xml:space="preserve">│                2                                     │        │         │</w:t>
      </w:r>
    </w:p>
    <w:p>
      <w:pPr>
        <w:pStyle w:val="3"/>
        <w:jc w:val="both"/>
      </w:pPr>
      <w:r>
        <w:rPr>
          <w:sz w:val="20"/>
        </w:rPr>
        <w:t xml:space="preserve">├──────────────────────────────────────────────────────┼────────┼─────────┤</w:t>
      </w:r>
    </w:p>
    <w:p>
      <w:pPr>
        <w:pStyle w:val="3"/>
        <w:jc w:val="both"/>
      </w:pPr>
      <w:r>
        <w:rPr>
          <w:sz w:val="20"/>
        </w:rPr>
        <w:t xml:space="preserve">│Моноксид азота (NO) и диоксид азота (NO ), выраженные │     400│      200│</w:t>
      </w:r>
    </w:p>
    <w:p>
      <w:pPr>
        <w:pStyle w:val="3"/>
        <w:jc w:val="both"/>
      </w:pPr>
      <w:r>
        <w:rPr>
          <w:sz w:val="20"/>
        </w:rPr>
        <w:t xml:space="preserve">│                                       2              │        │         │</w:t>
      </w:r>
    </w:p>
    <w:p>
      <w:pPr>
        <w:pStyle w:val="3"/>
        <w:jc w:val="both"/>
      </w:pPr>
      <w:r>
        <w:rPr>
          <w:sz w:val="20"/>
        </w:rPr>
        <w:t xml:space="preserve">│как NO  для существующих заводов по сжиганию отходов  │        │         │</w:t>
      </w:r>
    </w:p>
    <w:p>
      <w:pPr>
        <w:pStyle w:val="3"/>
        <w:jc w:val="both"/>
      </w:pPr>
      <w:r>
        <w:rPr>
          <w:sz w:val="20"/>
        </w:rPr>
        <w:t xml:space="preserve">│      2                                               │        │         │</w:t>
      </w:r>
    </w:p>
    <w:p>
      <w:pPr>
        <w:pStyle w:val="3"/>
        <w:jc w:val="both"/>
      </w:pPr>
      <w:r>
        <w:rPr>
          <w:sz w:val="20"/>
        </w:rPr>
        <w:t xml:space="preserve">│с номинальной производительностью, превышающей 6 тонн │        │         │</w:t>
      </w:r>
    </w:p>
    <w:p>
      <w:pPr>
        <w:pStyle w:val="3"/>
        <w:jc w:val="both"/>
      </w:pPr>
      <w:r>
        <w:rPr>
          <w:sz w:val="20"/>
        </w:rPr>
        <w:t xml:space="preserve">│в час, или для новых заводов по сжиганию отходов      │        │         │</w:t>
      </w:r>
    </w:p>
    <w:p>
      <w:pPr>
        <w:pStyle w:val="3"/>
        <w:jc w:val="both"/>
      </w:pPr>
      <w:r>
        <w:rPr>
          <w:sz w:val="20"/>
        </w:rPr>
        <w:t xml:space="preserve">└──────────────────────────────────────────────────────┴────────┴─────────┘</w:t>
      </w:r>
    </w:p>
    <w:p>
      <w:pPr>
        <w:pStyle w:val="0"/>
        <w:ind w:firstLine="540"/>
        <w:jc w:val="both"/>
      </w:pPr>
      <w:r>
        <w:rPr>
          <w:sz w:val="20"/>
        </w:rPr>
      </w:r>
    </w:p>
    <w:p>
      <w:pPr>
        <w:pStyle w:val="1"/>
        <w:jc w:val="both"/>
      </w:pPr>
      <w:r>
        <w:rPr>
          <w:sz w:val="20"/>
        </w:rPr>
        <w:t xml:space="preserve">                                                   3</w:t>
      </w:r>
    </w:p>
    <w:bookmarkStart w:id="2200" w:name="P2200"/>
    <w:bookmarkEnd w:id="2200"/>
    <w:p>
      <w:pPr>
        <w:pStyle w:val="1"/>
        <w:jc w:val="both"/>
      </w:pPr>
      <w:r>
        <w:rPr>
          <w:sz w:val="20"/>
        </w:rPr>
        <w:t xml:space="preserve">    1.3. Средние пороговые значения выбросов (мг/Nm ) для следующих тяжелых</w:t>
      </w:r>
    </w:p>
    <w:p>
      <w:pPr>
        <w:pStyle w:val="1"/>
        <w:jc w:val="both"/>
      </w:pPr>
      <w:r>
        <w:rPr>
          <w:sz w:val="20"/>
        </w:rPr>
        <w:t xml:space="preserve">металлов,  где минимальный период отбора равен 30 минутам, а максимальный -</w:t>
      </w:r>
    </w:p>
    <w:p>
      <w:pPr>
        <w:pStyle w:val="1"/>
        <w:jc w:val="both"/>
      </w:pPr>
      <w:r>
        <w:rPr>
          <w:sz w:val="20"/>
        </w:rPr>
        <w:t xml:space="preserve">8 часам</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6552"/>
        <w:gridCol w:w="2106"/>
      </w:tblGrid>
      <w:tr>
        <w:trPr>
          <w:trHeight w:val="240" w:hRule="atLeast"/>
        </w:trPr>
        <w:tc>
          <w:tcPr>
            <w:tcW w:w="6669" w:type="dxa"/>
          </w:tcPr>
          <w:p>
            <w:pPr>
              <w:pStyle w:val="1"/>
              <w:jc w:val="both"/>
            </w:pPr>
            <w:r>
              <w:rPr>
                <w:sz w:val="20"/>
              </w:rPr>
              <w:t xml:space="preserve">Кадмий и его соединения, выраженные как кадмий (Cd)    </w:t>
            </w:r>
          </w:p>
        </w:tc>
        <w:tc>
          <w:tcPr>
            <w:tcW w:w="2223" w:type="dxa"/>
            <w:vMerge w:val="restart"/>
          </w:tcPr>
          <w:p>
            <w:pPr>
              <w:pStyle w:val="1"/>
              <w:jc w:val="both"/>
            </w:pPr>
            <w:r>
              <w:rPr>
                <w:sz w:val="20"/>
              </w:rPr>
              <w:t xml:space="preserve">Всего: 0,05      </w:t>
            </w:r>
          </w:p>
        </w:tc>
      </w:tr>
      <w:tr>
        <w:trPr>
          <w:trHeight w:val="240" w:hRule="atLeast"/>
        </w:trPr>
        <w:tc>
          <w:tcPr>
            <w:tcW w:w="6669" w:type="dxa"/>
            <w:tcBorders>
              <w:top w:val="nil"/>
            </w:tcBorders>
          </w:tcPr>
          <w:p>
            <w:pPr>
              <w:pStyle w:val="1"/>
              <w:jc w:val="both"/>
            </w:pPr>
            <w:r>
              <w:rPr>
                <w:sz w:val="20"/>
              </w:rPr>
              <w:t xml:space="preserve">Талий и его соединения, выраженные как талий (Tl)      </w:t>
            </w:r>
          </w:p>
        </w:tc>
        <w:tc>
          <w:tcPr>
            <w:tcBorders>
              <w:top w:val="nil"/>
            </w:tcBorders>
            <w:vMerge w:val="continue"/>
          </w:tcPr>
          <w:p/>
        </w:tc>
      </w:tr>
      <w:tr>
        <w:trPr>
          <w:trHeight w:val="240" w:hRule="atLeast"/>
        </w:trPr>
        <w:tc>
          <w:tcPr>
            <w:tcW w:w="6669" w:type="dxa"/>
            <w:tcBorders>
              <w:top w:val="nil"/>
            </w:tcBorders>
          </w:tcPr>
          <w:p>
            <w:pPr>
              <w:pStyle w:val="1"/>
              <w:jc w:val="both"/>
            </w:pPr>
            <w:r>
              <w:rPr>
                <w:sz w:val="20"/>
              </w:rPr>
              <w:t xml:space="preserve">Ртуть и ее соединения, выраженные как ртуть (Hg)       </w:t>
            </w:r>
          </w:p>
        </w:tc>
        <w:tc>
          <w:tcPr>
            <w:tcW w:w="2223" w:type="dxa"/>
            <w:tcBorders>
              <w:top w:val="nil"/>
            </w:tcBorders>
          </w:tcPr>
          <w:p>
            <w:pPr>
              <w:pStyle w:val="1"/>
              <w:jc w:val="both"/>
            </w:pPr>
            <w:r>
              <w:rPr>
                <w:sz w:val="20"/>
              </w:rPr>
              <w:t xml:space="preserve">       0,05      </w:t>
            </w:r>
          </w:p>
        </w:tc>
      </w:tr>
      <w:tr>
        <w:trPr>
          <w:trHeight w:val="240" w:hRule="atLeast"/>
        </w:trPr>
        <w:tc>
          <w:tcPr>
            <w:tcW w:w="6669" w:type="dxa"/>
            <w:tcBorders>
              <w:top w:val="nil"/>
            </w:tcBorders>
          </w:tcPr>
          <w:p>
            <w:pPr>
              <w:pStyle w:val="1"/>
              <w:jc w:val="both"/>
            </w:pPr>
            <w:r>
              <w:rPr>
                <w:sz w:val="20"/>
              </w:rPr>
              <w:t xml:space="preserve">Сурьма и ее соединения, выраженные как сурьма (Sb)     </w:t>
            </w:r>
          </w:p>
        </w:tc>
        <w:tc>
          <w:tcPr>
            <w:tcW w:w="2223" w:type="dxa"/>
            <w:tcBorders>
              <w:top w:val="nil"/>
            </w:tcBorders>
            <w:vMerge w:val="restart"/>
          </w:tcPr>
          <w:p>
            <w:pPr>
              <w:pStyle w:val="1"/>
              <w:jc w:val="both"/>
            </w:pPr>
            <w:r>
              <w:rPr>
                <w:sz w:val="20"/>
              </w:rPr>
              <w:t xml:space="preserve">Всего: 0,5       </w:t>
            </w:r>
          </w:p>
        </w:tc>
      </w:tr>
      <w:tr>
        <w:trPr>
          <w:trHeight w:val="240" w:hRule="atLeast"/>
        </w:trPr>
        <w:tc>
          <w:tcPr>
            <w:tcW w:w="6669" w:type="dxa"/>
            <w:tcBorders>
              <w:top w:val="nil"/>
            </w:tcBorders>
          </w:tcPr>
          <w:p>
            <w:pPr>
              <w:pStyle w:val="1"/>
              <w:jc w:val="both"/>
            </w:pPr>
            <w:r>
              <w:rPr>
                <w:sz w:val="20"/>
              </w:rPr>
              <w:t xml:space="preserve">Мышьяк и его соединения, выраженные как мышьяк (As)    </w:t>
            </w:r>
          </w:p>
        </w:tc>
        <w:tc>
          <w:tcPr>
            <w:tcBorders>
              <w:top w:val="nil"/>
            </w:tcBorders>
            <w:vMerge w:val="continue"/>
          </w:tcPr>
          <w:p/>
        </w:tc>
      </w:tr>
      <w:tr>
        <w:trPr>
          <w:trHeight w:val="240" w:hRule="atLeast"/>
        </w:trPr>
        <w:tc>
          <w:tcPr>
            <w:tcW w:w="6669" w:type="dxa"/>
            <w:tcBorders>
              <w:top w:val="nil"/>
            </w:tcBorders>
          </w:tcPr>
          <w:p>
            <w:pPr>
              <w:pStyle w:val="1"/>
              <w:jc w:val="both"/>
            </w:pPr>
            <w:r>
              <w:rPr>
                <w:sz w:val="20"/>
              </w:rPr>
              <w:t xml:space="preserve">Свинец и его соединения, выраженные как свинец (Pb)    </w:t>
            </w:r>
          </w:p>
        </w:tc>
        <w:tc>
          <w:tcPr>
            <w:tcBorders>
              <w:top w:val="nil"/>
            </w:tcBorders>
            <w:vMerge w:val="continue"/>
          </w:tcPr>
          <w:p/>
        </w:tc>
      </w:tr>
      <w:tr>
        <w:trPr>
          <w:trHeight w:val="240" w:hRule="atLeast"/>
        </w:trPr>
        <w:tc>
          <w:tcPr>
            <w:tcW w:w="6669" w:type="dxa"/>
            <w:tcBorders>
              <w:top w:val="nil"/>
            </w:tcBorders>
          </w:tcPr>
          <w:p>
            <w:pPr>
              <w:pStyle w:val="1"/>
              <w:jc w:val="both"/>
            </w:pPr>
            <w:r>
              <w:rPr>
                <w:sz w:val="20"/>
              </w:rPr>
              <w:t xml:space="preserve">Хром и его соединения, выраженные как хром (Cr)        </w:t>
            </w:r>
          </w:p>
        </w:tc>
        <w:tc>
          <w:tcPr>
            <w:tcBorders>
              <w:top w:val="nil"/>
            </w:tcBorders>
            <w:vMerge w:val="continue"/>
          </w:tcPr>
          <w:p/>
        </w:tc>
      </w:tr>
      <w:tr>
        <w:trPr>
          <w:trHeight w:val="240" w:hRule="atLeast"/>
        </w:trPr>
        <w:tc>
          <w:tcPr>
            <w:tcW w:w="6669" w:type="dxa"/>
            <w:tcBorders>
              <w:top w:val="nil"/>
            </w:tcBorders>
          </w:tcPr>
          <w:p>
            <w:pPr>
              <w:pStyle w:val="1"/>
              <w:jc w:val="both"/>
            </w:pPr>
            <w:r>
              <w:rPr>
                <w:sz w:val="20"/>
              </w:rPr>
              <w:t xml:space="preserve">Кобальт и его соединения, выраженные как кобальт (Co)  </w:t>
            </w:r>
          </w:p>
        </w:tc>
        <w:tc>
          <w:tcPr>
            <w:tcBorders>
              <w:top w:val="nil"/>
            </w:tcBorders>
            <w:vMerge w:val="continue"/>
          </w:tcPr>
          <w:p/>
        </w:tc>
      </w:tr>
      <w:tr>
        <w:trPr>
          <w:trHeight w:val="240" w:hRule="atLeast"/>
        </w:trPr>
        <w:tc>
          <w:tcPr>
            <w:tcW w:w="6669" w:type="dxa"/>
            <w:tcBorders>
              <w:top w:val="nil"/>
            </w:tcBorders>
          </w:tcPr>
          <w:p>
            <w:pPr>
              <w:pStyle w:val="1"/>
              <w:jc w:val="both"/>
            </w:pPr>
            <w:r>
              <w:rPr>
                <w:sz w:val="20"/>
              </w:rPr>
              <w:t xml:space="preserve">Медь и ее соединения, выраженные как медь (Cu)         </w:t>
            </w:r>
          </w:p>
        </w:tc>
        <w:tc>
          <w:tcPr>
            <w:tcBorders>
              <w:top w:val="nil"/>
            </w:tcBorders>
            <w:vMerge w:val="continue"/>
          </w:tcPr>
          <w:p/>
        </w:tc>
      </w:tr>
      <w:tr>
        <w:trPr>
          <w:trHeight w:val="240" w:hRule="atLeast"/>
        </w:trPr>
        <w:tc>
          <w:tcPr>
            <w:tcW w:w="6669" w:type="dxa"/>
            <w:tcBorders>
              <w:top w:val="nil"/>
            </w:tcBorders>
          </w:tcPr>
          <w:p>
            <w:pPr>
              <w:pStyle w:val="1"/>
              <w:jc w:val="both"/>
            </w:pPr>
            <w:r>
              <w:rPr>
                <w:sz w:val="20"/>
              </w:rPr>
              <w:t xml:space="preserve">Марганец и его соединения, выраженные как марганец (Mn)</w:t>
            </w:r>
          </w:p>
        </w:tc>
        <w:tc>
          <w:tcPr>
            <w:tcBorders>
              <w:top w:val="nil"/>
            </w:tcBorders>
            <w:vMerge w:val="continue"/>
          </w:tcPr>
          <w:p/>
        </w:tc>
      </w:tr>
      <w:tr>
        <w:trPr>
          <w:trHeight w:val="240" w:hRule="atLeast"/>
        </w:trPr>
        <w:tc>
          <w:tcPr>
            <w:tcW w:w="6669" w:type="dxa"/>
            <w:tcBorders>
              <w:top w:val="nil"/>
            </w:tcBorders>
          </w:tcPr>
          <w:p>
            <w:pPr>
              <w:pStyle w:val="1"/>
              <w:jc w:val="both"/>
            </w:pPr>
            <w:r>
              <w:rPr>
                <w:sz w:val="20"/>
              </w:rPr>
              <w:t xml:space="preserve">Никель и его соединения, выраженные как никель (Ni)    </w:t>
            </w:r>
          </w:p>
        </w:tc>
        <w:tc>
          <w:tcPr>
            <w:tcBorders>
              <w:top w:val="nil"/>
            </w:tcBorders>
            <w:vMerge w:val="continue"/>
          </w:tcPr>
          <w:p/>
        </w:tc>
      </w:tr>
      <w:tr>
        <w:trPr>
          <w:trHeight w:val="240" w:hRule="atLeast"/>
        </w:trPr>
        <w:tc>
          <w:tcPr>
            <w:tcW w:w="6669" w:type="dxa"/>
            <w:tcBorders>
              <w:top w:val="nil"/>
            </w:tcBorders>
          </w:tcPr>
          <w:p>
            <w:pPr>
              <w:pStyle w:val="1"/>
              <w:jc w:val="both"/>
            </w:pPr>
            <w:r>
              <w:rPr>
                <w:sz w:val="20"/>
              </w:rPr>
              <w:t xml:space="preserve">Ванадий и его соединения, выраженные как ванадий (V)   </w:t>
            </w:r>
          </w:p>
        </w:tc>
        <w:tc>
          <w:tcPr>
            <w:tcBorders>
              <w:top w:val="nil"/>
            </w:tcBorders>
            <w:vMerge w:val="continue"/>
          </w:tcPr>
          <w:p/>
        </w:tc>
      </w:tr>
    </w:tbl>
    <w:p>
      <w:pPr>
        <w:pStyle w:val="0"/>
        <w:ind w:firstLine="540"/>
        <w:jc w:val="both"/>
      </w:pPr>
      <w:r>
        <w:rPr>
          <w:sz w:val="20"/>
        </w:rPr>
      </w:r>
    </w:p>
    <w:p>
      <w:pPr>
        <w:pStyle w:val="0"/>
        <w:ind w:firstLine="540"/>
        <w:jc w:val="both"/>
      </w:pPr>
      <w:r>
        <w:rPr>
          <w:sz w:val="20"/>
        </w:rPr>
        <w:t xml:space="preserve">Указанные средние значения также распространяются на газообразные и парообразные формы выбросов соответствующих тяжелых металлов и их соединений.</w:t>
      </w:r>
    </w:p>
    <w:p>
      <w:pPr>
        <w:pStyle w:val="1"/>
        <w:spacing w:before="200" w:line-rule="auto"/>
        <w:jc w:val="both"/>
      </w:pPr>
      <w:r>
        <w:rPr>
          <w:sz w:val="20"/>
        </w:rPr>
        <w:t xml:space="preserve">                                                        3</w:t>
      </w:r>
    </w:p>
    <w:bookmarkStart w:id="2232" w:name="P2232"/>
    <w:bookmarkEnd w:id="2232"/>
    <w:p>
      <w:pPr>
        <w:pStyle w:val="1"/>
        <w:jc w:val="both"/>
      </w:pPr>
      <w:r>
        <w:rPr>
          <w:sz w:val="20"/>
        </w:rPr>
        <w:t xml:space="preserve">    1.4.  Средние  пороговые  значения  выбросов  (ng/Nm )  для диоксинов и</w:t>
      </w:r>
    </w:p>
    <w:p>
      <w:pPr>
        <w:pStyle w:val="1"/>
        <w:jc w:val="both"/>
      </w:pPr>
      <w:r>
        <w:rPr>
          <w:sz w:val="20"/>
        </w:rPr>
        <w:t xml:space="preserve">фуранов,  где  минимальный  период отбора равен 6 часам, а максимальный - 8</w:t>
      </w:r>
    </w:p>
    <w:p>
      <w:pPr>
        <w:pStyle w:val="1"/>
        <w:jc w:val="both"/>
      </w:pPr>
      <w:r>
        <w:rPr>
          <w:sz w:val="20"/>
        </w:rPr>
        <w:t xml:space="preserve">часам. Пороговое значение выбросов относится к общей концентрации диоксинов</w:t>
      </w:r>
    </w:p>
    <w:p>
      <w:pPr>
        <w:pStyle w:val="1"/>
        <w:jc w:val="both"/>
      </w:pPr>
      <w:r>
        <w:rPr>
          <w:sz w:val="20"/>
        </w:rPr>
        <w:t xml:space="preserve">и фуранов, исчисленной в соответствии с </w:t>
      </w:r>
      <w:hyperlink w:history="0" w:anchor="P2088" w:tooltip="Часть 2">
        <w:r>
          <w:rPr>
            <w:sz w:val="20"/>
            <w:color w:val="0000ff"/>
          </w:rPr>
          <w:t xml:space="preserve">частью 2</w:t>
        </w:r>
      </w:hyperlink>
      <w:r>
        <w:rPr>
          <w:sz w:val="20"/>
        </w:rPr>
        <w:t xml:space="preserve"> настоящего Приложения.</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6552"/>
        <w:gridCol w:w="2106"/>
      </w:tblGrid>
      <w:tr>
        <w:trPr>
          <w:trHeight w:val="240" w:hRule="atLeast"/>
        </w:trPr>
        <w:tc>
          <w:tcPr>
            <w:tcW w:w="6669" w:type="dxa"/>
          </w:tcPr>
          <w:p>
            <w:pPr>
              <w:pStyle w:val="1"/>
              <w:jc w:val="both"/>
            </w:pPr>
            <w:r>
              <w:rPr>
                <w:sz w:val="20"/>
              </w:rPr>
              <w:t xml:space="preserve">Диоксины и фураны                                      </w:t>
            </w:r>
          </w:p>
        </w:tc>
        <w:tc>
          <w:tcPr>
            <w:tcW w:w="2223" w:type="dxa"/>
          </w:tcPr>
          <w:p>
            <w:pPr>
              <w:pStyle w:val="1"/>
              <w:jc w:val="both"/>
            </w:pPr>
            <w:r>
              <w:rPr>
                <w:sz w:val="20"/>
              </w:rPr>
              <w:t xml:space="preserve">              0,1</w:t>
            </w:r>
          </w:p>
        </w:tc>
      </w:tr>
    </w:tbl>
    <w:p>
      <w:pPr>
        <w:pStyle w:val="0"/>
        <w:ind w:firstLine="540"/>
        <w:jc w:val="both"/>
      </w:pPr>
      <w:r>
        <w:rPr>
          <w:sz w:val="20"/>
        </w:rPr>
      </w:r>
    </w:p>
    <w:p>
      <w:pPr>
        <w:pStyle w:val="1"/>
        <w:jc w:val="both"/>
      </w:pPr>
      <w:r>
        <w:rPr>
          <w:sz w:val="20"/>
        </w:rPr>
        <w:t xml:space="preserve">                                           3</w:t>
      </w:r>
    </w:p>
    <w:bookmarkStart w:id="2242" w:name="P2242"/>
    <w:bookmarkEnd w:id="2242"/>
    <w:p>
      <w:pPr>
        <w:pStyle w:val="1"/>
        <w:jc w:val="both"/>
      </w:pPr>
      <w:r>
        <w:rPr>
          <w:sz w:val="20"/>
        </w:rPr>
        <w:t xml:space="preserve">    1.5. Пороговые значения выбросов (мг/Nm ) для моноксида углерода (СО) в</w:t>
      </w:r>
    </w:p>
    <w:p>
      <w:pPr>
        <w:pStyle w:val="1"/>
        <w:jc w:val="both"/>
      </w:pPr>
      <w:r>
        <w:rPr>
          <w:sz w:val="20"/>
        </w:rPr>
        <w:t xml:space="preserve">отработанных газах:</w:t>
      </w:r>
    </w:p>
    <w:bookmarkStart w:id="2244" w:name="P2244"/>
    <w:bookmarkEnd w:id="2244"/>
    <w:p>
      <w:pPr>
        <w:pStyle w:val="0"/>
        <w:ind w:firstLine="540"/>
        <w:jc w:val="both"/>
      </w:pPr>
      <w:r>
        <w:rPr>
          <w:sz w:val="20"/>
        </w:rPr>
        <w:t xml:space="preserve">a) 50 как среднесуточное значение;</w:t>
      </w:r>
    </w:p>
    <w:bookmarkStart w:id="2245" w:name="P2245"/>
    <w:bookmarkEnd w:id="2245"/>
    <w:p>
      <w:pPr>
        <w:pStyle w:val="0"/>
        <w:spacing w:before="200" w:line-rule="auto"/>
        <w:ind w:firstLine="540"/>
        <w:jc w:val="both"/>
      </w:pPr>
      <w:r>
        <w:rPr>
          <w:sz w:val="20"/>
        </w:rPr>
        <w:t xml:space="preserve">b) 100 как среднее получасовое значение;</w:t>
      </w:r>
    </w:p>
    <w:bookmarkStart w:id="2246" w:name="P2246"/>
    <w:bookmarkEnd w:id="2246"/>
    <w:p>
      <w:pPr>
        <w:pStyle w:val="0"/>
        <w:spacing w:before="200" w:line-rule="auto"/>
        <w:ind w:firstLine="540"/>
        <w:jc w:val="both"/>
      </w:pPr>
      <w:r>
        <w:rPr>
          <w:sz w:val="20"/>
        </w:rPr>
        <w:t xml:space="preserve">c) 150 как среднее 10-минутное значение.</w:t>
      </w:r>
    </w:p>
    <w:p>
      <w:pPr>
        <w:pStyle w:val="1"/>
        <w:spacing w:before="200" w:line-rule="auto"/>
        <w:jc w:val="both"/>
      </w:pPr>
      <w:r>
        <w:rPr>
          <w:sz w:val="20"/>
        </w:rPr>
        <w:t xml:space="preserve">    Компетентные   органы   вправе   предоставить  исключения  в  отношении</w:t>
      </w:r>
    </w:p>
    <w:p>
      <w:pPr>
        <w:pStyle w:val="1"/>
        <w:jc w:val="both"/>
      </w:pPr>
      <w:r>
        <w:rPr>
          <w:sz w:val="20"/>
        </w:rPr>
        <w:t xml:space="preserve">пороговых  значений  выбросов, установленных настоящим пунктом, для заводов</w:t>
      </w:r>
    </w:p>
    <w:p>
      <w:pPr>
        <w:pStyle w:val="1"/>
        <w:jc w:val="both"/>
      </w:pPr>
      <w:r>
        <w:rPr>
          <w:sz w:val="20"/>
        </w:rPr>
        <w:t xml:space="preserve">по  сжиганию  отходов,  использующих  технологию псевдоожиженного слоя, при</w:t>
      </w:r>
    </w:p>
    <w:p>
      <w:pPr>
        <w:pStyle w:val="1"/>
        <w:jc w:val="both"/>
      </w:pPr>
      <w:r>
        <w:rPr>
          <w:sz w:val="20"/>
        </w:rPr>
        <w:t xml:space="preserve">условии,  что  разрешение  предусматривает  пороговое значение выбросов для</w:t>
      </w:r>
    </w:p>
    <w:p>
      <w:pPr>
        <w:pStyle w:val="1"/>
        <w:jc w:val="both"/>
      </w:pPr>
      <w:r>
        <w:rPr>
          <w:sz w:val="20"/>
        </w:rPr>
        <w:t xml:space="preserve">                                                3</w:t>
      </w:r>
    </w:p>
    <w:p>
      <w:pPr>
        <w:pStyle w:val="1"/>
        <w:jc w:val="both"/>
      </w:pPr>
      <w:r>
        <w:rPr>
          <w:sz w:val="20"/>
        </w:rPr>
        <w:t xml:space="preserve">монооксида  углерода  (CO)  не  более  100 мг/Nm  в качестве среднечасового</w:t>
      </w:r>
    </w:p>
    <w:p>
      <w:pPr>
        <w:pStyle w:val="1"/>
        <w:jc w:val="both"/>
      </w:pPr>
      <w:r>
        <w:rPr>
          <w:sz w:val="20"/>
        </w:rPr>
        <w:t xml:space="preserve">значения.</w:t>
      </w:r>
    </w:p>
    <w:bookmarkStart w:id="2254" w:name="P2254"/>
    <w:bookmarkEnd w:id="2254"/>
    <w:p>
      <w:pPr>
        <w:pStyle w:val="0"/>
        <w:ind w:firstLine="540"/>
        <w:jc w:val="both"/>
      </w:pPr>
      <w:r>
        <w:rPr>
          <w:sz w:val="20"/>
        </w:rPr>
        <w:t xml:space="preserve">2. Пороговые значения выбросов, применимые при условиях, предусмотренных </w:t>
      </w:r>
      <w:hyperlink w:history="0" w:anchor="P835" w:tooltip="6. Без ущерба действию статьи 50 (4) &quot;c&quot; настоящей Директивы заводы по сжиганию отходов или заводы по совместному сжиганию отходов либо отдельные печи, входящие в состав таких заводов, ни при каких обстоятельствах не должны сжигать отходы более 4 часов подряд при превышении пороговых значений выбросов.">
        <w:r>
          <w:rPr>
            <w:sz w:val="20"/>
            <w:color w:val="0000ff"/>
          </w:rPr>
          <w:t xml:space="preserve">статьей 46 (6)</w:t>
        </w:r>
      </w:hyperlink>
      <w:r>
        <w:rPr>
          <w:sz w:val="20"/>
        </w:rPr>
        <w:t xml:space="preserve"> и </w:t>
      </w:r>
      <w:hyperlink w:history="0" w:anchor="P839" w:tooltip="Статья 47">
        <w:r>
          <w:rPr>
            <w:sz w:val="20"/>
            <w:color w:val="0000ff"/>
          </w:rPr>
          <w:t xml:space="preserve">статьей 47</w:t>
        </w:r>
      </w:hyperlink>
      <w:r>
        <w:rPr>
          <w:sz w:val="20"/>
        </w:rPr>
        <w:t xml:space="preserve"> настоящей Директивы.</w:t>
      </w:r>
    </w:p>
    <w:p>
      <w:pPr>
        <w:pStyle w:val="1"/>
        <w:spacing w:before="200" w:line-rule="auto"/>
        <w:jc w:val="both"/>
      </w:pPr>
      <w:r>
        <w:rPr>
          <w:sz w:val="20"/>
        </w:rPr>
        <w:t xml:space="preserve">    Общая  концентрация  пыли  в  выбросах  в  воздух от завода по сжиганию</w:t>
      </w:r>
    </w:p>
    <w:p>
      <w:pPr>
        <w:pStyle w:val="1"/>
        <w:jc w:val="both"/>
      </w:pPr>
      <w:r>
        <w:rPr>
          <w:sz w:val="20"/>
        </w:rPr>
        <w:t xml:space="preserve">                                                              3</w:t>
      </w:r>
    </w:p>
    <w:p>
      <w:pPr>
        <w:pStyle w:val="1"/>
        <w:jc w:val="both"/>
      </w:pPr>
      <w:r>
        <w:rPr>
          <w:sz w:val="20"/>
        </w:rPr>
        <w:t xml:space="preserve">отходов  в любых обстоятельствах не должна превышать 150 мг/Nm , выраженное</w:t>
      </w:r>
    </w:p>
    <w:p>
      <w:pPr>
        <w:pStyle w:val="1"/>
        <w:jc w:val="both"/>
      </w:pPr>
      <w:r>
        <w:rPr>
          <w:sz w:val="20"/>
        </w:rPr>
        <w:t xml:space="preserve">как  среднее получасовое значение. Пороговые значения выбросов в воздух для</w:t>
      </w:r>
    </w:p>
    <w:p>
      <w:pPr>
        <w:pStyle w:val="1"/>
        <w:jc w:val="both"/>
      </w:pPr>
      <w:r>
        <w:rPr>
          <w:sz w:val="20"/>
        </w:rPr>
        <w:t xml:space="preserve">TOC и CO, установленные </w:t>
      </w:r>
      <w:hyperlink w:history="0" w:anchor="P2171" w:tooltip="    1.2.  Средние  получасовые  пороговые  значения  выбросов для следующих">
        <w:r>
          <w:rPr>
            <w:sz w:val="20"/>
            <w:color w:val="0000ff"/>
          </w:rPr>
          <w:t xml:space="preserve">пунктами 1.2</w:t>
        </w:r>
      </w:hyperlink>
      <w:r>
        <w:rPr>
          <w:sz w:val="20"/>
        </w:rPr>
        <w:t xml:space="preserve"> и </w:t>
      </w:r>
      <w:hyperlink w:history="0" w:anchor="P2245" w:tooltip="b) 100 как среднее получасовое значение;">
        <w:r>
          <w:rPr>
            <w:sz w:val="20"/>
            <w:color w:val="0000ff"/>
          </w:rPr>
          <w:t xml:space="preserve">1.5 "b"</w:t>
        </w:r>
      </w:hyperlink>
      <w:r>
        <w:rPr>
          <w:sz w:val="20"/>
        </w:rPr>
        <w:t xml:space="preserve">, не должны превышаться.</w:t>
      </w:r>
    </w:p>
    <w:bookmarkStart w:id="2260" w:name="P2260"/>
    <w:bookmarkEnd w:id="2260"/>
    <w:p>
      <w:pPr>
        <w:pStyle w:val="0"/>
        <w:ind w:firstLine="540"/>
        <w:jc w:val="both"/>
      </w:pPr>
      <w:r>
        <w:rPr>
          <w:sz w:val="20"/>
        </w:rPr>
        <w:t xml:space="preserve">3. Государства-члены ЕС вправе разработать нормы, регламентирующие предоставление исключений в соответствии с настоящей частью.</w:t>
      </w:r>
    </w:p>
    <w:p>
      <w:pPr>
        <w:pStyle w:val="0"/>
        <w:ind w:firstLine="540"/>
        <w:jc w:val="both"/>
      </w:pPr>
      <w:r>
        <w:rPr>
          <w:sz w:val="20"/>
        </w:rPr>
      </w:r>
    </w:p>
    <w:bookmarkStart w:id="2262" w:name="P2262"/>
    <w:bookmarkEnd w:id="2262"/>
    <w:p>
      <w:pPr>
        <w:pStyle w:val="0"/>
        <w:outlineLvl w:val="1"/>
        <w:jc w:val="center"/>
      </w:pPr>
      <w:r>
        <w:rPr>
          <w:sz w:val="20"/>
        </w:rPr>
        <w:t xml:space="preserve">Часть 4</w:t>
      </w:r>
    </w:p>
    <w:p>
      <w:pPr>
        <w:pStyle w:val="0"/>
        <w:jc w:val="center"/>
      </w:pPr>
      <w:r>
        <w:rPr>
          <w:sz w:val="20"/>
        </w:rPr>
      </w:r>
    </w:p>
    <w:p>
      <w:pPr>
        <w:pStyle w:val="0"/>
        <w:jc w:val="center"/>
      </w:pPr>
      <w:r>
        <w:rPr>
          <w:sz w:val="20"/>
        </w:rPr>
        <w:t xml:space="preserve">Определение пороговых значений выбросов в воздух</w:t>
      </w:r>
    </w:p>
    <w:p>
      <w:pPr>
        <w:pStyle w:val="0"/>
        <w:jc w:val="center"/>
      </w:pPr>
      <w:r>
        <w:rPr>
          <w:sz w:val="20"/>
        </w:rPr>
        <w:t xml:space="preserve">для заводов по совместному сжиганию отходов</w:t>
      </w:r>
    </w:p>
    <w:p>
      <w:pPr>
        <w:pStyle w:val="0"/>
        <w:jc w:val="center"/>
      </w:pPr>
      <w:r>
        <w:rPr>
          <w:sz w:val="20"/>
        </w:rPr>
      </w:r>
    </w:p>
    <w:bookmarkStart w:id="2267" w:name="P2267"/>
    <w:bookmarkEnd w:id="2267"/>
    <w:p>
      <w:pPr>
        <w:pStyle w:val="0"/>
        <w:ind w:firstLine="540"/>
        <w:jc w:val="both"/>
      </w:pPr>
      <w:r>
        <w:rPr>
          <w:sz w:val="20"/>
        </w:rPr>
        <w:t xml:space="preserve">1. В случае если общее пороговое значение выбросов C не определено в таблице, предусмотренной настоящей частью, применяется следующая </w:t>
      </w:r>
      <w:hyperlink w:history="0" w:anchor="P2270" w:tooltip="                 V       x C       + V        x C">
        <w:r>
          <w:rPr>
            <w:sz w:val="20"/>
            <w:color w:val="0000ff"/>
          </w:rPr>
          <w:t xml:space="preserve">формула</w:t>
        </w:r>
      </w:hyperlink>
      <w:r>
        <w:rPr>
          <w:sz w:val="20"/>
        </w:rPr>
        <w:t xml:space="preserve"> (правило смешивания).</w:t>
      </w:r>
    </w:p>
    <w:p>
      <w:pPr>
        <w:pStyle w:val="0"/>
        <w:spacing w:before="200" w:line-rule="auto"/>
        <w:ind w:firstLine="540"/>
        <w:jc w:val="both"/>
      </w:pPr>
      <w:r>
        <w:rPr>
          <w:sz w:val="20"/>
        </w:rPr>
        <w:t xml:space="preserve">Пороговое значение выбросов для соответствующего загрязняющего вещества и CO в отработанных газах, образующихся вследствие совместного сжигания отходов, исчисляется следующим образом:</w:t>
      </w:r>
    </w:p>
    <w:p>
      <w:pPr>
        <w:pStyle w:val="0"/>
        <w:ind w:firstLine="540"/>
        <w:jc w:val="both"/>
      </w:pPr>
      <w:r>
        <w:rPr>
          <w:sz w:val="20"/>
        </w:rPr>
      </w:r>
    </w:p>
    <w:bookmarkStart w:id="2270" w:name="P2270"/>
    <w:bookmarkEnd w:id="2270"/>
    <w:p>
      <w:pPr>
        <w:pStyle w:val="1"/>
        <w:jc w:val="both"/>
      </w:pPr>
      <w:r>
        <w:rPr>
          <w:sz w:val="20"/>
        </w:rPr>
        <w:t xml:space="preserve">                 V       x C       + V        x C</w:t>
      </w:r>
    </w:p>
    <w:p>
      <w:pPr>
        <w:pStyle w:val="1"/>
        <w:jc w:val="both"/>
      </w:pPr>
      <w:r>
        <w:rPr>
          <w:sz w:val="20"/>
        </w:rPr>
        <w:t xml:space="preserve">                  отходы    отходы    процесс    процесс</w:t>
      </w:r>
    </w:p>
    <w:p>
      <w:pPr>
        <w:pStyle w:val="1"/>
        <w:jc w:val="both"/>
      </w:pPr>
      <w:r>
        <w:rPr>
          <w:sz w:val="20"/>
        </w:rPr>
        <w:t xml:space="preserve">                ----------------------------------------- = C</w:t>
      </w:r>
    </w:p>
    <w:p>
      <w:pPr>
        <w:pStyle w:val="1"/>
        <w:jc w:val="both"/>
      </w:pPr>
      <w:r>
        <w:rPr>
          <w:sz w:val="20"/>
        </w:rPr>
        <w:t xml:space="preserve">                            V       + C</w:t>
      </w:r>
    </w:p>
    <w:p>
      <w:pPr>
        <w:pStyle w:val="1"/>
        <w:jc w:val="both"/>
      </w:pPr>
      <w:r>
        <w:rPr>
          <w:sz w:val="20"/>
        </w:rPr>
        <w:t xml:space="preserve">                             отходы    процесс</w:t>
      </w:r>
    </w:p>
    <w:p>
      <w:pPr>
        <w:pStyle w:val="0"/>
        <w:jc w:val="center"/>
      </w:pPr>
      <w:r>
        <w:rPr>
          <w:sz w:val="20"/>
        </w:rPr>
      </w:r>
    </w:p>
    <w:p>
      <w:pPr>
        <w:pStyle w:val="1"/>
        <w:jc w:val="both"/>
      </w:pPr>
      <w:r>
        <w:rPr>
          <w:sz w:val="20"/>
        </w:rPr>
        <w:t xml:space="preserve">    V       -  это  объем  отработанного   газа,  образующегося  вследствие</w:t>
      </w:r>
    </w:p>
    <w:p>
      <w:pPr>
        <w:pStyle w:val="1"/>
        <w:jc w:val="both"/>
      </w:pPr>
      <w:r>
        <w:rPr>
          <w:sz w:val="20"/>
        </w:rPr>
        <w:t xml:space="preserve">     отходы</w:t>
      </w:r>
    </w:p>
    <w:p>
      <w:pPr>
        <w:pStyle w:val="1"/>
        <w:jc w:val="both"/>
      </w:pPr>
      <w:r>
        <w:rPr>
          <w:sz w:val="20"/>
        </w:rPr>
        <w:t xml:space="preserve">сжигания отходов,  определяемого только при сжигании отходов с самой низкой</w:t>
      </w:r>
    </w:p>
    <w:p>
      <w:pPr>
        <w:pStyle w:val="1"/>
        <w:jc w:val="both"/>
      </w:pPr>
      <w:r>
        <w:rPr>
          <w:sz w:val="20"/>
        </w:rPr>
        <w:t xml:space="preserve">теплотой  сгорания,  указанной  в  разрешении,  и  стандартизированного при</w:t>
      </w:r>
    </w:p>
    <w:p>
      <w:pPr>
        <w:pStyle w:val="1"/>
        <w:jc w:val="both"/>
      </w:pPr>
      <w:r>
        <w:rPr>
          <w:sz w:val="20"/>
        </w:rPr>
        <w:t xml:space="preserve">условиях, установленных настоящей </w:t>
      </w:r>
      <w:hyperlink w:history="0" w:anchor="P5" w:tooltip="ДИРЕКТИВА N 2010/75/ЕС">
        <w:r>
          <w:rPr>
            <w:sz w:val="20"/>
            <w:color w:val="0000ff"/>
          </w:rPr>
          <w:t xml:space="preserve">Директивой</w:t>
        </w:r>
      </w:hyperlink>
      <w:r>
        <w:rPr>
          <w:sz w:val="20"/>
        </w:rPr>
        <w:t xml:space="preserve">.</w:t>
      </w:r>
    </w:p>
    <w:p>
      <w:pPr>
        <w:pStyle w:val="1"/>
        <w:jc w:val="both"/>
      </w:pPr>
      <w:r>
        <w:rPr>
          <w:sz w:val="20"/>
        </w:rPr>
        <w:t xml:space="preserve">    Если тепло,  выделяемое  при сжигании опасных отходов, составляет менее</w:t>
      </w:r>
    </w:p>
    <w:p>
      <w:pPr>
        <w:pStyle w:val="1"/>
        <w:jc w:val="both"/>
      </w:pPr>
      <w:r>
        <w:rPr>
          <w:sz w:val="20"/>
        </w:rPr>
        <w:t xml:space="preserve">10%  от  общего  количества  тепла,  выделяемого заводом,  значение V</w:t>
      </w:r>
    </w:p>
    <w:p>
      <w:pPr>
        <w:pStyle w:val="1"/>
        <w:jc w:val="both"/>
      </w:pPr>
      <w:r>
        <w:rPr>
          <w:sz w:val="20"/>
        </w:rPr>
        <w:t xml:space="preserve">                                                                     отходы</w:t>
      </w:r>
    </w:p>
    <w:p>
      <w:pPr>
        <w:pStyle w:val="1"/>
        <w:jc w:val="both"/>
      </w:pPr>
      <w:r>
        <w:rPr>
          <w:sz w:val="20"/>
        </w:rPr>
        <w:t xml:space="preserve">необходимо  исчислять  исходя  из  (предполагаемого)   количества  отходов,</w:t>
      </w:r>
    </w:p>
    <w:p>
      <w:pPr>
        <w:pStyle w:val="1"/>
        <w:jc w:val="both"/>
      </w:pPr>
      <w:r>
        <w:rPr>
          <w:sz w:val="20"/>
        </w:rPr>
        <w:t xml:space="preserve">которое  при сжигании  приведет  к образованию 10%  тепла при фиксированном</w:t>
      </w:r>
    </w:p>
    <w:p>
      <w:pPr>
        <w:pStyle w:val="1"/>
        <w:jc w:val="both"/>
      </w:pPr>
      <w:r>
        <w:rPr>
          <w:sz w:val="20"/>
        </w:rPr>
        <w:t xml:space="preserve">общем количестве выделяемого тепла.</w:t>
      </w:r>
    </w:p>
    <w:p>
      <w:pPr>
        <w:pStyle w:val="1"/>
        <w:jc w:val="both"/>
      </w:pPr>
      <w:r>
        <w:rPr>
          <w:sz w:val="20"/>
        </w:rPr>
        <w:t xml:space="preserve">    C       - это  пороговые  значения  выбросов  для  заводов  по сжиганию</w:t>
      </w:r>
    </w:p>
    <w:p>
      <w:pPr>
        <w:pStyle w:val="1"/>
        <w:jc w:val="both"/>
      </w:pPr>
      <w:r>
        <w:rPr>
          <w:sz w:val="20"/>
        </w:rPr>
        <w:t xml:space="preserve">     отходы</w:t>
      </w:r>
    </w:p>
    <w:p>
      <w:pPr>
        <w:pStyle w:val="1"/>
        <w:jc w:val="both"/>
      </w:pPr>
      <w:r>
        <w:rPr>
          <w:sz w:val="20"/>
        </w:rPr>
        <w:t xml:space="preserve">отходов, установленные </w:t>
      </w:r>
      <w:hyperlink w:history="0" w:anchor="P2135" w:tooltip="Часть 3">
        <w:r>
          <w:rPr>
            <w:sz w:val="20"/>
            <w:color w:val="0000ff"/>
          </w:rPr>
          <w:t xml:space="preserve">частью 3</w:t>
        </w:r>
      </w:hyperlink>
      <w:r>
        <w:rPr>
          <w:sz w:val="20"/>
        </w:rPr>
        <w:t xml:space="preserve"> настоящего Приложения.</w:t>
      </w:r>
    </w:p>
    <w:p>
      <w:pPr>
        <w:pStyle w:val="1"/>
        <w:jc w:val="both"/>
      </w:pPr>
      <w:r>
        <w:rPr>
          <w:sz w:val="20"/>
        </w:rPr>
        <w:t xml:space="preserve">    V        -  это  объем  отработанного  газа,  образующегося  вследствие</w:t>
      </w:r>
    </w:p>
    <w:p>
      <w:pPr>
        <w:pStyle w:val="1"/>
        <w:jc w:val="both"/>
      </w:pPr>
      <w:r>
        <w:rPr>
          <w:sz w:val="20"/>
        </w:rPr>
        <w:t xml:space="preserve">     процесс</w:t>
      </w:r>
    </w:p>
    <w:p>
      <w:pPr>
        <w:pStyle w:val="1"/>
        <w:jc w:val="both"/>
      </w:pPr>
      <w:r>
        <w:rPr>
          <w:sz w:val="20"/>
        </w:rPr>
        <w:t xml:space="preserve">деятельности  завода,  в том  числе  от сжигания разрешенных видов топлива,</w:t>
      </w:r>
    </w:p>
    <w:p>
      <w:pPr>
        <w:pStyle w:val="1"/>
        <w:jc w:val="both"/>
      </w:pPr>
      <w:r>
        <w:rPr>
          <w:sz w:val="20"/>
        </w:rPr>
        <w:t xml:space="preserve">обычно  используемых  на  заводе (за исключением отходов),  определенный на</w:t>
      </w:r>
    </w:p>
    <w:p>
      <w:pPr>
        <w:pStyle w:val="1"/>
        <w:jc w:val="both"/>
      </w:pPr>
      <w:r>
        <w:rPr>
          <w:sz w:val="20"/>
        </w:rPr>
        <w:t xml:space="preserve">основе   содержания   кислорода,    при   котором   выбросы   должны   быть</w:t>
      </w:r>
    </w:p>
    <w:p>
      <w:pPr>
        <w:pStyle w:val="1"/>
        <w:jc w:val="both"/>
      </w:pPr>
      <w:r>
        <w:rPr>
          <w:sz w:val="20"/>
        </w:rPr>
        <w:t xml:space="preserve">стандартизированы в соответствии с законодательством Европейского Союза или</w:t>
      </w:r>
    </w:p>
    <w:p>
      <w:pPr>
        <w:pStyle w:val="1"/>
        <w:jc w:val="both"/>
      </w:pPr>
      <w:r>
        <w:rPr>
          <w:sz w:val="20"/>
        </w:rPr>
        <w:t xml:space="preserve">национальным законодательством. В отсутствие законодательства, относящегося</w:t>
      </w:r>
    </w:p>
    <w:p>
      <w:pPr>
        <w:pStyle w:val="1"/>
        <w:jc w:val="both"/>
      </w:pPr>
      <w:r>
        <w:rPr>
          <w:sz w:val="20"/>
        </w:rPr>
        <w:t xml:space="preserve">к определенному  виду заводов,  следует  использовать значение фактического</w:t>
      </w:r>
    </w:p>
    <w:p>
      <w:pPr>
        <w:pStyle w:val="1"/>
        <w:jc w:val="both"/>
      </w:pPr>
      <w:r>
        <w:rPr>
          <w:sz w:val="20"/>
        </w:rPr>
        <w:t xml:space="preserve">содержания  кислорода  в  отработанных  газах  без добавления  воздуха,  не</w:t>
      </w:r>
    </w:p>
    <w:p>
      <w:pPr>
        <w:pStyle w:val="1"/>
        <w:jc w:val="both"/>
      </w:pPr>
      <w:r>
        <w:rPr>
          <w:sz w:val="20"/>
        </w:rPr>
        <w:t xml:space="preserve">нужного для процесса.</w:t>
      </w:r>
    </w:p>
    <w:p>
      <w:pPr>
        <w:pStyle w:val="1"/>
        <w:jc w:val="both"/>
      </w:pPr>
      <w:r>
        <w:rPr>
          <w:sz w:val="20"/>
        </w:rPr>
        <w:t xml:space="preserve">    C        -  это  пороговые  значения  выбросов, установленные настоящей</w:t>
      </w:r>
    </w:p>
    <w:p>
      <w:pPr>
        <w:pStyle w:val="1"/>
        <w:jc w:val="both"/>
      </w:pPr>
      <w:r>
        <w:rPr>
          <w:sz w:val="20"/>
        </w:rPr>
        <w:t xml:space="preserve">     процесс</w:t>
      </w:r>
    </w:p>
    <w:p>
      <w:pPr>
        <w:pStyle w:val="1"/>
        <w:jc w:val="both"/>
      </w:pPr>
      <w:r>
        <w:rPr>
          <w:sz w:val="20"/>
        </w:rPr>
        <w:t xml:space="preserve">частью  для  определенных  видов   промышленной   деятельности,   или,  при</w:t>
      </w:r>
    </w:p>
    <w:p>
      <w:pPr>
        <w:pStyle w:val="1"/>
        <w:jc w:val="both"/>
      </w:pPr>
      <w:r>
        <w:rPr>
          <w:sz w:val="20"/>
        </w:rPr>
        <w:t xml:space="preserve">отсутствии таких значений, пороговые значения выбросов для заводов, которые</w:t>
      </w:r>
    </w:p>
    <w:p>
      <w:pPr>
        <w:pStyle w:val="1"/>
        <w:jc w:val="both"/>
      </w:pPr>
      <w:r>
        <w:rPr>
          <w:sz w:val="20"/>
        </w:rPr>
        <w:t xml:space="preserve">соблюдают  соответствующие  национальные законодательные,  регламентарные и</w:t>
      </w:r>
    </w:p>
    <w:p>
      <w:pPr>
        <w:pStyle w:val="1"/>
        <w:jc w:val="both"/>
      </w:pPr>
      <w:r>
        <w:rPr>
          <w:sz w:val="20"/>
        </w:rPr>
        <w:t xml:space="preserve">административные  положения  при сжигании обычно  используемых  разрешенных</w:t>
      </w:r>
    </w:p>
    <w:p>
      <w:pPr>
        <w:pStyle w:val="1"/>
        <w:jc w:val="both"/>
      </w:pPr>
      <w:r>
        <w:rPr>
          <w:sz w:val="20"/>
        </w:rPr>
        <w:t xml:space="preserve">видов  топлива  (за исключением  отходов).  В  отсутствие  таких  положений</w:t>
      </w:r>
    </w:p>
    <w:p>
      <w:pPr>
        <w:pStyle w:val="1"/>
        <w:jc w:val="both"/>
      </w:pPr>
      <w:r>
        <w:rPr>
          <w:sz w:val="20"/>
        </w:rPr>
        <w:t xml:space="preserve">используются  пороговые  значения  выбросов,  установленные в разрешении. В</w:t>
      </w:r>
    </w:p>
    <w:p>
      <w:pPr>
        <w:pStyle w:val="1"/>
        <w:jc w:val="both"/>
      </w:pPr>
      <w:r>
        <w:rPr>
          <w:sz w:val="20"/>
        </w:rPr>
        <w:t xml:space="preserve">отсутствие  таких  значений   используются  фактические  значения  массовой</w:t>
      </w:r>
    </w:p>
    <w:p>
      <w:pPr>
        <w:pStyle w:val="1"/>
        <w:jc w:val="both"/>
      </w:pPr>
      <w:r>
        <w:rPr>
          <w:sz w:val="20"/>
        </w:rPr>
        <w:t xml:space="preserve">концентрации.</w:t>
      </w:r>
    </w:p>
    <w:p>
      <w:pPr>
        <w:pStyle w:val="0"/>
        <w:ind w:firstLine="540"/>
        <w:jc w:val="both"/>
      </w:pPr>
      <w:r>
        <w:rPr>
          <w:sz w:val="20"/>
        </w:rPr>
        <w:t xml:space="preserve">C - общие пороговые значения выбросов при содержании кислорода, установленном настоящей частью для определенных видов промышленной деятельности и определенных загрязняющих веществ, или, в отсутствие таких значений, общие пороговые значения выбросов, заменяющие пороговые значения выбросов, как предусмотрено в соответствующих Приложениях к настоящей </w:t>
      </w:r>
      <w:hyperlink w:history="0" w:anchor="P5" w:tooltip="ДИРЕКТИВА N 2010/75/ЕС">
        <w:r>
          <w:rPr>
            <w:sz w:val="20"/>
            <w:color w:val="0000ff"/>
          </w:rPr>
          <w:t xml:space="preserve">Директиве</w:t>
        </w:r>
      </w:hyperlink>
      <w:r>
        <w:rPr>
          <w:sz w:val="20"/>
        </w:rPr>
        <w:t xml:space="preserve">. Общее содержание кислорода, заменяющее содержание кислорода для стандартизации, исчисляется на основе вышеуказанного содержания с учетом парциальных объемов.</w:t>
      </w:r>
    </w:p>
    <w:p>
      <w:pPr>
        <w:pStyle w:val="0"/>
        <w:spacing w:before="200" w:line-rule="auto"/>
        <w:ind w:firstLine="540"/>
        <w:jc w:val="both"/>
      </w:pPr>
      <w:r>
        <w:rPr>
          <w:sz w:val="20"/>
        </w:rPr>
        <w:t xml:space="preserve">Все пороговые значения выбросов в воздух исчисляются при температуре 273,15 K, давлении 101,3 kPa после корректировок содержания водяного пара в отработанных газах.</w:t>
      </w:r>
    </w:p>
    <w:p>
      <w:pPr>
        <w:pStyle w:val="0"/>
        <w:spacing w:before="200" w:line-rule="auto"/>
        <w:ind w:firstLine="540"/>
        <w:jc w:val="both"/>
      </w:pPr>
      <w:r>
        <w:rPr>
          <w:sz w:val="20"/>
        </w:rPr>
        <w:t xml:space="preserve">Государства-члены ЕС вправе разработать нормы, регламентирующие предоставление исключений в соответствии с настоящей частью.</w:t>
      </w:r>
    </w:p>
    <w:bookmarkStart w:id="2313" w:name="P2313"/>
    <w:bookmarkEnd w:id="2313"/>
    <w:p>
      <w:pPr>
        <w:pStyle w:val="0"/>
        <w:spacing w:before="200" w:line-rule="auto"/>
        <w:ind w:firstLine="540"/>
        <w:jc w:val="both"/>
      </w:pPr>
      <w:r>
        <w:rPr>
          <w:sz w:val="20"/>
        </w:rPr>
        <w:t xml:space="preserve">2. Специальные положения для печей по обжигу цемента, совместно сжигающих отходы</w:t>
      </w:r>
    </w:p>
    <w:bookmarkStart w:id="2314" w:name="P2314"/>
    <w:bookmarkEnd w:id="2314"/>
    <w:p>
      <w:pPr>
        <w:pStyle w:val="1"/>
        <w:spacing w:before="200" w:line-rule="auto"/>
        <w:jc w:val="both"/>
      </w:pPr>
      <w:r>
        <w:rPr>
          <w:sz w:val="20"/>
        </w:rPr>
        <w:t xml:space="preserve">    2.1.  Пороговые  значения  выбросов,  установленные в </w:t>
      </w:r>
      <w:hyperlink w:history="0" w:anchor="P2325" w:tooltip="    2.2.  C  -  общие пороговые значения выбросов (мг/Nm  кроме диоксинов и">
        <w:r>
          <w:rPr>
            <w:sz w:val="20"/>
            <w:color w:val="0000ff"/>
          </w:rPr>
          <w:t xml:space="preserve">пунктах 2.2</w:t>
        </w:r>
      </w:hyperlink>
      <w:r>
        <w:rPr>
          <w:sz w:val="20"/>
        </w:rPr>
        <w:t xml:space="preserve"> и </w:t>
      </w:r>
      <w:hyperlink w:history="0" w:anchor="P2360" w:tooltip="    2.3. C - общие пороговые значения выбросов (мг/Nm ) для SO  и TOC">
        <w:r>
          <w:rPr>
            <w:sz w:val="20"/>
            <w:color w:val="0000ff"/>
          </w:rPr>
          <w:t xml:space="preserve">2.3</w:t>
        </w:r>
      </w:hyperlink>
    </w:p>
    <w:p>
      <w:pPr>
        <w:pStyle w:val="1"/>
        <w:jc w:val="both"/>
      </w:pPr>
      <w:r>
        <w:rPr>
          <w:sz w:val="20"/>
        </w:rPr>
        <w:t xml:space="preserve">настоящей  части, применяются в качестве среднесуточных значений для общего</w:t>
      </w:r>
    </w:p>
    <w:p>
      <w:pPr>
        <w:pStyle w:val="1"/>
        <w:jc w:val="both"/>
      </w:pPr>
      <w:r>
        <w:rPr>
          <w:sz w:val="20"/>
        </w:rPr>
        <w:t xml:space="preserve">количества  пыли,  HCl,  HF,  NO , SO  и TOC (при непрерывных измерениях) в</w:t>
      </w:r>
    </w:p>
    <w:p>
      <w:pPr>
        <w:pStyle w:val="1"/>
        <w:jc w:val="both"/>
      </w:pPr>
      <w:r>
        <w:rPr>
          <w:sz w:val="20"/>
        </w:rPr>
        <w:t xml:space="preserve">                                x    2</w:t>
      </w:r>
    </w:p>
    <w:p>
      <w:pPr>
        <w:pStyle w:val="1"/>
        <w:jc w:val="both"/>
      </w:pPr>
      <w:r>
        <w:rPr>
          <w:sz w:val="20"/>
        </w:rPr>
        <w:t xml:space="preserve">качестве  средних  значений,  когда  минимальный  период  отбора  равен  30</w:t>
      </w:r>
    </w:p>
    <w:p>
      <w:pPr>
        <w:pStyle w:val="1"/>
        <w:jc w:val="both"/>
      </w:pPr>
      <w:r>
        <w:rPr>
          <w:sz w:val="20"/>
        </w:rPr>
        <w:t xml:space="preserve">минутам,  а максимальный - 8 часам для тяжелых металлов, а также в качестве</w:t>
      </w:r>
    </w:p>
    <w:p>
      <w:pPr>
        <w:pStyle w:val="1"/>
        <w:jc w:val="both"/>
      </w:pPr>
      <w:r>
        <w:rPr>
          <w:sz w:val="20"/>
        </w:rPr>
        <w:t xml:space="preserve">средних  значений,  когда  минимальный  период  отбора  равен  6  часам,  а</w:t>
      </w:r>
    </w:p>
    <w:p>
      <w:pPr>
        <w:pStyle w:val="1"/>
        <w:jc w:val="both"/>
      </w:pPr>
      <w:r>
        <w:rPr>
          <w:sz w:val="20"/>
        </w:rPr>
        <w:t xml:space="preserve">максимальный - 8 часам для диоксинов и фуранов.</w:t>
      </w:r>
    </w:p>
    <w:bookmarkStart w:id="2322" w:name="P2322"/>
    <w:bookmarkEnd w:id="2322"/>
    <w:p>
      <w:pPr>
        <w:pStyle w:val="0"/>
        <w:ind w:firstLine="540"/>
        <w:jc w:val="both"/>
      </w:pPr>
      <w:r>
        <w:rPr>
          <w:sz w:val="20"/>
        </w:rPr>
        <w:t xml:space="preserve">Все значения стандартизированы при 10-процентном содержании кислорода.</w:t>
      </w:r>
    </w:p>
    <w:p>
      <w:pPr>
        <w:pStyle w:val="0"/>
        <w:spacing w:before="200" w:line-rule="auto"/>
        <w:ind w:firstLine="540"/>
        <w:jc w:val="both"/>
      </w:pPr>
      <w:r>
        <w:rPr>
          <w:sz w:val="20"/>
        </w:rPr>
        <w:t xml:space="preserve">Средние получасовые значения необходимы только для исчисления среднесуточных значений.</w:t>
      </w:r>
    </w:p>
    <w:p>
      <w:pPr>
        <w:pStyle w:val="1"/>
        <w:spacing w:before="200" w:line-rule="auto"/>
        <w:jc w:val="both"/>
      </w:pPr>
      <w:r>
        <w:rPr>
          <w:sz w:val="20"/>
        </w:rPr>
        <w:t xml:space="preserve">                                                        3</w:t>
      </w:r>
    </w:p>
    <w:bookmarkStart w:id="2325" w:name="P2325"/>
    <w:bookmarkEnd w:id="2325"/>
    <w:p>
      <w:pPr>
        <w:pStyle w:val="1"/>
        <w:jc w:val="both"/>
      </w:pPr>
      <w:r>
        <w:rPr>
          <w:sz w:val="20"/>
        </w:rPr>
        <w:t xml:space="preserve">    2.2.  C  -  общие пороговые значения выбросов (мг/Nm  кроме диоксинов и</w:t>
      </w:r>
    </w:p>
    <w:p>
      <w:pPr>
        <w:pStyle w:val="1"/>
        <w:jc w:val="both"/>
      </w:pPr>
      <w:r>
        <w:rPr>
          <w:sz w:val="20"/>
        </w:rPr>
        <w:t xml:space="preserve">фуранов) для следующих загрязняющих веществ</w:t>
      </w:r>
    </w:p>
    <w:p>
      <w:pPr>
        <w:pStyle w:val="0"/>
        <w:ind w:firstLine="540"/>
        <w:jc w:val="both"/>
      </w:pPr>
      <w:r>
        <w:rPr>
          <w:sz w:val="20"/>
        </w:rPr>
      </w:r>
    </w:p>
    <w:p>
      <w:pPr>
        <w:pStyle w:val="3"/>
        <w:jc w:val="both"/>
      </w:pPr>
      <w:r>
        <w:rPr>
          <w:sz w:val="20"/>
        </w:rPr>
        <w:t xml:space="preserve">┌────────────────────────────────────────────────────────┬────────────────┐</w:t>
      </w:r>
    </w:p>
    <w:p>
      <w:pPr>
        <w:pStyle w:val="3"/>
        <w:jc w:val="both"/>
      </w:pPr>
      <w:r>
        <w:rPr>
          <w:sz w:val="20"/>
        </w:rPr>
        <w:t xml:space="preserve">│                 Загрязняющее вещество                  │       C        │</w:t>
      </w:r>
    </w:p>
    <w:p>
      <w:pPr>
        <w:pStyle w:val="3"/>
        <w:jc w:val="both"/>
      </w:pPr>
      <w:r>
        <w:rPr>
          <w:sz w:val="20"/>
        </w:rPr>
        <w:t xml:space="preserve">├────────────────────────────────────────────────────────┼────────────────┤</w:t>
      </w:r>
    </w:p>
    <w:p>
      <w:pPr>
        <w:pStyle w:val="3"/>
        <w:jc w:val="both"/>
      </w:pPr>
      <w:r>
        <w:rPr>
          <w:sz w:val="20"/>
        </w:rPr>
        <w:t xml:space="preserve">│Всего пыли                                              │          30    │</w:t>
      </w:r>
    </w:p>
    <w:p>
      <w:pPr>
        <w:pStyle w:val="3"/>
        <w:jc w:val="both"/>
      </w:pPr>
      <w:r>
        <w:rPr>
          <w:sz w:val="20"/>
        </w:rPr>
        <w:t xml:space="preserve">├────────────────────────────────────────────────────────┼────────────────┤</w:t>
      </w:r>
    </w:p>
    <w:p>
      <w:pPr>
        <w:pStyle w:val="3"/>
        <w:jc w:val="both"/>
      </w:pPr>
      <w:r>
        <w:rPr>
          <w:sz w:val="20"/>
        </w:rPr>
        <w:t xml:space="preserve">│HCl                                                     │          10    │</w:t>
      </w:r>
    </w:p>
    <w:p>
      <w:pPr>
        <w:pStyle w:val="3"/>
        <w:jc w:val="both"/>
      </w:pPr>
      <w:r>
        <w:rPr>
          <w:sz w:val="20"/>
        </w:rPr>
        <w:t xml:space="preserve">├────────────────────────────────────────────────────────┼────────────────┤</w:t>
      </w:r>
    </w:p>
    <w:p>
      <w:pPr>
        <w:pStyle w:val="3"/>
        <w:jc w:val="both"/>
      </w:pPr>
      <w:r>
        <w:rPr>
          <w:sz w:val="20"/>
        </w:rPr>
        <w:t xml:space="preserve">│HF                                                      │           1    │</w:t>
      </w:r>
    </w:p>
    <w:p>
      <w:pPr>
        <w:pStyle w:val="3"/>
        <w:jc w:val="both"/>
      </w:pPr>
      <w:r>
        <w:rPr>
          <w:sz w:val="20"/>
        </w:rPr>
        <w:t xml:space="preserve">├────────────────────────────────────────────────────────┼────────────────┤</w:t>
      </w:r>
    </w:p>
    <w:p>
      <w:pPr>
        <w:pStyle w:val="3"/>
        <w:jc w:val="both"/>
      </w:pPr>
      <w:r>
        <w:rPr>
          <w:sz w:val="20"/>
        </w:rPr>
        <w:t xml:space="preserve">│NO                                                      │         500 </w:t>
      </w:r>
      <w:hyperlink w:history="0" w:anchor="P2351" w:tooltip="    &lt;*&gt;  До  1  января  2016  г.  компетентный  орган  вправе предоставлять">
        <w:r>
          <w:rPr>
            <w:sz w:val="20"/>
            <w:color w:val="0000ff"/>
          </w:rPr>
          <w:t xml:space="preserve">&lt;*&gt;</w:t>
        </w:r>
      </w:hyperlink>
      <w:r>
        <w:rPr>
          <w:sz w:val="20"/>
        </w:rPr>
        <w:t xml:space="preserve">│</w:t>
      </w:r>
    </w:p>
    <w:p>
      <w:pPr>
        <w:pStyle w:val="3"/>
        <w:jc w:val="both"/>
      </w:pPr>
      <w:r>
        <w:rPr>
          <w:sz w:val="20"/>
        </w:rPr>
        <w:t xml:space="preserve">│  x                                                     │                │</w:t>
      </w:r>
    </w:p>
    <w:p>
      <w:pPr>
        <w:pStyle w:val="3"/>
        <w:jc w:val="both"/>
      </w:pPr>
      <w:r>
        <w:rPr>
          <w:sz w:val="20"/>
        </w:rPr>
        <w:t xml:space="preserve">├────────────────────────────────────────────────────────┼────────────────┤</w:t>
      </w:r>
    </w:p>
    <w:p>
      <w:pPr>
        <w:pStyle w:val="3"/>
        <w:jc w:val="both"/>
      </w:pPr>
      <w:r>
        <w:rPr>
          <w:sz w:val="20"/>
        </w:rPr>
        <w:t xml:space="preserve">│Cd + Tl                                                 │           0,05 │</w:t>
      </w:r>
    </w:p>
    <w:p>
      <w:pPr>
        <w:pStyle w:val="3"/>
        <w:jc w:val="both"/>
      </w:pPr>
      <w:r>
        <w:rPr>
          <w:sz w:val="20"/>
        </w:rPr>
        <w:t xml:space="preserve">├────────────────────────────────────────────────────────┼────────────────┤</w:t>
      </w:r>
    </w:p>
    <w:p>
      <w:pPr>
        <w:pStyle w:val="3"/>
        <w:jc w:val="both"/>
      </w:pPr>
      <w:r>
        <w:rPr>
          <w:sz w:val="20"/>
        </w:rPr>
        <w:t xml:space="preserve">│Hg                                                      │           0,05 │</w:t>
      </w:r>
    </w:p>
    <w:p>
      <w:pPr>
        <w:pStyle w:val="3"/>
        <w:jc w:val="both"/>
      </w:pPr>
      <w:r>
        <w:rPr>
          <w:sz w:val="20"/>
        </w:rPr>
        <w:t xml:space="preserve">├────────────────────────────────────────────────────────┼────────────────┤</w:t>
      </w:r>
    </w:p>
    <w:p>
      <w:pPr>
        <w:pStyle w:val="3"/>
        <w:jc w:val="both"/>
      </w:pPr>
      <w:r>
        <w:rPr>
          <w:sz w:val="20"/>
        </w:rPr>
        <w:t xml:space="preserve">│Sb + As + Pb + Cr + Co + Cu + Mn + Ni + V               │           0,5  │</w:t>
      </w:r>
    </w:p>
    <w:p>
      <w:pPr>
        <w:pStyle w:val="3"/>
        <w:jc w:val="both"/>
      </w:pPr>
      <w:r>
        <w:rPr>
          <w:sz w:val="20"/>
        </w:rPr>
        <w:t xml:space="preserve">├────────────────────────────────────────────────────────┼────────────────┤</w:t>
      </w:r>
    </w:p>
    <w:p>
      <w:pPr>
        <w:pStyle w:val="3"/>
        <w:jc w:val="both"/>
      </w:pPr>
      <w:r>
        <w:rPr>
          <w:sz w:val="20"/>
        </w:rPr>
        <w:t xml:space="preserve">│                        3                               │                │</w:t>
      </w:r>
    </w:p>
    <w:p>
      <w:pPr>
        <w:pStyle w:val="3"/>
        <w:jc w:val="both"/>
      </w:pPr>
      <w:r>
        <w:rPr>
          <w:sz w:val="20"/>
        </w:rPr>
        <w:t xml:space="preserve">│Диоксины и фураны (ng/Nm )                              │           0,1  │</w:t>
      </w:r>
    </w:p>
    <w:p>
      <w:pPr>
        <w:pStyle w:val="3"/>
        <w:jc w:val="both"/>
      </w:pPr>
      <w:r>
        <w:rPr>
          <w:sz w:val="20"/>
        </w:rPr>
        <w:t xml:space="preserve">└────────────────────────────────────────────────────────┴────────────────┘</w:t>
      </w:r>
    </w:p>
    <w:p>
      <w:pPr>
        <w:pStyle w:val="0"/>
        <w:ind w:firstLine="540"/>
        <w:jc w:val="both"/>
      </w:pPr>
      <w:r>
        <w:rPr>
          <w:sz w:val="20"/>
        </w:rPr>
      </w:r>
    </w:p>
    <w:p>
      <w:pPr>
        <w:pStyle w:val="0"/>
        <w:ind w:firstLine="540"/>
        <w:jc w:val="both"/>
      </w:pPr>
      <w:r>
        <w:rPr>
          <w:sz w:val="20"/>
        </w:rPr>
        <w:t xml:space="preserve">Примечание:</w:t>
      </w:r>
    </w:p>
    <w:bookmarkStart w:id="2351" w:name="P2351"/>
    <w:bookmarkEnd w:id="2351"/>
    <w:p>
      <w:pPr>
        <w:pStyle w:val="1"/>
        <w:spacing w:before="200" w:line-rule="auto"/>
        <w:jc w:val="both"/>
      </w:pPr>
      <w:r>
        <w:rPr>
          <w:sz w:val="20"/>
        </w:rPr>
        <w:t xml:space="preserve">    &lt;*&gt;  До  1  января  2016  г.  компетентный  орган  вправе предоставлять</w:t>
      </w:r>
    </w:p>
    <w:p>
      <w:pPr>
        <w:pStyle w:val="1"/>
        <w:jc w:val="both"/>
      </w:pPr>
      <w:r>
        <w:rPr>
          <w:sz w:val="20"/>
        </w:rPr>
        <w:t xml:space="preserve">исключения  в отношении пороговых значений для NO  для печей системы Леполь</w:t>
      </w:r>
    </w:p>
    <w:p>
      <w:pPr>
        <w:pStyle w:val="1"/>
        <w:jc w:val="both"/>
      </w:pPr>
      <w:r>
        <w:rPr>
          <w:sz w:val="20"/>
        </w:rPr>
        <w:t xml:space="preserve">                                                 x</w:t>
      </w:r>
    </w:p>
    <w:p>
      <w:pPr>
        <w:pStyle w:val="1"/>
        <w:jc w:val="both"/>
      </w:pPr>
      <w:r>
        <w:rPr>
          <w:sz w:val="20"/>
        </w:rPr>
        <w:t xml:space="preserve">и длинных вращающихся печей при условии, что разрешение устанавливает общее</w:t>
      </w:r>
    </w:p>
    <w:p>
      <w:pPr>
        <w:pStyle w:val="1"/>
        <w:jc w:val="both"/>
      </w:pPr>
      <w:r>
        <w:rPr>
          <w:sz w:val="20"/>
        </w:rPr>
        <w:t xml:space="preserve">                                                     3</w:t>
      </w:r>
    </w:p>
    <w:p>
      <w:pPr>
        <w:pStyle w:val="1"/>
        <w:jc w:val="both"/>
      </w:pPr>
      <w:r>
        <w:rPr>
          <w:sz w:val="20"/>
        </w:rPr>
        <w:t xml:space="preserve">пороговое значение выбросов для NO  не выше 800 мг/Nm .</w:t>
      </w:r>
    </w:p>
    <w:p>
      <w:pPr>
        <w:pStyle w:val="1"/>
        <w:jc w:val="both"/>
      </w:pPr>
      <w:r>
        <w:rPr>
          <w:sz w:val="20"/>
        </w:rPr>
        <w:t xml:space="preserve">                                  x</w:t>
      </w:r>
    </w:p>
    <w:p>
      <w:pPr>
        <w:pStyle w:val="0"/>
        <w:ind w:firstLine="540"/>
        <w:jc w:val="both"/>
      </w:pPr>
      <w:r>
        <w:rPr>
          <w:sz w:val="20"/>
        </w:rPr>
      </w:r>
    </w:p>
    <w:p>
      <w:pPr>
        <w:pStyle w:val="1"/>
        <w:jc w:val="both"/>
      </w:pPr>
      <w:r>
        <w:rPr>
          <w:sz w:val="20"/>
        </w:rPr>
        <w:t xml:space="preserve">                                                     3</w:t>
      </w:r>
    </w:p>
    <w:bookmarkStart w:id="2360" w:name="P2360"/>
    <w:bookmarkEnd w:id="2360"/>
    <w:p>
      <w:pPr>
        <w:pStyle w:val="1"/>
        <w:jc w:val="both"/>
      </w:pPr>
      <w:r>
        <w:rPr>
          <w:sz w:val="20"/>
        </w:rPr>
        <w:t xml:space="preserve">    2.3. C - общие пороговые значения выбросов (мг/Nm ) для SO  и TOC</w:t>
      </w:r>
    </w:p>
    <w:p>
      <w:pPr>
        <w:pStyle w:val="1"/>
        <w:jc w:val="both"/>
      </w:pPr>
      <w:r>
        <w:rPr>
          <w:sz w:val="20"/>
        </w:rPr>
        <w:t xml:space="preserve">                                                              2</w:t>
      </w:r>
    </w:p>
    <w:p>
      <w:pPr>
        <w:pStyle w:val="0"/>
        <w:ind w:firstLine="540"/>
        <w:jc w:val="both"/>
      </w:pPr>
      <w:r>
        <w:rPr>
          <w:sz w:val="20"/>
        </w:rPr>
      </w:r>
    </w:p>
    <w:p>
      <w:pPr>
        <w:pStyle w:val="3"/>
        <w:jc w:val="both"/>
      </w:pPr>
      <w:r>
        <w:rPr>
          <w:sz w:val="20"/>
        </w:rPr>
        <w:t xml:space="preserve">┌────────────────────────────────────────────────────────┬────────────────┐</w:t>
      </w:r>
    </w:p>
    <w:p>
      <w:pPr>
        <w:pStyle w:val="3"/>
        <w:jc w:val="both"/>
      </w:pPr>
      <w:r>
        <w:rPr>
          <w:sz w:val="20"/>
        </w:rPr>
        <w:t xml:space="preserve">│                 Загрязняющее вещество                  │       C        │</w:t>
      </w:r>
    </w:p>
    <w:p>
      <w:pPr>
        <w:pStyle w:val="3"/>
        <w:jc w:val="both"/>
      </w:pPr>
      <w:r>
        <w:rPr>
          <w:sz w:val="20"/>
        </w:rPr>
        <w:t xml:space="preserve">├────────────────────────────────────────────────────────┼────────────────┤</w:t>
      </w:r>
    </w:p>
    <w:p>
      <w:pPr>
        <w:pStyle w:val="3"/>
        <w:jc w:val="both"/>
      </w:pPr>
      <w:r>
        <w:rPr>
          <w:sz w:val="20"/>
        </w:rPr>
        <w:t xml:space="preserve">│SO                                                      │              50│</w:t>
      </w:r>
    </w:p>
    <w:p>
      <w:pPr>
        <w:pStyle w:val="3"/>
        <w:jc w:val="both"/>
      </w:pPr>
      <w:r>
        <w:rPr>
          <w:sz w:val="20"/>
        </w:rPr>
        <w:t xml:space="preserve">│  2                                                     │                │</w:t>
      </w:r>
    </w:p>
    <w:p>
      <w:pPr>
        <w:pStyle w:val="3"/>
        <w:jc w:val="both"/>
      </w:pPr>
      <w:r>
        <w:rPr>
          <w:sz w:val="20"/>
        </w:rPr>
        <w:t xml:space="preserve">├────────────────────────────────────────────────────────┼────────────────┤</w:t>
      </w:r>
    </w:p>
    <w:p>
      <w:pPr>
        <w:pStyle w:val="3"/>
        <w:jc w:val="both"/>
      </w:pPr>
      <w:r>
        <w:rPr>
          <w:sz w:val="20"/>
        </w:rPr>
        <w:t xml:space="preserve">│TOC                                                     │              10│</w:t>
      </w:r>
    </w:p>
    <w:p>
      <w:pPr>
        <w:pStyle w:val="3"/>
        <w:jc w:val="both"/>
      </w:pPr>
      <w:r>
        <w:rPr>
          <w:sz w:val="20"/>
        </w:rPr>
        <w:t xml:space="preserve">└────────────────────────────────────────────────────────┴────────────────┘</w:t>
      </w:r>
    </w:p>
    <w:p>
      <w:pPr>
        <w:pStyle w:val="0"/>
        <w:ind w:firstLine="540"/>
        <w:jc w:val="both"/>
      </w:pPr>
      <w:r>
        <w:rPr>
          <w:sz w:val="20"/>
        </w:rPr>
      </w:r>
    </w:p>
    <w:p>
      <w:pPr>
        <w:pStyle w:val="1"/>
        <w:jc w:val="both"/>
      </w:pPr>
      <w:r>
        <w:rPr>
          <w:sz w:val="20"/>
        </w:rPr>
        <w:t xml:space="preserve">    Компетентный   орган   вправе  предоставить  частичные  отступления  от</w:t>
      </w:r>
    </w:p>
    <w:p>
      <w:pPr>
        <w:pStyle w:val="1"/>
        <w:jc w:val="both"/>
      </w:pPr>
      <w:r>
        <w:rPr>
          <w:sz w:val="20"/>
        </w:rPr>
        <w:t xml:space="preserve">пороговых  значений  выбросов,  установленных  настоящим пунктом, в случае,</w:t>
      </w:r>
    </w:p>
    <w:p>
      <w:pPr>
        <w:pStyle w:val="1"/>
        <w:jc w:val="both"/>
      </w:pPr>
      <w:r>
        <w:rPr>
          <w:sz w:val="20"/>
        </w:rPr>
        <w:t xml:space="preserve">если TOC и SO  не образуются в результате совместного сжигания отходов.</w:t>
      </w:r>
    </w:p>
    <w:p>
      <w:pPr>
        <w:pStyle w:val="1"/>
        <w:jc w:val="both"/>
      </w:pPr>
      <w:r>
        <w:rPr>
          <w:sz w:val="20"/>
        </w:rPr>
        <w:t xml:space="preserve">             2</w:t>
      </w:r>
    </w:p>
    <w:bookmarkStart w:id="2376" w:name="P2376"/>
    <w:bookmarkEnd w:id="2376"/>
    <w:p>
      <w:pPr>
        <w:pStyle w:val="0"/>
        <w:ind w:firstLine="540"/>
        <w:jc w:val="both"/>
      </w:pPr>
      <w:r>
        <w:rPr>
          <w:sz w:val="20"/>
        </w:rPr>
        <w:t xml:space="preserve">2.4. C - общие пороговые значения выбросов для CO</w:t>
      </w:r>
    </w:p>
    <w:p>
      <w:pPr>
        <w:pStyle w:val="0"/>
        <w:spacing w:before="200" w:line-rule="auto"/>
        <w:ind w:firstLine="540"/>
        <w:jc w:val="both"/>
      </w:pPr>
      <w:r>
        <w:rPr>
          <w:sz w:val="20"/>
        </w:rPr>
        <w:t xml:space="preserve">Компетентный орган вправе установить пороговые значения выбросов для CO.</w:t>
      </w:r>
    </w:p>
    <w:bookmarkStart w:id="2378" w:name="P2378"/>
    <w:bookmarkEnd w:id="2378"/>
    <w:p>
      <w:pPr>
        <w:pStyle w:val="0"/>
        <w:spacing w:before="200" w:line-rule="auto"/>
        <w:ind w:firstLine="540"/>
        <w:jc w:val="both"/>
      </w:pPr>
      <w:r>
        <w:rPr>
          <w:sz w:val="20"/>
        </w:rPr>
        <w:t xml:space="preserve">3. Специальные положения для заводов по сжиганию, совместно сжигающих отходы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О применении пункта 3.1 части 4 Приложения VI в отношении заводов по сжиганию, осуществляющих совместное сжигание отходов, см. </w:t>
            </w:r>
            <w:hyperlink w:history="0" w:anchor="P1210" w:tooltip="5. В отношении заводов по сжиганию, осуществляющих совместное сжигание отходов, пункт 3.1 части 4 Приложения VI к настоящей Директиве применяется до:">
              <w:r>
                <w:rPr>
                  <w:sz w:val="20"/>
                  <w:color w:val="0000ff"/>
                </w:rPr>
                <w:t xml:space="preserve">статью 82 (5)</w:t>
              </w:r>
            </w:hyperlink>
            <w:r>
              <w:rPr>
                <w:sz w:val="20"/>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80" w:name="P2380"/>
    <w:bookmarkEnd w:id="2380"/>
    <w:p>
      <w:pPr>
        <w:pStyle w:val="1"/>
        <w:spacing w:before="260" w:line-rule="auto"/>
        <w:jc w:val="both"/>
      </w:pPr>
      <w:r>
        <w:rPr>
          <w:sz w:val="20"/>
        </w:rPr>
        <w:t xml:space="preserve">    3.1.   Значение   C       ,   выраженное  как  среднесуточное  значение</w:t>
      </w:r>
    </w:p>
    <w:p>
      <w:pPr>
        <w:pStyle w:val="1"/>
        <w:jc w:val="both"/>
      </w:pPr>
      <w:r>
        <w:rPr>
          <w:sz w:val="20"/>
        </w:rPr>
        <w:t xml:space="preserve">      3                процесс</w:t>
      </w:r>
    </w:p>
    <w:p>
      <w:pPr>
        <w:pStyle w:val="1"/>
        <w:jc w:val="both"/>
      </w:pPr>
      <w:r>
        <w:rPr>
          <w:sz w:val="20"/>
        </w:rPr>
        <w:t xml:space="preserve">(мг/Nm ),  действительно  до  даты,  указанной  в  </w:t>
      </w:r>
      <w:hyperlink w:history="0" w:anchor="P1210" w:tooltip="5. В отношении заводов по сжиганию, осуществляющих совместное сжигание отходов, пункт 3.1 части 4 Приложения VI к настоящей Директиве применяется до:">
        <w:r>
          <w:rPr>
            <w:sz w:val="20"/>
            <w:color w:val="0000ff"/>
          </w:rPr>
          <w:t xml:space="preserve">статье  82 (5)</w:t>
        </w:r>
      </w:hyperlink>
      <w:r>
        <w:rPr>
          <w:sz w:val="20"/>
        </w:rPr>
        <w:t xml:space="preserve"> настоящей</w:t>
      </w:r>
    </w:p>
    <w:p>
      <w:pPr>
        <w:pStyle w:val="1"/>
        <w:jc w:val="both"/>
      </w:pPr>
      <w:r>
        <w:rPr>
          <w:sz w:val="20"/>
        </w:rPr>
        <w:t xml:space="preserve">Директивы.</w:t>
      </w:r>
    </w:p>
    <w:p>
      <w:pPr>
        <w:pStyle w:val="0"/>
        <w:ind w:firstLine="540"/>
        <w:jc w:val="both"/>
      </w:pPr>
      <w:r>
        <w:rPr>
          <w:sz w:val="20"/>
        </w:rPr>
        <w:t xml:space="preserve">В целях определения совокупной номинальной тепловой мощности заводов по сжиганию применяется правило объединения, установленное </w:t>
      </w:r>
      <w:hyperlink w:history="0" w:anchor="P593" w:tooltip="Статья 29">
        <w:r>
          <w:rPr>
            <w:sz w:val="20"/>
            <w:color w:val="0000ff"/>
          </w:rPr>
          <w:t xml:space="preserve">статьей 29</w:t>
        </w:r>
      </w:hyperlink>
      <w:r>
        <w:rPr>
          <w:sz w:val="20"/>
        </w:rPr>
        <w:t xml:space="preserve"> настоящей Директивы. Средние получасовые значения необходимы только для исчисления среднесуточных значений.</w:t>
      </w:r>
    </w:p>
    <w:p>
      <w:pPr>
        <w:pStyle w:val="1"/>
        <w:spacing w:before="200" w:line-rule="auto"/>
        <w:jc w:val="both"/>
      </w:pPr>
      <w:r>
        <w:rPr>
          <w:sz w:val="20"/>
        </w:rPr>
        <w:t xml:space="preserve">    C        для  твердого  топлива  за  исключением  биомассы  (содержание</w:t>
      </w:r>
    </w:p>
    <w:p>
      <w:pPr>
        <w:pStyle w:val="1"/>
        <w:jc w:val="both"/>
      </w:pPr>
      <w:r>
        <w:rPr>
          <w:sz w:val="20"/>
        </w:rPr>
        <w:t xml:space="preserve">     процесс</w:t>
      </w:r>
    </w:p>
    <w:p>
      <w:pPr>
        <w:pStyle w:val="1"/>
        <w:jc w:val="both"/>
      </w:pPr>
      <w:r>
        <w:rPr>
          <w:sz w:val="20"/>
        </w:rPr>
        <w:t xml:space="preserve">O  составляет 6%)</w:t>
      </w:r>
    </w:p>
    <w:p>
      <w:pPr>
        <w:pStyle w:val="1"/>
        <w:jc w:val="both"/>
      </w:pPr>
      <w:r>
        <w:rPr>
          <w:sz w:val="20"/>
        </w:rPr>
        <w:t xml:space="preserve"> 2</w:t>
      </w:r>
    </w:p>
    <w:p>
      <w:pPr>
        <w:pStyle w:val="0"/>
        <w:ind w:firstLine="540"/>
        <w:jc w:val="both"/>
      </w:pPr>
      <w:r>
        <w:rPr>
          <w:sz w:val="20"/>
        </w:rPr>
      </w:r>
    </w:p>
    <w:p>
      <w:pPr>
        <w:pStyle w:val="3"/>
        <w:jc w:val="both"/>
      </w:pPr>
      <w:r>
        <w:rPr>
          <w:sz w:val="20"/>
        </w:rPr>
        <w:t xml:space="preserve">┌───────────────────┬──────────────┬──────────────┬────────────┬──────────┐</w:t>
      </w:r>
    </w:p>
    <w:p>
      <w:pPr>
        <w:pStyle w:val="3"/>
        <w:jc w:val="both"/>
      </w:pPr>
      <w:r>
        <w:rPr>
          <w:sz w:val="20"/>
        </w:rPr>
        <w:t xml:space="preserve">│   Загрязняющие    │   &lt; 50 MW    │ 50 - 100 MW  │100 - 300 MW│ &gt; 300 MW │</w:t>
      </w:r>
    </w:p>
    <w:p>
      <w:pPr>
        <w:pStyle w:val="3"/>
        <w:jc w:val="both"/>
      </w:pPr>
      <w:r>
        <w:rPr>
          <w:sz w:val="20"/>
        </w:rPr>
        <w:t xml:space="preserve">│     вещества      │              │              │            │          │</w:t>
      </w:r>
    </w:p>
    <w:p>
      <w:pPr>
        <w:pStyle w:val="3"/>
        <w:jc w:val="both"/>
      </w:pPr>
      <w:r>
        <w:rPr>
          <w:sz w:val="20"/>
        </w:rPr>
        <w:t xml:space="preserve">├───────────────────┼──────────────┼──────────────┼────────────┼──────────┤</w:t>
      </w:r>
    </w:p>
    <w:p>
      <w:pPr>
        <w:pStyle w:val="3"/>
        <w:jc w:val="both"/>
      </w:pPr>
      <w:r>
        <w:rPr>
          <w:sz w:val="20"/>
        </w:rPr>
        <w:t xml:space="preserve">│SO                 │      -       │           850│         200│       200│</w:t>
      </w:r>
    </w:p>
    <w:p>
      <w:pPr>
        <w:pStyle w:val="3"/>
        <w:jc w:val="both"/>
      </w:pPr>
      <w:r>
        <w:rPr>
          <w:sz w:val="20"/>
        </w:rPr>
        <w:t xml:space="preserve">│  2                │              │              │            │          │</w:t>
      </w:r>
    </w:p>
    <w:p>
      <w:pPr>
        <w:pStyle w:val="3"/>
        <w:jc w:val="both"/>
      </w:pPr>
      <w:r>
        <w:rPr>
          <w:sz w:val="20"/>
        </w:rPr>
        <w:t xml:space="preserve">├───────────────────┼──────────────┼──────────────┼────────────┼──────────┤</w:t>
      </w:r>
    </w:p>
    <w:p>
      <w:pPr>
        <w:pStyle w:val="3"/>
        <w:jc w:val="both"/>
      </w:pPr>
      <w:r>
        <w:rPr>
          <w:sz w:val="20"/>
        </w:rPr>
        <w:t xml:space="preserve">│NO                 │      -       │           400│         200│       200│</w:t>
      </w:r>
    </w:p>
    <w:p>
      <w:pPr>
        <w:pStyle w:val="3"/>
        <w:jc w:val="both"/>
      </w:pPr>
      <w:r>
        <w:rPr>
          <w:sz w:val="20"/>
        </w:rPr>
        <w:t xml:space="preserve">│  x                │              │              │            │          │</w:t>
      </w:r>
    </w:p>
    <w:p>
      <w:pPr>
        <w:pStyle w:val="3"/>
        <w:jc w:val="both"/>
      </w:pPr>
      <w:r>
        <w:rPr>
          <w:sz w:val="20"/>
        </w:rPr>
        <w:t xml:space="preserve">├───────────────────┼──────────────┼──────────────┼────────────┼──────────┤</w:t>
      </w:r>
    </w:p>
    <w:p>
      <w:pPr>
        <w:pStyle w:val="3"/>
        <w:jc w:val="both"/>
      </w:pPr>
      <w:r>
        <w:rPr>
          <w:sz w:val="20"/>
        </w:rPr>
        <w:t xml:space="preserve">│Пыль               │            50│            50│          30│        30│</w:t>
      </w:r>
    </w:p>
    <w:p>
      <w:pPr>
        <w:pStyle w:val="3"/>
        <w:jc w:val="both"/>
      </w:pPr>
      <w:r>
        <w:rPr>
          <w:sz w:val="20"/>
        </w:rPr>
        <w:t xml:space="preserve">└───────────────────┴──────────────┴──────────────┴────────────┴──────────┘</w:t>
      </w:r>
    </w:p>
    <w:p>
      <w:pPr>
        <w:pStyle w:val="0"/>
        <w:ind w:firstLine="540"/>
        <w:jc w:val="both"/>
      </w:pPr>
      <w:r>
        <w:rPr>
          <w:sz w:val="20"/>
        </w:rPr>
      </w:r>
    </w:p>
    <w:p>
      <w:pPr>
        <w:pStyle w:val="1"/>
        <w:jc w:val="both"/>
      </w:pPr>
      <w:r>
        <w:rPr>
          <w:sz w:val="20"/>
        </w:rPr>
        <w:t xml:space="preserve">    C        для биомассы (содержание O  составляет 6%)</w:t>
      </w:r>
    </w:p>
    <w:p>
      <w:pPr>
        <w:pStyle w:val="1"/>
        <w:jc w:val="both"/>
      </w:pPr>
      <w:r>
        <w:rPr>
          <w:sz w:val="20"/>
        </w:rPr>
        <w:t xml:space="preserve">     процесс                           2</w:t>
      </w:r>
    </w:p>
    <w:p>
      <w:pPr>
        <w:pStyle w:val="0"/>
        <w:ind w:firstLine="540"/>
        <w:jc w:val="both"/>
      </w:pPr>
      <w:r>
        <w:rPr>
          <w:sz w:val="20"/>
        </w:rPr>
      </w:r>
    </w:p>
    <w:p>
      <w:pPr>
        <w:pStyle w:val="3"/>
        <w:jc w:val="both"/>
      </w:pPr>
      <w:r>
        <w:rPr>
          <w:sz w:val="20"/>
        </w:rPr>
        <w:t xml:space="preserve">┌───────────────────┬──────────────┬──────────────┬────────────┬──────────┐</w:t>
      </w:r>
    </w:p>
    <w:p>
      <w:pPr>
        <w:pStyle w:val="3"/>
        <w:jc w:val="both"/>
      </w:pPr>
      <w:r>
        <w:rPr>
          <w:sz w:val="20"/>
        </w:rPr>
        <w:t xml:space="preserve">│   Загрязняющие    │   &lt; 50 MW    │  50 - 100 MW │100 - 300 MW│ &gt; 300 MW │</w:t>
      </w:r>
    </w:p>
    <w:p>
      <w:pPr>
        <w:pStyle w:val="3"/>
        <w:jc w:val="both"/>
      </w:pPr>
      <w:r>
        <w:rPr>
          <w:sz w:val="20"/>
        </w:rPr>
        <w:t xml:space="preserve">│     вещества      │              │              │            │          │</w:t>
      </w:r>
    </w:p>
    <w:p>
      <w:pPr>
        <w:pStyle w:val="3"/>
        <w:jc w:val="both"/>
      </w:pPr>
      <w:r>
        <w:rPr>
          <w:sz w:val="20"/>
        </w:rPr>
        <w:t xml:space="preserve">├───────────────────┼──────────────┼──────────────┼────────────┼──────────┤</w:t>
      </w:r>
    </w:p>
    <w:p>
      <w:pPr>
        <w:pStyle w:val="3"/>
        <w:jc w:val="both"/>
      </w:pPr>
      <w:r>
        <w:rPr>
          <w:sz w:val="20"/>
        </w:rPr>
        <w:t xml:space="preserve">│SO                 │      -       │           200│         200│       200│</w:t>
      </w:r>
    </w:p>
    <w:p>
      <w:pPr>
        <w:pStyle w:val="3"/>
        <w:jc w:val="both"/>
      </w:pPr>
      <w:r>
        <w:rPr>
          <w:sz w:val="20"/>
        </w:rPr>
        <w:t xml:space="preserve">│  2                │              │              │            │          │</w:t>
      </w:r>
    </w:p>
    <w:p>
      <w:pPr>
        <w:pStyle w:val="3"/>
        <w:jc w:val="both"/>
      </w:pPr>
      <w:r>
        <w:rPr>
          <w:sz w:val="20"/>
        </w:rPr>
        <w:t xml:space="preserve">├───────────────────┼──────────────┼──────────────┼────────────┼──────────┤</w:t>
      </w:r>
    </w:p>
    <w:p>
      <w:pPr>
        <w:pStyle w:val="3"/>
        <w:jc w:val="both"/>
      </w:pPr>
      <w:r>
        <w:rPr>
          <w:sz w:val="20"/>
        </w:rPr>
        <w:t xml:space="preserve">│NO                 │      -       │           350│         300│       200│</w:t>
      </w:r>
    </w:p>
    <w:p>
      <w:pPr>
        <w:pStyle w:val="3"/>
        <w:jc w:val="both"/>
      </w:pPr>
      <w:r>
        <w:rPr>
          <w:sz w:val="20"/>
        </w:rPr>
        <w:t xml:space="preserve">│  x                │              │              │            │          │</w:t>
      </w:r>
    </w:p>
    <w:p>
      <w:pPr>
        <w:pStyle w:val="3"/>
        <w:jc w:val="both"/>
      </w:pPr>
      <w:r>
        <w:rPr>
          <w:sz w:val="20"/>
        </w:rPr>
        <w:t xml:space="preserve">├───────────────────┼──────────────┼──────────────┼────────────┼──────────┤</w:t>
      </w:r>
    </w:p>
    <w:p>
      <w:pPr>
        <w:pStyle w:val="3"/>
        <w:jc w:val="both"/>
      </w:pPr>
      <w:r>
        <w:rPr>
          <w:sz w:val="20"/>
        </w:rPr>
        <w:t xml:space="preserve">│Пыль               │            50│            50│          30│        30│</w:t>
      </w:r>
    </w:p>
    <w:p>
      <w:pPr>
        <w:pStyle w:val="3"/>
        <w:jc w:val="both"/>
      </w:pPr>
      <w:r>
        <w:rPr>
          <w:sz w:val="20"/>
        </w:rPr>
        <w:t xml:space="preserve">└───────────────────┴──────────────┴──────────────┴────────────┴──────────┘</w:t>
      </w:r>
    </w:p>
    <w:p>
      <w:pPr>
        <w:pStyle w:val="0"/>
        <w:ind w:firstLine="540"/>
        <w:jc w:val="both"/>
      </w:pPr>
      <w:r>
        <w:rPr>
          <w:sz w:val="20"/>
        </w:rPr>
      </w:r>
    </w:p>
    <w:p>
      <w:pPr>
        <w:pStyle w:val="1"/>
        <w:jc w:val="both"/>
      </w:pPr>
      <w:r>
        <w:rPr>
          <w:sz w:val="20"/>
        </w:rPr>
        <w:t xml:space="preserve">    C        для жидкого топлива (содержание O  составляет 3%)</w:t>
      </w:r>
    </w:p>
    <w:p>
      <w:pPr>
        <w:pStyle w:val="1"/>
        <w:jc w:val="both"/>
      </w:pPr>
      <w:r>
        <w:rPr>
          <w:sz w:val="20"/>
        </w:rPr>
        <w:t xml:space="preserve">     процесс                                  2</w:t>
      </w:r>
    </w:p>
    <w:p>
      <w:pPr>
        <w:pStyle w:val="0"/>
        <w:ind w:firstLine="540"/>
        <w:jc w:val="both"/>
      </w:pPr>
      <w:r>
        <w:rPr>
          <w:sz w:val="20"/>
        </w:rPr>
      </w:r>
    </w:p>
    <w:p>
      <w:pPr>
        <w:pStyle w:val="3"/>
        <w:jc w:val="both"/>
      </w:pPr>
      <w:r>
        <w:rPr>
          <w:sz w:val="20"/>
        </w:rPr>
        <w:t xml:space="preserve">┌─────────────┬───────────┬─────────────┬──────────────────────┬──────────┐</w:t>
      </w:r>
    </w:p>
    <w:p>
      <w:pPr>
        <w:pStyle w:val="3"/>
        <w:jc w:val="both"/>
      </w:pPr>
      <w:r>
        <w:rPr>
          <w:sz w:val="20"/>
        </w:rPr>
        <w:t xml:space="preserve">│Загрязняющие │  &lt; 50 MW  │ 50 - 100 MW │     100 - 300 MW     │ &gt; 300 MW │</w:t>
      </w:r>
    </w:p>
    <w:p>
      <w:pPr>
        <w:pStyle w:val="3"/>
        <w:jc w:val="both"/>
      </w:pPr>
      <w:r>
        <w:rPr>
          <w:sz w:val="20"/>
        </w:rPr>
        <w:t xml:space="preserve">│  вещества   │           │             │                      │          │</w:t>
      </w:r>
    </w:p>
    <w:p>
      <w:pPr>
        <w:pStyle w:val="3"/>
        <w:jc w:val="both"/>
      </w:pPr>
      <w:r>
        <w:rPr>
          <w:sz w:val="20"/>
        </w:rPr>
        <w:t xml:space="preserve">├─────────────┼───────────┼─────────────┼──────────────────────┼──────────┤</w:t>
      </w:r>
    </w:p>
    <w:p>
      <w:pPr>
        <w:pStyle w:val="3"/>
        <w:jc w:val="both"/>
      </w:pPr>
      <w:r>
        <w:rPr>
          <w:sz w:val="20"/>
        </w:rPr>
        <w:t xml:space="preserve">│SO           │    -      │          850│400 - 200 (линейный   │       200│</w:t>
      </w:r>
    </w:p>
    <w:p>
      <w:pPr>
        <w:pStyle w:val="3"/>
        <w:jc w:val="both"/>
      </w:pPr>
      <w:r>
        <w:rPr>
          <w:sz w:val="20"/>
        </w:rPr>
        <w:t xml:space="preserve">│  2          │           │             │спад при 100 - 300 MW)│          │</w:t>
      </w:r>
    </w:p>
    <w:p>
      <w:pPr>
        <w:pStyle w:val="3"/>
        <w:jc w:val="both"/>
      </w:pPr>
      <w:r>
        <w:rPr>
          <w:sz w:val="20"/>
        </w:rPr>
        <w:t xml:space="preserve">├─────────────┼───────────┼─────────────┼──────────────────────┼──────────┤</w:t>
      </w:r>
    </w:p>
    <w:p>
      <w:pPr>
        <w:pStyle w:val="3"/>
        <w:jc w:val="both"/>
      </w:pPr>
      <w:r>
        <w:rPr>
          <w:sz w:val="20"/>
        </w:rPr>
        <w:t xml:space="preserve">│NO           │    -      │          400│                   200│       200│</w:t>
      </w:r>
    </w:p>
    <w:p>
      <w:pPr>
        <w:pStyle w:val="3"/>
        <w:jc w:val="both"/>
      </w:pPr>
      <w:r>
        <w:rPr>
          <w:sz w:val="20"/>
        </w:rPr>
        <w:t xml:space="preserve">│  x          │           │             │                      │          │</w:t>
      </w:r>
    </w:p>
    <w:p>
      <w:pPr>
        <w:pStyle w:val="3"/>
        <w:jc w:val="both"/>
      </w:pPr>
      <w:r>
        <w:rPr>
          <w:sz w:val="20"/>
        </w:rPr>
        <w:t xml:space="preserve">├─────────────┼───────────┼─────────────┼──────────────────────┼──────────┤</w:t>
      </w:r>
    </w:p>
    <w:p>
      <w:pPr>
        <w:pStyle w:val="3"/>
        <w:jc w:val="both"/>
      </w:pPr>
      <w:r>
        <w:rPr>
          <w:sz w:val="20"/>
        </w:rPr>
        <w:t xml:space="preserve">│Пыль         │         50│           50│                    30│        30│</w:t>
      </w:r>
    </w:p>
    <w:p>
      <w:pPr>
        <w:pStyle w:val="3"/>
        <w:jc w:val="both"/>
      </w:pPr>
      <w:r>
        <w:rPr>
          <w:sz w:val="20"/>
        </w:rPr>
        <w:t xml:space="preserve">└─────────────┴───────────┴─────────────┴──────────────────────┴──────────┘</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О применении пункта 3.2 части 4 Приложения VI в отношении заводов по сжиганию, осуществляющих совместное сжигание отходов, см. </w:t>
            </w:r>
            <w:hyperlink w:history="0" w:anchor="P1213" w:tooltip="6. Пункт 3.2 части 4 Приложения VI к настоящей Директиве применяется в отношении заводов по сжиганию, осуществляющих совместное сжигание отходов, с:">
              <w:r>
                <w:rPr>
                  <w:sz w:val="20"/>
                  <w:color w:val="0000ff"/>
                </w:rPr>
                <w:t xml:space="preserve">статью 82 (6)</w:t>
              </w:r>
            </w:hyperlink>
            <w:r>
              <w:rPr>
                <w:sz w:val="20"/>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36" w:name="P2436"/>
    <w:bookmarkEnd w:id="2436"/>
    <w:p>
      <w:pPr>
        <w:pStyle w:val="1"/>
        <w:spacing w:before="260" w:line-rule="auto"/>
        <w:jc w:val="both"/>
      </w:pPr>
      <w:r>
        <w:rPr>
          <w:sz w:val="20"/>
        </w:rPr>
        <w:t xml:space="preserve">    3.2.   Значение   C       ,   выраженное  как  среднесуточное  значение</w:t>
      </w:r>
    </w:p>
    <w:p>
      <w:pPr>
        <w:pStyle w:val="1"/>
        <w:jc w:val="both"/>
      </w:pPr>
      <w:r>
        <w:rPr>
          <w:sz w:val="20"/>
        </w:rPr>
        <w:t xml:space="preserve">      3                процесс</w:t>
      </w:r>
    </w:p>
    <w:p>
      <w:pPr>
        <w:pStyle w:val="1"/>
        <w:jc w:val="both"/>
      </w:pPr>
      <w:r>
        <w:rPr>
          <w:sz w:val="20"/>
        </w:rPr>
        <w:t xml:space="preserve">(мг/Nm ),  действительно  с  даты,  указанной  в  </w:t>
      </w:r>
      <w:hyperlink w:history="0" w:anchor="P1213" w:tooltip="6. Пункт 3.2 части 4 Приложения VI к настоящей Директиве применяется в отношении заводов по сжиганию, осуществляющих совместное сжигание отходов, с:">
        <w:r>
          <w:rPr>
            <w:sz w:val="20"/>
            <w:color w:val="0000ff"/>
          </w:rPr>
          <w:t xml:space="preserve">статье  82  (6)</w:t>
        </w:r>
      </w:hyperlink>
      <w:r>
        <w:rPr>
          <w:sz w:val="20"/>
        </w:rPr>
        <w:t xml:space="preserve"> настоящей</w:t>
      </w:r>
    </w:p>
    <w:p>
      <w:pPr>
        <w:pStyle w:val="1"/>
        <w:jc w:val="both"/>
      </w:pPr>
      <w:r>
        <w:rPr>
          <w:sz w:val="20"/>
        </w:rPr>
        <w:t xml:space="preserve">Директивы.</w:t>
      </w:r>
    </w:p>
    <w:p>
      <w:pPr>
        <w:pStyle w:val="0"/>
        <w:ind w:firstLine="540"/>
        <w:jc w:val="both"/>
      </w:pPr>
      <w:r>
        <w:rPr>
          <w:sz w:val="20"/>
        </w:rPr>
        <w:t xml:space="preserve">В целях определения совокупной номинальной тепловой мощности заводов по сжиганию применяется правило объединения, установленное </w:t>
      </w:r>
      <w:hyperlink w:history="0" w:anchor="P593" w:tooltip="Статья 29">
        <w:r>
          <w:rPr>
            <w:sz w:val="20"/>
            <w:color w:val="0000ff"/>
          </w:rPr>
          <w:t xml:space="preserve">статьей 29</w:t>
        </w:r>
      </w:hyperlink>
      <w:r>
        <w:rPr>
          <w:sz w:val="20"/>
        </w:rPr>
        <w:t xml:space="preserve"> настоящей Директивы. Средние получасовые значения необходимы только для исчисления среднесуточных значений.</w:t>
      </w:r>
    </w:p>
    <w:p>
      <w:pPr>
        <w:pStyle w:val="1"/>
        <w:spacing w:before="200" w:line-rule="auto"/>
        <w:jc w:val="both"/>
      </w:pPr>
      <w:r>
        <w:rPr>
          <w:sz w:val="20"/>
        </w:rPr>
        <w:t xml:space="preserve">    3.2.1. Значение  C         для  заводов  по  сжиганию,  предусмотренных</w:t>
      </w:r>
    </w:p>
    <w:p>
      <w:pPr>
        <w:pStyle w:val="1"/>
        <w:jc w:val="both"/>
      </w:pPr>
      <w:r>
        <w:rPr>
          <w:sz w:val="20"/>
        </w:rPr>
        <w:t xml:space="preserve">                      процесс</w:t>
      </w:r>
    </w:p>
    <w:p>
      <w:pPr>
        <w:pStyle w:val="1"/>
        <w:jc w:val="both"/>
      </w:pPr>
      <w:hyperlink w:history="0" w:anchor="P606" w:tooltip="2. Все разрешения на установки, содержащие заводы по сжиганию, разрешение на которые были выданы до 7 января 2013 г., или операторы которых подали полностью оформленное заявление на выдачу разрешения до указанной даты, при условии, что такие заводы введены в эксплуатацию не позднее 7 января 2014 г., должны содержать условия, гарантирующие, что выбросы в воздух от таких заводов не превышают пороговые значения выбросов, установленные в части 1 Приложения V к настоящей Директиве.">
        <w:r>
          <w:rPr>
            <w:sz w:val="20"/>
            <w:color w:val="0000ff"/>
          </w:rPr>
          <w:t xml:space="preserve">статьей 30 (2)</w:t>
        </w:r>
      </w:hyperlink>
      <w:r>
        <w:rPr>
          <w:sz w:val="20"/>
        </w:rPr>
        <w:t xml:space="preserve"> настоящей Директивы, за исключением газовых турбин и газовых</w:t>
      </w:r>
    </w:p>
    <w:p>
      <w:pPr>
        <w:pStyle w:val="1"/>
        <w:jc w:val="both"/>
      </w:pPr>
      <w:r>
        <w:rPr>
          <w:sz w:val="20"/>
        </w:rPr>
        <w:t xml:space="preserve">двигателей</w:t>
      </w:r>
    </w:p>
    <w:p>
      <w:pPr>
        <w:pStyle w:val="1"/>
        <w:jc w:val="both"/>
      </w:pPr>
      <w:r>
        <w:rPr>
          <w:sz w:val="20"/>
        </w:rPr>
        <w:t xml:space="preserve">    C        для  твердого  топлива  за  исключением  биомассы  (содержание</w:t>
      </w:r>
    </w:p>
    <w:p>
      <w:pPr>
        <w:pStyle w:val="1"/>
        <w:jc w:val="both"/>
      </w:pPr>
      <w:r>
        <w:rPr>
          <w:sz w:val="20"/>
        </w:rPr>
        <w:t xml:space="preserve">     процесс</w:t>
      </w:r>
    </w:p>
    <w:p>
      <w:pPr>
        <w:pStyle w:val="1"/>
        <w:jc w:val="both"/>
      </w:pPr>
      <w:r>
        <w:rPr>
          <w:sz w:val="20"/>
        </w:rPr>
        <w:t xml:space="preserve">O  составляет 6%)</w:t>
      </w:r>
    </w:p>
    <w:p>
      <w:pPr>
        <w:pStyle w:val="1"/>
        <w:jc w:val="both"/>
      </w:pPr>
      <w:r>
        <w:rPr>
          <w:sz w:val="20"/>
        </w:rPr>
        <w:t xml:space="preserve"> 2</w:t>
      </w:r>
    </w:p>
    <w:p>
      <w:pPr>
        <w:pStyle w:val="0"/>
        <w:ind w:firstLine="540"/>
        <w:jc w:val="both"/>
      </w:pPr>
      <w:r>
        <w:rPr>
          <w:sz w:val="20"/>
        </w:rPr>
      </w:r>
    </w:p>
    <w:p>
      <w:pPr>
        <w:pStyle w:val="3"/>
        <w:jc w:val="both"/>
      </w:pPr>
      <w:r>
        <w:rPr>
          <w:sz w:val="20"/>
        </w:rPr>
        <w:t xml:space="preserve">┌────────────────┬───────────┬────────────────────┬────────────┬──────────┐</w:t>
      </w:r>
    </w:p>
    <w:p>
      <w:pPr>
        <w:pStyle w:val="3"/>
        <w:jc w:val="both"/>
      </w:pPr>
      <w:r>
        <w:rPr>
          <w:sz w:val="20"/>
        </w:rPr>
        <w:t xml:space="preserve">│  Загрязняющие  │  &lt; 50 MW  │    50 - 100 MW     │100 - 300 MW│ &gt; 300 MW │</w:t>
      </w:r>
    </w:p>
    <w:p>
      <w:pPr>
        <w:pStyle w:val="3"/>
        <w:jc w:val="both"/>
      </w:pPr>
      <w:r>
        <w:rPr>
          <w:sz w:val="20"/>
        </w:rPr>
        <w:t xml:space="preserve">│    вещества    │           │                    │            │          │</w:t>
      </w:r>
    </w:p>
    <w:p>
      <w:pPr>
        <w:pStyle w:val="3"/>
        <w:jc w:val="both"/>
      </w:pPr>
      <w:r>
        <w:rPr>
          <w:sz w:val="20"/>
        </w:rPr>
        <w:t xml:space="preserve">├────────────────┼───────────┼────────────────────┼────────────┼──────────┤</w:t>
      </w:r>
    </w:p>
    <w:p>
      <w:pPr>
        <w:pStyle w:val="3"/>
        <w:jc w:val="both"/>
      </w:pPr>
      <w:r>
        <w:rPr>
          <w:sz w:val="20"/>
        </w:rPr>
        <w:t xml:space="preserve">│SO              │     -     │400                 │         200│       200│</w:t>
      </w:r>
    </w:p>
    <w:p>
      <w:pPr>
        <w:pStyle w:val="3"/>
        <w:jc w:val="both"/>
      </w:pPr>
      <w:r>
        <w:rPr>
          <w:sz w:val="20"/>
        </w:rPr>
        <w:t xml:space="preserve">│  2             │           │для торфа: 300      │            │          │</w:t>
      </w:r>
    </w:p>
    <w:p>
      <w:pPr>
        <w:pStyle w:val="3"/>
        <w:jc w:val="both"/>
      </w:pPr>
      <w:r>
        <w:rPr>
          <w:sz w:val="20"/>
        </w:rPr>
        <w:t xml:space="preserve">├────────────────┼───────────┼────────────────────┼────────────┼──────────┤</w:t>
      </w:r>
    </w:p>
    <w:p>
      <w:pPr>
        <w:pStyle w:val="3"/>
        <w:jc w:val="both"/>
      </w:pPr>
      <w:r>
        <w:rPr>
          <w:sz w:val="20"/>
        </w:rPr>
        <w:t xml:space="preserve">│NO              │     -     │300                 │         200│       200│</w:t>
      </w:r>
    </w:p>
    <w:p>
      <w:pPr>
        <w:pStyle w:val="3"/>
        <w:jc w:val="both"/>
      </w:pPr>
      <w:r>
        <w:rPr>
          <w:sz w:val="20"/>
        </w:rPr>
        <w:t xml:space="preserve">│  x             │           │для                 │            │          │</w:t>
      </w:r>
    </w:p>
    <w:p>
      <w:pPr>
        <w:pStyle w:val="3"/>
        <w:jc w:val="both"/>
      </w:pPr>
      <w:r>
        <w:rPr>
          <w:sz w:val="20"/>
        </w:rPr>
        <w:t xml:space="preserve">│                │           │пульверизированного │            │          │</w:t>
      </w:r>
    </w:p>
    <w:p>
      <w:pPr>
        <w:pStyle w:val="3"/>
        <w:jc w:val="both"/>
      </w:pPr>
      <w:r>
        <w:rPr>
          <w:sz w:val="20"/>
        </w:rPr>
        <w:t xml:space="preserve">│                │           │бурого угля: 400    │            │          │</w:t>
      </w:r>
    </w:p>
    <w:p>
      <w:pPr>
        <w:pStyle w:val="3"/>
        <w:jc w:val="both"/>
      </w:pPr>
      <w:r>
        <w:rPr>
          <w:sz w:val="20"/>
        </w:rPr>
        <w:t xml:space="preserve">├────────────────┼───────────┼────────────────────┼────────────┼──────────┤</w:t>
      </w:r>
    </w:p>
    <w:p>
      <w:pPr>
        <w:pStyle w:val="3"/>
        <w:jc w:val="both"/>
      </w:pPr>
      <w:r>
        <w:rPr>
          <w:sz w:val="20"/>
        </w:rPr>
        <w:t xml:space="preserve">│Пыль            │         50│                  30│25          │        20│</w:t>
      </w:r>
    </w:p>
    <w:p>
      <w:pPr>
        <w:pStyle w:val="3"/>
        <w:jc w:val="both"/>
      </w:pPr>
      <w:r>
        <w:rPr>
          <w:sz w:val="20"/>
        </w:rPr>
        <w:t xml:space="preserve">│                │           │                    │для торфа:  │          │</w:t>
      </w:r>
    </w:p>
    <w:p>
      <w:pPr>
        <w:pStyle w:val="3"/>
        <w:jc w:val="both"/>
      </w:pPr>
      <w:r>
        <w:rPr>
          <w:sz w:val="20"/>
        </w:rPr>
        <w:t xml:space="preserve">│                │           │                    │20          │          │</w:t>
      </w:r>
    </w:p>
    <w:p>
      <w:pPr>
        <w:pStyle w:val="3"/>
        <w:jc w:val="both"/>
      </w:pPr>
      <w:r>
        <w:rPr>
          <w:sz w:val="20"/>
        </w:rPr>
        <w:t xml:space="preserve">└────────────────┴───────────┴────────────────────┴────────────┴──────────┘</w:t>
      </w:r>
    </w:p>
    <w:p>
      <w:pPr>
        <w:pStyle w:val="0"/>
        <w:ind w:firstLine="540"/>
        <w:jc w:val="both"/>
      </w:pPr>
      <w:r>
        <w:rPr>
          <w:sz w:val="20"/>
        </w:rPr>
      </w:r>
    </w:p>
    <w:p>
      <w:pPr>
        <w:pStyle w:val="1"/>
        <w:jc w:val="both"/>
      </w:pPr>
      <w:r>
        <w:rPr>
          <w:sz w:val="20"/>
        </w:rPr>
        <w:t xml:space="preserve">    C        для биомассы (содержание O  составляет 6%)</w:t>
      </w:r>
    </w:p>
    <w:p>
      <w:pPr>
        <w:pStyle w:val="1"/>
        <w:jc w:val="both"/>
      </w:pPr>
      <w:r>
        <w:rPr>
          <w:sz w:val="20"/>
        </w:rPr>
        <w:t xml:space="preserve">     процесс                           2</w:t>
      </w:r>
    </w:p>
    <w:p>
      <w:pPr>
        <w:pStyle w:val="0"/>
        <w:ind w:firstLine="540"/>
        <w:jc w:val="both"/>
      </w:pPr>
      <w:r>
        <w:rPr>
          <w:sz w:val="20"/>
        </w:rPr>
      </w:r>
    </w:p>
    <w:p>
      <w:pPr>
        <w:pStyle w:val="3"/>
        <w:jc w:val="both"/>
      </w:pPr>
      <w:r>
        <w:rPr>
          <w:sz w:val="20"/>
        </w:rPr>
        <w:t xml:space="preserve">┌────────────────┬───────────┬────────────────────┬────────────┬──────────┐</w:t>
      </w:r>
    </w:p>
    <w:p>
      <w:pPr>
        <w:pStyle w:val="3"/>
        <w:jc w:val="both"/>
      </w:pPr>
      <w:r>
        <w:rPr>
          <w:sz w:val="20"/>
        </w:rPr>
        <w:t xml:space="preserve">│  Загрязняющие  │  &lt; 50 MW  │    50 - 100 MW     │100 - 300 MW│ &gt; 300 MW │</w:t>
      </w:r>
    </w:p>
    <w:p>
      <w:pPr>
        <w:pStyle w:val="3"/>
        <w:jc w:val="both"/>
      </w:pPr>
      <w:r>
        <w:rPr>
          <w:sz w:val="20"/>
        </w:rPr>
        <w:t xml:space="preserve">│    вещества    │           │                    │            │          │</w:t>
      </w:r>
    </w:p>
    <w:p>
      <w:pPr>
        <w:pStyle w:val="3"/>
        <w:jc w:val="both"/>
      </w:pPr>
      <w:r>
        <w:rPr>
          <w:sz w:val="20"/>
        </w:rPr>
        <w:t xml:space="preserve">├────────────────┼───────────┼────────────────────┼────────────┼──────────┤</w:t>
      </w:r>
    </w:p>
    <w:p>
      <w:pPr>
        <w:pStyle w:val="3"/>
        <w:jc w:val="both"/>
      </w:pPr>
      <w:r>
        <w:rPr>
          <w:sz w:val="20"/>
        </w:rPr>
        <w:t xml:space="preserve">│SO              │    -      │                 200│         200│       200│</w:t>
      </w:r>
    </w:p>
    <w:p>
      <w:pPr>
        <w:pStyle w:val="3"/>
        <w:jc w:val="both"/>
      </w:pPr>
      <w:r>
        <w:rPr>
          <w:sz w:val="20"/>
        </w:rPr>
        <w:t xml:space="preserve">│  2             │           │                    │            │          │</w:t>
      </w:r>
    </w:p>
    <w:p>
      <w:pPr>
        <w:pStyle w:val="3"/>
        <w:jc w:val="both"/>
      </w:pPr>
      <w:r>
        <w:rPr>
          <w:sz w:val="20"/>
        </w:rPr>
        <w:t xml:space="preserve">├────────────────┼───────────┼────────────────────┼────────────┼──────────┤</w:t>
      </w:r>
    </w:p>
    <w:p>
      <w:pPr>
        <w:pStyle w:val="3"/>
        <w:jc w:val="both"/>
      </w:pPr>
      <w:r>
        <w:rPr>
          <w:sz w:val="20"/>
        </w:rPr>
        <w:t xml:space="preserve">│NO              │    -      │                 300│         250│       200│</w:t>
      </w:r>
    </w:p>
    <w:p>
      <w:pPr>
        <w:pStyle w:val="3"/>
        <w:jc w:val="both"/>
      </w:pPr>
      <w:r>
        <w:rPr>
          <w:sz w:val="20"/>
        </w:rPr>
        <w:t xml:space="preserve">│  x             │           │                    │            │          │</w:t>
      </w:r>
    </w:p>
    <w:p>
      <w:pPr>
        <w:pStyle w:val="3"/>
        <w:jc w:val="both"/>
      </w:pPr>
      <w:r>
        <w:rPr>
          <w:sz w:val="20"/>
        </w:rPr>
        <w:t xml:space="preserve">├────────────────┼───────────┼────────────────────┼────────────┼──────────┤</w:t>
      </w:r>
    </w:p>
    <w:p>
      <w:pPr>
        <w:pStyle w:val="3"/>
        <w:jc w:val="both"/>
      </w:pPr>
      <w:r>
        <w:rPr>
          <w:sz w:val="20"/>
        </w:rPr>
        <w:t xml:space="preserve">│Пыль            │         50│                  30│          20│        20│</w:t>
      </w:r>
    </w:p>
    <w:p>
      <w:pPr>
        <w:pStyle w:val="3"/>
        <w:jc w:val="both"/>
      </w:pPr>
      <w:r>
        <w:rPr>
          <w:sz w:val="20"/>
        </w:rPr>
        <w:t xml:space="preserve">└────────────────┴───────────┴────────────────────┴────────────┴──────────┘</w:t>
      </w:r>
    </w:p>
    <w:p>
      <w:pPr>
        <w:pStyle w:val="0"/>
        <w:ind w:firstLine="540"/>
        <w:jc w:val="both"/>
      </w:pPr>
      <w:r>
        <w:rPr>
          <w:sz w:val="20"/>
        </w:rPr>
      </w:r>
    </w:p>
    <w:p>
      <w:pPr>
        <w:pStyle w:val="1"/>
        <w:jc w:val="both"/>
      </w:pPr>
      <w:r>
        <w:rPr>
          <w:sz w:val="20"/>
        </w:rPr>
        <w:t xml:space="preserve">    C        для жидкого топлива (содержание O  составляет 3%)</w:t>
      </w:r>
    </w:p>
    <w:p>
      <w:pPr>
        <w:pStyle w:val="1"/>
        <w:jc w:val="both"/>
      </w:pPr>
      <w:r>
        <w:rPr>
          <w:sz w:val="20"/>
        </w:rPr>
        <w:t xml:space="preserve">     процесс                                  2</w:t>
      </w:r>
    </w:p>
    <w:p>
      <w:pPr>
        <w:pStyle w:val="0"/>
        <w:ind w:firstLine="540"/>
        <w:jc w:val="both"/>
      </w:pPr>
      <w:r>
        <w:rPr>
          <w:sz w:val="20"/>
        </w:rPr>
      </w:r>
    </w:p>
    <w:p>
      <w:pPr>
        <w:pStyle w:val="3"/>
        <w:jc w:val="both"/>
      </w:pPr>
      <w:r>
        <w:rPr>
          <w:sz w:val="20"/>
        </w:rPr>
        <w:t xml:space="preserve">┌────────────────┬───────────┬────────────────────┬────────────┬──────────┐</w:t>
      </w:r>
    </w:p>
    <w:p>
      <w:pPr>
        <w:pStyle w:val="3"/>
        <w:jc w:val="both"/>
      </w:pPr>
      <w:r>
        <w:rPr>
          <w:sz w:val="20"/>
        </w:rPr>
        <w:t xml:space="preserve">│  Загрязняющие  │  &lt; 50 MW  │    50 - 100 MW     │ 100 - 300  │ &gt; 300 MW │</w:t>
      </w:r>
    </w:p>
    <w:p>
      <w:pPr>
        <w:pStyle w:val="3"/>
        <w:jc w:val="both"/>
      </w:pPr>
      <w:r>
        <w:rPr>
          <w:sz w:val="20"/>
        </w:rPr>
        <w:t xml:space="preserve">│    вещества    │           │                    │     MW     │          │</w:t>
      </w:r>
    </w:p>
    <w:p>
      <w:pPr>
        <w:pStyle w:val="3"/>
        <w:jc w:val="both"/>
      </w:pPr>
      <w:r>
        <w:rPr>
          <w:sz w:val="20"/>
        </w:rPr>
        <w:t xml:space="preserve">├────────────────┼───────────┼────────────────────┼────────────┼──────────┤</w:t>
      </w:r>
    </w:p>
    <w:p>
      <w:pPr>
        <w:pStyle w:val="3"/>
        <w:jc w:val="both"/>
      </w:pPr>
      <w:r>
        <w:rPr>
          <w:sz w:val="20"/>
        </w:rPr>
        <w:t xml:space="preserve">│SO              │    -      │                 350│         250│       200│</w:t>
      </w:r>
    </w:p>
    <w:p>
      <w:pPr>
        <w:pStyle w:val="3"/>
        <w:jc w:val="both"/>
      </w:pPr>
      <w:r>
        <w:rPr>
          <w:sz w:val="20"/>
        </w:rPr>
        <w:t xml:space="preserve">│  2             │           │                    │            │          │</w:t>
      </w:r>
    </w:p>
    <w:p>
      <w:pPr>
        <w:pStyle w:val="3"/>
        <w:jc w:val="both"/>
      </w:pPr>
      <w:r>
        <w:rPr>
          <w:sz w:val="20"/>
        </w:rPr>
        <w:t xml:space="preserve">├────────────────┼───────────┼────────────────────┼────────────┼──────────┤</w:t>
      </w:r>
    </w:p>
    <w:p>
      <w:pPr>
        <w:pStyle w:val="3"/>
        <w:jc w:val="both"/>
      </w:pPr>
      <w:r>
        <w:rPr>
          <w:sz w:val="20"/>
        </w:rPr>
        <w:t xml:space="preserve">│NO              │    -      │                 400│         200│       150│</w:t>
      </w:r>
    </w:p>
    <w:p>
      <w:pPr>
        <w:pStyle w:val="3"/>
        <w:jc w:val="both"/>
      </w:pPr>
      <w:r>
        <w:rPr>
          <w:sz w:val="20"/>
        </w:rPr>
        <w:t xml:space="preserve">│  x             │           │                    │            │          │</w:t>
      </w:r>
    </w:p>
    <w:p>
      <w:pPr>
        <w:pStyle w:val="3"/>
        <w:jc w:val="both"/>
      </w:pPr>
      <w:r>
        <w:rPr>
          <w:sz w:val="20"/>
        </w:rPr>
        <w:t xml:space="preserve">├────────────────┼───────────┼────────────────────┼────────────┼──────────┤</w:t>
      </w:r>
    </w:p>
    <w:p>
      <w:pPr>
        <w:pStyle w:val="3"/>
        <w:jc w:val="both"/>
      </w:pPr>
      <w:r>
        <w:rPr>
          <w:sz w:val="20"/>
        </w:rPr>
        <w:t xml:space="preserve">│Пыль            │         50│                  30│          25│        20│</w:t>
      </w:r>
    </w:p>
    <w:p>
      <w:pPr>
        <w:pStyle w:val="3"/>
        <w:jc w:val="both"/>
      </w:pPr>
      <w:r>
        <w:rPr>
          <w:sz w:val="20"/>
        </w:rPr>
        <w:t xml:space="preserve">└────────────────┴───────────┴────────────────────┴────────────┴──────────┘</w:t>
      </w:r>
    </w:p>
    <w:p>
      <w:pPr>
        <w:pStyle w:val="0"/>
        <w:ind w:firstLine="540"/>
        <w:jc w:val="both"/>
      </w:pPr>
      <w:r>
        <w:rPr>
          <w:sz w:val="20"/>
        </w:rPr>
      </w:r>
    </w:p>
    <w:p>
      <w:pPr>
        <w:pStyle w:val="1"/>
        <w:jc w:val="both"/>
      </w:pPr>
      <w:r>
        <w:rPr>
          <w:sz w:val="20"/>
        </w:rPr>
        <w:t xml:space="preserve">    3.2.2. Значение C       ,  для  заводов  по  сжиганию,  предусмотренных</w:t>
      </w:r>
    </w:p>
    <w:p>
      <w:pPr>
        <w:pStyle w:val="1"/>
        <w:jc w:val="both"/>
      </w:pPr>
      <w:r>
        <w:rPr>
          <w:sz w:val="20"/>
        </w:rPr>
        <w:t xml:space="preserve">                     процесс</w:t>
      </w:r>
    </w:p>
    <w:p>
      <w:pPr>
        <w:pStyle w:val="1"/>
        <w:jc w:val="both"/>
      </w:pPr>
      <w:hyperlink w:history="0" w:anchor="P608" w:tooltip="3. Все разрешения на установки, содержащие заводы по сжиганию, на которые не распространяется действие параграфа 2 настоящей статьи, должны содержать условия, гарантирующие, что выбросы в воздух от таких заводов не превышают пороговые значения выбросов, установленные в части 2 Приложения V к настоящей Директиве.">
        <w:r>
          <w:rPr>
            <w:sz w:val="20"/>
            <w:color w:val="0000ff"/>
          </w:rPr>
          <w:t xml:space="preserve">статьей 30 (3)</w:t>
        </w:r>
      </w:hyperlink>
      <w:r>
        <w:rPr>
          <w:sz w:val="20"/>
        </w:rPr>
        <w:t xml:space="preserve"> настоящей Директивы, за исключением газовых турбин и газовых</w:t>
      </w:r>
    </w:p>
    <w:p>
      <w:pPr>
        <w:pStyle w:val="1"/>
        <w:jc w:val="both"/>
      </w:pPr>
      <w:r>
        <w:rPr>
          <w:sz w:val="20"/>
        </w:rPr>
        <w:t xml:space="preserve">двигателей</w:t>
      </w:r>
    </w:p>
    <w:p>
      <w:pPr>
        <w:pStyle w:val="1"/>
        <w:jc w:val="both"/>
      </w:pPr>
      <w:r>
        <w:rPr>
          <w:sz w:val="20"/>
        </w:rPr>
        <w:t xml:space="preserve">    C        для  твердого  топлива  за  исключением  биомассы  (содержание</w:t>
      </w:r>
    </w:p>
    <w:p>
      <w:pPr>
        <w:pStyle w:val="1"/>
        <w:jc w:val="both"/>
      </w:pPr>
      <w:r>
        <w:rPr>
          <w:sz w:val="20"/>
        </w:rPr>
        <w:t xml:space="preserve">     процесс</w:t>
      </w:r>
    </w:p>
    <w:p>
      <w:pPr>
        <w:pStyle w:val="1"/>
        <w:jc w:val="both"/>
      </w:pPr>
      <w:r>
        <w:rPr>
          <w:sz w:val="20"/>
        </w:rPr>
        <w:t xml:space="preserve">O  составляет 6%)</w:t>
      </w:r>
    </w:p>
    <w:p>
      <w:pPr>
        <w:pStyle w:val="1"/>
        <w:jc w:val="both"/>
      </w:pPr>
      <w:r>
        <w:rPr>
          <w:sz w:val="20"/>
        </w:rPr>
        <w:t xml:space="preserve"> 2</w:t>
      </w:r>
    </w:p>
    <w:p>
      <w:pPr>
        <w:pStyle w:val="0"/>
        <w:ind w:firstLine="540"/>
        <w:jc w:val="both"/>
      </w:pPr>
      <w:r>
        <w:rPr>
          <w:sz w:val="20"/>
        </w:rPr>
      </w:r>
    </w:p>
    <w:p>
      <w:pPr>
        <w:pStyle w:val="3"/>
        <w:jc w:val="both"/>
      </w:pPr>
      <w:r>
        <w:rPr>
          <w:sz w:val="20"/>
        </w:rPr>
        <w:t xml:space="preserve">┌────────────┬────────┬─────────────┬─────────────────┬───────────────────┐</w:t>
      </w:r>
    </w:p>
    <w:p>
      <w:pPr>
        <w:pStyle w:val="3"/>
        <w:jc w:val="both"/>
      </w:pPr>
      <w:r>
        <w:rPr>
          <w:sz w:val="20"/>
        </w:rPr>
        <w:t xml:space="preserve">│Загрязняющие│ &lt; 50 MW│ 50 - 100 MW │  100 - 300 MW   │     &gt; 300 MW      │</w:t>
      </w:r>
    </w:p>
    <w:p>
      <w:pPr>
        <w:pStyle w:val="3"/>
        <w:jc w:val="both"/>
      </w:pPr>
      <w:r>
        <w:rPr>
          <w:sz w:val="20"/>
        </w:rPr>
        <w:t xml:space="preserve">│  вещества  │        │             │                 │                   │</w:t>
      </w:r>
    </w:p>
    <w:p>
      <w:pPr>
        <w:pStyle w:val="3"/>
        <w:jc w:val="both"/>
      </w:pPr>
      <w:r>
        <w:rPr>
          <w:sz w:val="20"/>
        </w:rPr>
        <w:t xml:space="preserve">├────────────┼────────┼─────────────┼─────────────────┼───────────────────┤</w:t>
      </w:r>
    </w:p>
    <w:p>
      <w:pPr>
        <w:pStyle w:val="3"/>
        <w:jc w:val="both"/>
      </w:pPr>
      <w:r>
        <w:rPr>
          <w:sz w:val="20"/>
        </w:rPr>
        <w:t xml:space="preserve">│SO          │    -   │400          │200              │150                │</w:t>
      </w:r>
    </w:p>
    <w:p>
      <w:pPr>
        <w:pStyle w:val="3"/>
        <w:jc w:val="both"/>
      </w:pPr>
      <w:r>
        <w:rPr>
          <w:sz w:val="20"/>
        </w:rPr>
        <w:t xml:space="preserve">│  2         │        │для торфа:   │для торфа: 300,  │при сжигании в     │</w:t>
      </w:r>
    </w:p>
    <w:p>
      <w:pPr>
        <w:pStyle w:val="3"/>
        <w:jc w:val="both"/>
      </w:pPr>
      <w:r>
        <w:rPr>
          <w:sz w:val="20"/>
        </w:rPr>
        <w:t xml:space="preserve">│            │        │300          │за исключением   │циркулирующем или  │</w:t>
      </w:r>
    </w:p>
    <w:p>
      <w:pPr>
        <w:pStyle w:val="3"/>
        <w:jc w:val="both"/>
      </w:pPr>
      <w:r>
        <w:rPr>
          <w:sz w:val="20"/>
        </w:rPr>
        <w:t xml:space="preserve">│            │        │             │случаев сжигания │находящемся под    │</w:t>
      </w:r>
    </w:p>
    <w:p>
      <w:pPr>
        <w:pStyle w:val="3"/>
        <w:jc w:val="both"/>
      </w:pPr>
      <w:r>
        <w:rPr>
          <w:sz w:val="20"/>
        </w:rPr>
        <w:t xml:space="preserve">│            │        │             │в псевдоожиженном│давлением          │</w:t>
      </w:r>
    </w:p>
    <w:p>
      <w:pPr>
        <w:pStyle w:val="3"/>
        <w:jc w:val="both"/>
      </w:pPr>
      <w:r>
        <w:rPr>
          <w:sz w:val="20"/>
        </w:rPr>
        <w:t xml:space="preserve">│            │        │             │слое             │псевдоожиженном    │</w:t>
      </w:r>
    </w:p>
    <w:p>
      <w:pPr>
        <w:pStyle w:val="3"/>
        <w:jc w:val="both"/>
      </w:pPr>
      <w:r>
        <w:rPr>
          <w:sz w:val="20"/>
        </w:rPr>
        <w:t xml:space="preserve">│            │        │             │                 │слое либо, при     │</w:t>
      </w:r>
    </w:p>
    <w:p>
      <w:pPr>
        <w:pStyle w:val="3"/>
        <w:jc w:val="both"/>
      </w:pPr>
      <w:r>
        <w:rPr>
          <w:sz w:val="20"/>
        </w:rPr>
        <w:t xml:space="preserve">│            │        │             │                 │сжигании торфа,    │</w:t>
      </w:r>
    </w:p>
    <w:p>
      <w:pPr>
        <w:pStyle w:val="3"/>
        <w:jc w:val="both"/>
      </w:pPr>
      <w:r>
        <w:rPr>
          <w:sz w:val="20"/>
        </w:rPr>
        <w:t xml:space="preserve">│            │        │             │                 │при сжигании в     │</w:t>
      </w:r>
    </w:p>
    <w:p>
      <w:pPr>
        <w:pStyle w:val="3"/>
        <w:jc w:val="both"/>
      </w:pPr>
      <w:r>
        <w:rPr>
          <w:sz w:val="20"/>
        </w:rPr>
        <w:t xml:space="preserve">│            │        │             │                 │псевдоожиженном    │</w:t>
      </w:r>
    </w:p>
    <w:p>
      <w:pPr>
        <w:pStyle w:val="3"/>
        <w:jc w:val="both"/>
      </w:pPr>
      <w:r>
        <w:rPr>
          <w:sz w:val="20"/>
        </w:rPr>
        <w:t xml:space="preserve">│            │        │             │                 │слое: 200          │</w:t>
      </w:r>
    </w:p>
    <w:p>
      <w:pPr>
        <w:pStyle w:val="3"/>
        <w:jc w:val="both"/>
      </w:pPr>
      <w:r>
        <w:rPr>
          <w:sz w:val="20"/>
        </w:rPr>
        <w:t xml:space="preserve">├────────────┼────────┼─────────────┼─────────────────┼───────────────────┤</w:t>
      </w:r>
    </w:p>
    <w:p>
      <w:pPr>
        <w:pStyle w:val="3"/>
        <w:jc w:val="both"/>
      </w:pPr>
      <w:r>
        <w:rPr>
          <w:sz w:val="20"/>
        </w:rPr>
        <w:t xml:space="preserve">│NO          │    -   │300          │              200│150                │</w:t>
      </w:r>
    </w:p>
    <w:p>
      <w:pPr>
        <w:pStyle w:val="3"/>
        <w:jc w:val="both"/>
      </w:pPr>
      <w:r>
        <w:rPr>
          <w:sz w:val="20"/>
        </w:rPr>
        <w:t xml:space="preserve">│  x         │        │для торфа:   │                 │При сжигании       │</w:t>
      </w:r>
    </w:p>
    <w:p>
      <w:pPr>
        <w:pStyle w:val="3"/>
        <w:jc w:val="both"/>
      </w:pPr>
      <w:r>
        <w:rPr>
          <w:sz w:val="20"/>
        </w:rPr>
        <w:t xml:space="preserve">│            │        │250          │                 │пульверизированного│</w:t>
      </w:r>
    </w:p>
    <w:p>
      <w:pPr>
        <w:pStyle w:val="3"/>
        <w:jc w:val="both"/>
      </w:pPr>
      <w:r>
        <w:rPr>
          <w:sz w:val="20"/>
        </w:rPr>
        <w:t xml:space="preserve">│            │        │             │                 │бурого угля: 200   │</w:t>
      </w:r>
    </w:p>
    <w:p>
      <w:pPr>
        <w:pStyle w:val="3"/>
        <w:jc w:val="both"/>
      </w:pPr>
      <w:r>
        <w:rPr>
          <w:sz w:val="20"/>
        </w:rPr>
        <w:t xml:space="preserve">├────────────┼────────┼─────────────┼─────────────────┼───────────────────┤</w:t>
      </w:r>
    </w:p>
    <w:p>
      <w:pPr>
        <w:pStyle w:val="3"/>
        <w:jc w:val="both"/>
      </w:pPr>
      <w:r>
        <w:rPr>
          <w:sz w:val="20"/>
        </w:rPr>
        <w:t xml:space="preserve">│Пыль        │      50│           20│               20│10                 │</w:t>
      </w:r>
    </w:p>
    <w:p>
      <w:pPr>
        <w:pStyle w:val="3"/>
        <w:jc w:val="both"/>
      </w:pPr>
      <w:r>
        <w:rPr>
          <w:sz w:val="20"/>
        </w:rPr>
        <w:t xml:space="preserve">│            │        │             │                 │для торфа: 20      │</w:t>
      </w:r>
    </w:p>
    <w:p>
      <w:pPr>
        <w:pStyle w:val="3"/>
        <w:jc w:val="both"/>
      </w:pPr>
      <w:r>
        <w:rPr>
          <w:sz w:val="20"/>
        </w:rPr>
        <w:t xml:space="preserve">└────────────┴────────┴─────────────┴─────────────────┴───────────────────┘</w:t>
      </w:r>
    </w:p>
    <w:p>
      <w:pPr>
        <w:pStyle w:val="0"/>
        <w:ind w:firstLine="540"/>
        <w:jc w:val="both"/>
      </w:pPr>
      <w:r>
        <w:rPr>
          <w:sz w:val="20"/>
        </w:rPr>
      </w:r>
    </w:p>
    <w:p>
      <w:pPr>
        <w:pStyle w:val="1"/>
        <w:jc w:val="both"/>
      </w:pPr>
      <w:r>
        <w:rPr>
          <w:sz w:val="20"/>
        </w:rPr>
        <w:t xml:space="preserve">    C        для биомассы (содержание O  составляет 6%)</w:t>
      </w:r>
    </w:p>
    <w:p>
      <w:pPr>
        <w:pStyle w:val="1"/>
        <w:jc w:val="both"/>
      </w:pPr>
      <w:r>
        <w:rPr>
          <w:sz w:val="20"/>
        </w:rPr>
        <w:t xml:space="preserve">     процесс                           2</w:t>
      </w:r>
    </w:p>
    <w:p>
      <w:pPr>
        <w:pStyle w:val="0"/>
        <w:ind w:firstLine="540"/>
        <w:jc w:val="both"/>
      </w:pPr>
      <w:r>
        <w:rPr>
          <w:sz w:val="20"/>
        </w:rPr>
      </w:r>
    </w:p>
    <w:p>
      <w:pPr>
        <w:pStyle w:val="3"/>
        <w:jc w:val="both"/>
      </w:pPr>
      <w:r>
        <w:rPr>
          <w:sz w:val="20"/>
        </w:rPr>
        <w:t xml:space="preserve">┌───────────────────┬──────────────┬──────────────┬────────────┬──────────┐</w:t>
      </w:r>
    </w:p>
    <w:p>
      <w:pPr>
        <w:pStyle w:val="3"/>
        <w:jc w:val="both"/>
      </w:pPr>
      <w:r>
        <w:rPr>
          <w:sz w:val="20"/>
        </w:rPr>
        <w:t xml:space="preserve">│   Загрязняющие    │   &lt; 50 MW    │ 50 - 100 MW  │100 - 300 MW│ &gt; 300 MW │</w:t>
      </w:r>
    </w:p>
    <w:p>
      <w:pPr>
        <w:pStyle w:val="3"/>
        <w:jc w:val="both"/>
      </w:pPr>
      <w:r>
        <w:rPr>
          <w:sz w:val="20"/>
        </w:rPr>
        <w:t xml:space="preserve">│     вещества      │              │              │            │          │</w:t>
      </w:r>
    </w:p>
    <w:p>
      <w:pPr>
        <w:pStyle w:val="3"/>
        <w:jc w:val="both"/>
      </w:pPr>
      <w:r>
        <w:rPr>
          <w:sz w:val="20"/>
        </w:rPr>
        <w:t xml:space="preserve">├───────────────────┼──────────────┼──────────────┼────────────┼──────────┤</w:t>
      </w:r>
    </w:p>
    <w:p>
      <w:pPr>
        <w:pStyle w:val="3"/>
        <w:jc w:val="both"/>
      </w:pPr>
      <w:r>
        <w:rPr>
          <w:sz w:val="20"/>
        </w:rPr>
        <w:t xml:space="preserve">│SO                 │    -         │           200│         200│       150│</w:t>
      </w:r>
    </w:p>
    <w:p>
      <w:pPr>
        <w:pStyle w:val="3"/>
        <w:jc w:val="both"/>
      </w:pPr>
      <w:r>
        <w:rPr>
          <w:sz w:val="20"/>
        </w:rPr>
        <w:t xml:space="preserve">│  2                │              │              │            │          │</w:t>
      </w:r>
    </w:p>
    <w:p>
      <w:pPr>
        <w:pStyle w:val="3"/>
        <w:jc w:val="both"/>
      </w:pPr>
      <w:r>
        <w:rPr>
          <w:sz w:val="20"/>
        </w:rPr>
        <w:t xml:space="preserve">├───────────────────┼──────────────┼──────────────┼────────────┼──────────┤</w:t>
      </w:r>
    </w:p>
    <w:p>
      <w:pPr>
        <w:pStyle w:val="3"/>
        <w:jc w:val="both"/>
      </w:pPr>
      <w:r>
        <w:rPr>
          <w:sz w:val="20"/>
        </w:rPr>
        <w:t xml:space="preserve">│NO                 │    -         │           250│         200│       150│</w:t>
      </w:r>
    </w:p>
    <w:p>
      <w:pPr>
        <w:pStyle w:val="3"/>
        <w:jc w:val="both"/>
      </w:pPr>
      <w:r>
        <w:rPr>
          <w:sz w:val="20"/>
        </w:rPr>
        <w:t xml:space="preserve">│  x                │              │              │            │          │</w:t>
      </w:r>
    </w:p>
    <w:p>
      <w:pPr>
        <w:pStyle w:val="3"/>
        <w:jc w:val="both"/>
      </w:pPr>
      <w:r>
        <w:rPr>
          <w:sz w:val="20"/>
        </w:rPr>
        <w:t xml:space="preserve">├───────────────────┼──────────────┼──────────────┼────────────┼──────────┤</w:t>
      </w:r>
    </w:p>
    <w:p>
      <w:pPr>
        <w:pStyle w:val="3"/>
        <w:jc w:val="both"/>
      </w:pPr>
      <w:r>
        <w:rPr>
          <w:sz w:val="20"/>
        </w:rPr>
        <w:t xml:space="preserve">│Пыль               │            50│            20│          20│        20│</w:t>
      </w:r>
    </w:p>
    <w:p>
      <w:pPr>
        <w:pStyle w:val="3"/>
        <w:jc w:val="both"/>
      </w:pPr>
      <w:r>
        <w:rPr>
          <w:sz w:val="20"/>
        </w:rPr>
        <w:t xml:space="preserve">└───────────────────┴──────────────┴──────────────┴────────────┴──────────┘</w:t>
      </w:r>
    </w:p>
    <w:p>
      <w:pPr>
        <w:pStyle w:val="0"/>
        <w:ind w:firstLine="540"/>
        <w:jc w:val="both"/>
      </w:pPr>
      <w:r>
        <w:rPr>
          <w:sz w:val="20"/>
        </w:rPr>
      </w:r>
    </w:p>
    <w:p>
      <w:pPr>
        <w:pStyle w:val="1"/>
        <w:jc w:val="both"/>
      </w:pPr>
      <w:r>
        <w:rPr>
          <w:sz w:val="20"/>
        </w:rPr>
        <w:t xml:space="preserve">    C        для жидкого топлива (содержание O  составляет 3%)</w:t>
      </w:r>
    </w:p>
    <w:p>
      <w:pPr>
        <w:pStyle w:val="1"/>
        <w:jc w:val="both"/>
      </w:pPr>
      <w:r>
        <w:rPr>
          <w:sz w:val="20"/>
        </w:rPr>
        <w:t xml:space="preserve">     процесс                                  2</w:t>
      </w:r>
    </w:p>
    <w:p>
      <w:pPr>
        <w:pStyle w:val="0"/>
        <w:ind w:firstLine="540"/>
        <w:jc w:val="both"/>
      </w:pPr>
      <w:r>
        <w:rPr>
          <w:sz w:val="20"/>
        </w:rPr>
      </w:r>
    </w:p>
    <w:p>
      <w:pPr>
        <w:pStyle w:val="3"/>
        <w:jc w:val="both"/>
      </w:pPr>
      <w:r>
        <w:rPr>
          <w:sz w:val="20"/>
        </w:rPr>
        <w:t xml:space="preserve">┌─────────────┬───────────┬───────────────┬───────────────────┬───────────┐</w:t>
      </w:r>
    </w:p>
    <w:p>
      <w:pPr>
        <w:pStyle w:val="3"/>
        <w:jc w:val="both"/>
      </w:pPr>
      <w:r>
        <w:rPr>
          <w:sz w:val="20"/>
        </w:rPr>
        <w:t xml:space="preserve">│Загрязняющие │  &lt; 50 MW  │  50 - 100 MW  │   100 - 300 MW    │ &gt; 300 MW  │</w:t>
      </w:r>
    </w:p>
    <w:p>
      <w:pPr>
        <w:pStyle w:val="3"/>
        <w:jc w:val="both"/>
      </w:pPr>
      <w:r>
        <w:rPr>
          <w:sz w:val="20"/>
        </w:rPr>
        <w:t xml:space="preserve">│  вещества   │           │               │                   │           │</w:t>
      </w:r>
    </w:p>
    <w:p>
      <w:pPr>
        <w:pStyle w:val="3"/>
        <w:jc w:val="both"/>
      </w:pPr>
      <w:r>
        <w:rPr>
          <w:sz w:val="20"/>
        </w:rPr>
        <w:t xml:space="preserve">├─────────────┼───────────┼───────────────┼───────────────────┼───────────┤</w:t>
      </w:r>
    </w:p>
    <w:p>
      <w:pPr>
        <w:pStyle w:val="3"/>
        <w:jc w:val="both"/>
      </w:pPr>
      <w:r>
        <w:rPr>
          <w:sz w:val="20"/>
        </w:rPr>
        <w:t xml:space="preserve">│SO           │    -      │            350│                200│        150│</w:t>
      </w:r>
    </w:p>
    <w:p>
      <w:pPr>
        <w:pStyle w:val="3"/>
        <w:jc w:val="both"/>
      </w:pPr>
      <w:r>
        <w:rPr>
          <w:sz w:val="20"/>
        </w:rPr>
        <w:t xml:space="preserve">│  2          │           │               │                   │           │</w:t>
      </w:r>
    </w:p>
    <w:p>
      <w:pPr>
        <w:pStyle w:val="3"/>
        <w:jc w:val="both"/>
      </w:pPr>
      <w:r>
        <w:rPr>
          <w:sz w:val="20"/>
        </w:rPr>
        <w:t xml:space="preserve">├─────────────┼───────────┼───────────────┼───────────────────┼───────────┤</w:t>
      </w:r>
    </w:p>
    <w:p>
      <w:pPr>
        <w:pStyle w:val="3"/>
        <w:jc w:val="both"/>
      </w:pPr>
      <w:r>
        <w:rPr>
          <w:sz w:val="20"/>
        </w:rPr>
        <w:t xml:space="preserve">│NO           │    -      │            300│                150│        100│</w:t>
      </w:r>
    </w:p>
    <w:p>
      <w:pPr>
        <w:pStyle w:val="3"/>
        <w:jc w:val="both"/>
      </w:pPr>
      <w:r>
        <w:rPr>
          <w:sz w:val="20"/>
        </w:rPr>
        <w:t xml:space="preserve">│  x          │           │               │                   │           │</w:t>
      </w:r>
    </w:p>
    <w:p>
      <w:pPr>
        <w:pStyle w:val="3"/>
        <w:jc w:val="both"/>
      </w:pPr>
      <w:r>
        <w:rPr>
          <w:sz w:val="20"/>
        </w:rPr>
        <w:t xml:space="preserve">├─────────────┼───────────┼───────────────┼───────────────────┼───────────┤</w:t>
      </w:r>
    </w:p>
    <w:p>
      <w:pPr>
        <w:pStyle w:val="3"/>
        <w:jc w:val="both"/>
      </w:pPr>
      <w:r>
        <w:rPr>
          <w:sz w:val="20"/>
        </w:rPr>
        <w:t xml:space="preserve">│Пыль         │         50│             20│                 20│         10│</w:t>
      </w:r>
    </w:p>
    <w:p>
      <w:pPr>
        <w:pStyle w:val="3"/>
        <w:jc w:val="both"/>
      </w:pPr>
      <w:r>
        <w:rPr>
          <w:sz w:val="20"/>
        </w:rPr>
        <w:t xml:space="preserve">└─────────────┴───────────┴───────────────┴───────────────────┴───────────┘</w:t>
      </w:r>
    </w:p>
    <w:p>
      <w:pPr>
        <w:pStyle w:val="0"/>
        <w:ind w:firstLine="540"/>
        <w:jc w:val="both"/>
      </w:pPr>
      <w:r>
        <w:rPr>
          <w:sz w:val="20"/>
        </w:rPr>
      </w:r>
    </w:p>
    <w:bookmarkStart w:id="2565" w:name="P2565"/>
    <w:bookmarkEnd w:id="2565"/>
    <w:p>
      <w:pPr>
        <w:pStyle w:val="1"/>
        <w:jc w:val="both"/>
      </w:pPr>
      <w:r>
        <w:rPr>
          <w:sz w:val="20"/>
        </w:rPr>
        <w:t xml:space="preserve">    3.3.  C  -  это  общие пороговые значения выбросов для тяжелых металлов</w:t>
      </w:r>
    </w:p>
    <w:p>
      <w:pPr>
        <w:pStyle w:val="1"/>
        <w:jc w:val="both"/>
      </w:pPr>
      <w:r>
        <w:rPr>
          <w:sz w:val="20"/>
        </w:rPr>
        <w:t xml:space="preserve">      3</w:t>
      </w:r>
    </w:p>
    <w:p>
      <w:pPr>
        <w:pStyle w:val="1"/>
        <w:jc w:val="both"/>
      </w:pPr>
      <w:r>
        <w:rPr>
          <w:sz w:val="20"/>
        </w:rPr>
        <w:t xml:space="preserve">(мг/Nm ),  выраженные как средние значения, когда минимальный период отбора</w:t>
      </w:r>
    </w:p>
    <w:p>
      <w:pPr>
        <w:pStyle w:val="1"/>
        <w:jc w:val="both"/>
      </w:pPr>
      <w:r>
        <w:rPr>
          <w:sz w:val="20"/>
        </w:rPr>
        <w:t xml:space="preserve">равен 30 минутам, а максимальный - 8 часам (содержание O  составляет 6% для</w:t>
      </w:r>
    </w:p>
    <w:p>
      <w:pPr>
        <w:pStyle w:val="1"/>
        <w:jc w:val="both"/>
      </w:pPr>
      <w:r>
        <w:rPr>
          <w:sz w:val="20"/>
        </w:rPr>
        <w:t xml:space="preserve">                                                        2</w:t>
      </w:r>
    </w:p>
    <w:p>
      <w:pPr>
        <w:pStyle w:val="1"/>
        <w:jc w:val="both"/>
      </w:pPr>
      <w:r>
        <w:rPr>
          <w:sz w:val="20"/>
        </w:rPr>
        <w:t xml:space="preserve">твердого топлива и 3% для жидкого топлива)</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6552"/>
        <w:gridCol w:w="2106"/>
      </w:tblGrid>
      <w:tr>
        <w:trPr>
          <w:trHeight w:val="240" w:hRule="atLeast"/>
        </w:trPr>
        <w:tc>
          <w:tcPr>
            <w:tcW w:w="6669" w:type="dxa"/>
          </w:tcPr>
          <w:p>
            <w:pPr>
              <w:pStyle w:val="1"/>
              <w:jc w:val="both"/>
            </w:pPr>
            <w:r>
              <w:rPr>
                <w:sz w:val="20"/>
              </w:rPr>
              <w:t xml:space="preserve">                 Загрязняющее вещество                 </w:t>
            </w:r>
          </w:p>
        </w:tc>
        <w:tc>
          <w:tcPr>
            <w:tcW w:w="2223" w:type="dxa"/>
          </w:tcPr>
          <w:p>
            <w:pPr>
              <w:pStyle w:val="1"/>
              <w:jc w:val="both"/>
            </w:pPr>
            <w:r>
              <w:rPr>
                <w:sz w:val="20"/>
              </w:rPr>
              <w:t xml:space="preserve">        C        </w:t>
            </w:r>
          </w:p>
        </w:tc>
      </w:tr>
      <w:tr>
        <w:trPr>
          <w:trHeight w:val="240" w:hRule="atLeast"/>
        </w:trPr>
        <w:tc>
          <w:tcPr>
            <w:tcW w:w="6669" w:type="dxa"/>
            <w:tcBorders>
              <w:top w:val="nil"/>
            </w:tcBorders>
          </w:tcPr>
          <w:p>
            <w:pPr>
              <w:pStyle w:val="1"/>
              <w:jc w:val="both"/>
            </w:pPr>
            <w:r>
              <w:rPr>
                <w:sz w:val="20"/>
              </w:rPr>
              <w:t xml:space="preserve">Cd + Tl                                                </w:t>
            </w:r>
          </w:p>
        </w:tc>
        <w:tc>
          <w:tcPr>
            <w:tcW w:w="2223" w:type="dxa"/>
            <w:tcBorders>
              <w:top w:val="nil"/>
            </w:tcBorders>
          </w:tcPr>
          <w:p>
            <w:pPr>
              <w:pStyle w:val="1"/>
              <w:jc w:val="both"/>
            </w:pPr>
            <w:r>
              <w:rPr>
                <w:sz w:val="20"/>
              </w:rPr>
              <w:t xml:space="preserve">             0,05</w:t>
            </w:r>
          </w:p>
        </w:tc>
      </w:tr>
      <w:tr>
        <w:trPr>
          <w:trHeight w:val="240" w:hRule="atLeast"/>
        </w:trPr>
        <w:tc>
          <w:tcPr>
            <w:tcW w:w="6669" w:type="dxa"/>
            <w:tcBorders>
              <w:top w:val="nil"/>
            </w:tcBorders>
          </w:tcPr>
          <w:p>
            <w:pPr>
              <w:pStyle w:val="1"/>
              <w:jc w:val="both"/>
            </w:pPr>
            <w:r>
              <w:rPr>
                <w:sz w:val="20"/>
              </w:rPr>
              <w:t xml:space="preserve">Hg                                                     </w:t>
            </w:r>
          </w:p>
        </w:tc>
        <w:tc>
          <w:tcPr>
            <w:tcW w:w="2223" w:type="dxa"/>
            <w:tcBorders>
              <w:top w:val="nil"/>
            </w:tcBorders>
          </w:tcPr>
          <w:p>
            <w:pPr>
              <w:pStyle w:val="1"/>
              <w:jc w:val="both"/>
            </w:pPr>
            <w:r>
              <w:rPr>
                <w:sz w:val="20"/>
              </w:rPr>
              <w:t xml:space="preserve">             0,05</w:t>
            </w:r>
          </w:p>
        </w:tc>
      </w:tr>
      <w:tr>
        <w:trPr>
          <w:trHeight w:val="240" w:hRule="atLeast"/>
        </w:trPr>
        <w:tc>
          <w:tcPr>
            <w:tcW w:w="6669" w:type="dxa"/>
            <w:tcBorders>
              <w:top w:val="nil"/>
            </w:tcBorders>
          </w:tcPr>
          <w:p>
            <w:pPr>
              <w:pStyle w:val="1"/>
              <w:jc w:val="both"/>
            </w:pPr>
            <w:r>
              <w:rPr>
                <w:sz w:val="20"/>
              </w:rPr>
              <w:t xml:space="preserve">Sb + As + Pb + Cr + Co + Cu + Mn + Ni + V              </w:t>
            </w:r>
          </w:p>
        </w:tc>
        <w:tc>
          <w:tcPr>
            <w:tcW w:w="2223" w:type="dxa"/>
            <w:tcBorders>
              <w:top w:val="nil"/>
            </w:tcBorders>
          </w:tcPr>
          <w:p>
            <w:pPr>
              <w:pStyle w:val="1"/>
              <w:jc w:val="both"/>
            </w:pPr>
            <w:r>
              <w:rPr>
                <w:sz w:val="20"/>
              </w:rPr>
              <w:t xml:space="preserve">             0,5 </w:t>
            </w:r>
          </w:p>
        </w:tc>
      </w:tr>
    </w:tbl>
    <w:p>
      <w:pPr>
        <w:pStyle w:val="0"/>
        <w:ind w:firstLine="540"/>
        <w:jc w:val="both"/>
      </w:pPr>
      <w:r>
        <w:rPr>
          <w:sz w:val="20"/>
        </w:rPr>
      </w:r>
    </w:p>
    <w:p>
      <w:pPr>
        <w:pStyle w:val="1"/>
        <w:jc w:val="both"/>
      </w:pPr>
      <w:r>
        <w:rPr>
          <w:sz w:val="20"/>
        </w:rPr>
        <w:t xml:space="preserve">                                                         3</w:t>
      </w:r>
    </w:p>
    <w:bookmarkStart w:id="2583" w:name="P2583"/>
    <w:bookmarkEnd w:id="2583"/>
    <w:p>
      <w:pPr>
        <w:pStyle w:val="1"/>
        <w:jc w:val="both"/>
      </w:pPr>
      <w:r>
        <w:rPr>
          <w:sz w:val="20"/>
        </w:rPr>
        <w:t xml:space="preserve">    3.4. C - это общие пороговые значения выбросов (ng/Nm ) для диоксинов и</w:t>
      </w:r>
    </w:p>
    <w:p>
      <w:pPr>
        <w:pStyle w:val="1"/>
        <w:jc w:val="both"/>
      </w:pPr>
      <w:r>
        <w:rPr>
          <w:sz w:val="20"/>
        </w:rPr>
        <w:t xml:space="preserve">фуранов,  выраженные  как  средние  значения,  измеренные  при  минимальном</w:t>
      </w:r>
    </w:p>
    <w:p>
      <w:pPr>
        <w:pStyle w:val="1"/>
        <w:jc w:val="both"/>
      </w:pPr>
      <w:r>
        <w:rPr>
          <w:sz w:val="20"/>
        </w:rPr>
        <w:t xml:space="preserve">периоде  отбора,  равном  6  часам,  и  максимальном - 8  часам (содержание</w:t>
      </w:r>
    </w:p>
    <w:p>
      <w:pPr>
        <w:pStyle w:val="1"/>
        <w:jc w:val="both"/>
      </w:pPr>
      <w:r>
        <w:rPr>
          <w:sz w:val="20"/>
        </w:rPr>
        <w:t xml:space="preserve">O  составляет 6% для твердого топлива и 3% для жидкого топлива)</w:t>
      </w:r>
    </w:p>
    <w:p>
      <w:pPr>
        <w:pStyle w:val="1"/>
        <w:jc w:val="both"/>
      </w:pPr>
      <w:r>
        <w:rPr>
          <w:sz w:val="20"/>
        </w:rPr>
        <w:t xml:space="preserve"> 2</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6552"/>
        <w:gridCol w:w="2106"/>
      </w:tblGrid>
      <w:tr>
        <w:trPr>
          <w:trHeight w:val="240" w:hRule="atLeast"/>
        </w:trPr>
        <w:tc>
          <w:tcPr>
            <w:tcW w:w="6669" w:type="dxa"/>
          </w:tcPr>
          <w:p>
            <w:pPr>
              <w:pStyle w:val="1"/>
              <w:jc w:val="both"/>
            </w:pPr>
            <w:r>
              <w:rPr>
                <w:sz w:val="20"/>
              </w:rPr>
              <w:t xml:space="preserve">                 Загрязняющее вещество                 </w:t>
            </w:r>
          </w:p>
        </w:tc>
        <w:tc>
          <w:tcPr>
            <w:tcW w:w="2223" w:type="dxa"/>
          </w:tcPr>
          <w:p>
            <w:pPr>
              <w:pStyle w:val="1"/>
              <w:jc w:val="both"/>
            </w:pPr>
            <w:r>
              <w:rPr>
                <w:sz w:val="20"/>
              </w:rPr>
              <w:t xml:space="preserve">        C        </w:t>
            </w:r>
          </w:p>
        </w:tc>
      </w:tr>
      <w:tr>
        <w:trPr>
          <w:trHeight w:val="240" w:hRule="atLeast"/>
        </w:trPr>
        <w:tc>
          <w:tcPr>
            <w:tcW w:w="6669" w:type="dxa"/>
            <w:tcBorders>
              <w:top w:val="nil"/>
            </w:tcBorders>
          </w:tcPr>
          <w:p>
            <w:pPr>
              <w:pStyle w:val="1"/>
              <w:jc w:val="both"/>
            </w:pPr>
            <w:r>
              <w:rPr>
                <w:sz w:val="20"/>
              </w:rPr>
              <w:t xml:space="preserve">Диоксины и фураны                                      </w:t>
            </w:r>
          </w:p>
        </w:tc>
        <w:tc>
          <w:tcPr>
            <w:tcW w:w="2223" w:type="dxa"/>
            <w:tcBorders>
              <w:top w:val="nil"/>
            </w:tcBorders>
          </w:tcPr>
          <w:p>
            <w:pPr>
              <w:pStyle w:val="1"/>
              <w:jc w:val="both"/>
            </w:pPr>
            <w:r>
              <w:rPr>
                <w:sz w:val="20"/>
              </w:rPr>
              <w:t xml:space="preserve">              0,1</w:t>
            </w:r>
          </w:p>
        </w:tc>
      </w:tr>
    </w:tbl>
    <w:p>
      <w:pPr>
        <w:pStyle w:val="0"/>
        <w:ind w:firstLine="540"/>
        <w:jc w:val="both"/>
      </w:pPr>
      <w:r>
        <w:rPr>
          <w:sz w:val="20"/>
        </w:rPr>
      </w:r>
    </w:p>
    <w:bookmarkStart w:id="2595" w:name="P2595"/>
    <w:bookmarkEnd w:id="2595"/>
    <w:p>
      <w:pPr>
        <w:pStyle w:val="0"/>
        <w:ind w:firstLine="540"/>
        <w:jc w:val="both"/>
      </w:pPr>
      <w:r>
        <w:rPr>
          <w:sz w:val="20"/>
        </w:rPr>
        <w:t xml:space="preserve">4. Специальные положения для заводов по совместному сжиганию отходов в промышленных отраслях, не подпадающих под действие </w:t>
      </w:r>
      <w:hyperlink w:history="0" w:anchor="P2313" w:tooltip="2. Специальные положения для печей по обжигу цемента, совместно сжигающих отходы">
        <w:r>
          <w:rPr>
            <w:sz w:val="20"/>
            <w:color w:val="0000ff"/>
          </w:rPr>
          <w:t xml:space="preserve">пунктов 2</w:t>
        </w:r>
      </w:hyperlink>
      <w:r>
        <w:rPr>
          <w:sz w:val="20"/>
        </w:rPr>
        <w:t xml:space="preserve"> и </w:t>
      </w:r>
      <w:hyperlink w:history="0" w:anchor="P2378" w:tooltip="3. Специальные положения для заводов по сжиганию, совместно сжигающих отходы">
        <w:r>
          <w:rPr>
            <w:sz w:val="20"/>
            <w:color w:val="0000ff"/>
          </w:rPr>
          <w:t xml:space="preserve">3 настоящей части</w:t>
        </w:r>
      </w:hyperlink>
    </w:p>
    <w:p>
      <w:pPr>
        <w:pStyle w:val="1"/>
        <w:spacing w:before="200" w:line-rule="auto"/>
        <w:jc w:val="both"/>
      </w:pPr>
      <w:r>
        <w:rPr>
          <w:sz w:val="20"/>
        </w:rPr>
        <w:t xml:space="preserve">                                                         3</w:t>
      </w:r>
    </w:p>
    <w:p>
      <w:pPr>
        <w:pStyle w:val="1"/>
        <w:jc w:val="both"/>
      </w:pPr>
      <w:r>
        <w:rPr>
          <w:sz w:val="20"/>
        </w:rPr>
        <w:t xml:space="preserve">    4.1. C - это общие пороговые значения выбросов (ng/Nm ) для диоксинов и</w:t>
      </w:r>
    </w:p>
    <w:p>
      <w:pPr>
        <w:pStyle w:val="1"/>
        <w:jc w:val="both"/>
      </w:pPr>
      <w:r>
        <w:rPr>
          <w:sz w:val="20"/>
        </w:rPr>
        <w:t xml:space="preserve">фуранов,  выраженные  как  средние  значения,  измеренные  при  минимальном</w:t>
      </w:r>
    </w:p>
    <w:p>
      <w:pPr>
        <w:pStyle w:val="1"/>
        <w:jc w:val="both"/>
      </w:pPr>
      <w:r>
        <w:rPr>
          <w:sz w:val="20"/>
        </w:rPr>
        <w:t xml:space="preserve">периоде отбора, равном 6 часам, и максимальном - 8 часам</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6552"/>
        <w:gridCol w:w="2106"/>
      </w:tblGrid>
      <w:tr>
        <w:trPr>
          <w:trHeight w:val="240" w:hRule="atLeast"/>
        </w:trPr>
        <w:tc>
          <w:tcPr>
            <w:tcW w:w="6669" w:type="dxa"/>
          </w:tcPr>
          <w:p>
            <w:pPr>
              <w:pStyle w:val="1"/>
              <w:jc w:val="both"/>
            </w:pPr>
            <w:r>
              <w:rPr>
                <w:sz w:val="20"/>
              </w:rPr>
              <w:t xml:space="preserve">                 Загрязняющее вещество                 </w:t>
            </w:r>
          </w:p>
        </w:tc>
        <w:tc>
          <w:tcPr>
            <w:tcW w:w="2223" w:type="dxa"/>
          </w:tcPr>
          <w:p>
            <w:pPr>
              <w:pStyle w:val="1"/>
              <w:jc w:val="both"/>
            </w:pPr>
            <w:r>
              <w:rPr>
                <w:sz w:val="20"/>
              </w:rPr>
              <w:t xml:space="preserve">        C        </w:t>
            </w:r>
          </w:p>
        </w:tc>
      </w:tr>
      <w:tr>
        <w:trPr>
          <w:trHeight w:val="240" w:hRule="atLeast"/>
        </w:trPr>
        <w:tc>
          <w:tcPr>
            <w:tcW w:w="6669" w:type="dxa"/>
            <w:tcBorders>
              <w:top w:val="nil"/>
            </w:tcBorders>
          </w:tcPr>
          <w:p>
            <w:pPr>
              <w:pStyle w:val="1"/>
              <w:jc w:val="both"/>
            </w:pPr>
            <w:r>
              <w:rPr>
                <w:sz w:val="20"/>
              </w:rPr>
              <w:t xml:space="preserve">Диоксины и фураны                                      </w:t>
            </w:r>
          </w:p>
        </w:tc>
        <w:tc>
          <w:tcPr>
            <w:tcW w:w="2223" w:type="dxa"/>
            <w:tcBorders>
              <w:top w:val="nil"/>
            </w:tcBorders>
          </w:tcPr>
          <w:p>
            <w:pPr>
              <w:pStyle w:val="1"/>
              <w:jc w:val="both"/>
            </w:pPr>
            <w:r>
              <w:rPr>
                <w:sz w:val="20"/>
              </w:rPr>
              <w:t xml:space="preserve">              0,1</w:t>
            </w:r>
          </w:p>
        </w:tc>
      </w:tr>
    </w:tbl>
    <w:p>
      <w:pPr>
        <w:pStyle w:val="0"/>
        <w:ind w:firstLine="540"/>
        <w:jc w:val="both"/>
      </w:pPr>
      <w:r>
        <w:rPr>
          <w:sz w:val="20"/>
        </w:rPr>
      </w:r>
    </w:p>
    <w:p>
      <w:pPr>
        <w:pStyle w:val="1"/>
        <w:jc w:val="both"/>
      </w:pPr>
      <w:r>
        <w:rPr>
          <w:sz w:val="20"/>
        </w:rPr>
        <w:t xml:space="preserve">                                                             3</w:t>
      </w:r>
    </w:p>
    <w:p>
      <w:pPr>
        <w:pStyle w:val="1"/>
        <w:jc w:val="both"/>
      </w:pPr>
      <w:r>
        <w:rPr>
          <w:sz w:val="20"/>
        </w:rPr>
        <w:t xml:space="preserve">    4.2.  C  -  это  общие пороговые значения выбросов (мг/Nm ) для тяжелых</w:t>
      </w:r>
    </w:p>
    <w:p>
      <w:pPr>
        <w:pStyle w:val="1"/>
        <w:jc w:val="both"/>
      </w:pPr>
      <w:r>
        <w:rPr>
          <w:sz w:val="20"/>
        </w:rPr>
        <w:t xml:space="preserve">металлов,  выраженные как средние значения, когда минимальный период отбора</w:t>
      </w:r>
    </w:p>
    <w:p>
      <w:pPr>
        <w:pStyle w:val="1"/>
        <w:jc w:val="both"/>
      </w:pPr>
      <w:r>
        <w:rPr>
          <w:sz w:val="20"/>
        </w:rPr>
        <w:t xml:space="preserve">равен 30 минутам, а максимальный - 8 часам</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6552"/>
        <w:gridCol w:w="2106"/>
      </w:tblGrid>
      <w:tr>
        <w:trPr>
          <w:trHeight w:val="240" w:hRule="atLeast"/>
        </w:trPr>
        <w:tc>
          <w:tcPr>
            <w:tcW w:w="6669" w:type="dxa"/>
          </w:tcPr>
          <w:p>
            <w:pPr>
              <w:pStyle w:val="1"/>
              <w:jc w:val="both"/>
            </w:pPr>
            <w:r>
              <w:rPr>
                <w:sz w:val="20"/>
              </w:rPr>
              <w:t xml:space="preserve">                 Загрязняющее вещество                 </w:t>
            </w:r>
          </w:p>
        </w:tc>
        <w:tc>
          <w:tcPr>
            <w:tcW w:w="2223" w:type="dxa"/>
          </w:tcPr>
          <w:p>
            <w:pPr>
              <w:pStyle w:val="1"/>
              <w:jc w:val="both"/>
            </w:pPr>
            <w:r>
              <w:rPr>
                <w:sz w:val="20"/>
              </w:rPr>
              <w:t xml:space="preserve">        C        </w:t>
            </w:r>
          </w:p>
        </w:tc>
      </w:tr>
      <w:tr>
        <w:trPr>
          <w:trHeight w:val="240" w:hRule="atLeast"/>
        </w:trPr>
        <w:tc>
          <w:tcPr>
            <w:tcW w:w="6669" w:type="dxa"/>
            <w:tcBorders>
              <w:top w:val="nil"/>
            </w:tcBorders>
          </w:tcPr>
          <w:p>
            <w:pPr>
              <w:pStyle w:val="1"/>
              <w:jc w:val="both"/>
            </w:pPr>
            <w:r>
              <w:rPr>
                <w:sz w:val="20"/>
              </w:rPr>
              <w:t xml:space="preserve">Cd + Tl                                                </w:t>
            </w:r>
          </w:p>
        </w:tc>
        <w:tc>
          <w:tcPr>
            <w:tcW w:w="2223" w:type="dxa"/>
            <w:tcBorders>
              <w:top w:val="nil"/>
            </w:tcBorders>
          </w:tcPr>
          <w:p>
            <w:pPr>
              <w:pStyle w:val="1"/>
              <w:jc w:val="both"/>
            </w:pPr>
            <w:r>
              <w:rPr>
                <w:sz w:val="20"/>
              </w:rPr>
              <w:t xml:space="preserve">             0,05</w:t>
            </w:r>
          </w:p>
        </w:tc>
      </w:tr>
      <w:tr>
        <w:trPr>
          <w:trHeight w:val="240" w:hRule="atLeast"/>
        </w:trPr>
        <w:tc>
          <w:tcPr>
            <w:tcW w:w="6669" w:type="dxa"/>
            <w:tcBorders>
              <w:top w:val="nil"/>
            </w:tcBorders>
          </w:tcPr>
          <w:p>
            <w:pPr>
              <w:pStyle w:val="1"/>
              <w:jc w:val="both"/>
            </w:pPr>
            <w:r>
              <w:rPr>
                <w:sz w:val="20"/>
              </w:rPr>
              <w:t xml:space="preserve">Hg                                                     </w:t>
            </w:r>
          </w:p>
        </w:tc>
        <w:tc>
          <w:tcPr>
            <w:tcW w:w="2223" w:type="dxa"/>
            <w:tcBorders>
              <w:top w:val="nil"/>
            </w:tcBorders>
          </w:tcPr>
          <w:p>
            <w:pPr>
              <w:pStyle w:val="1"/>
              <w:jc w:val="both"/>
            </w:pPr>
            <w:r>
              <w:rPr>
                <w:sz w:val="20"/>
              </w:rPr>
              <w:t xml:space="preserve">             0,05</w:t>
            </w:r>
          </w:p>
        </w:tc>
      </w:tr>
    </w:tbl>
    <w:p>
      <w:pPr>
        <w:pStyle w:val="0"/>
        <w:ind w:firstLine="540"/>
        <w:jc w:val="both"/>
      </w:pPr>
      <w:r>
        <w:rPr>
          <w:sz w:val="20"/>
        </w:rPr>
      </w:r>
    </w:p>
    <w:bookmarkStart w:id="2620" w:name="P2620"/>
    <w:bookmarkEnd w:id="2620"/>
    <w:p>
      <w:pPr>
        <w:pStyle w:val="0"/>
        <w:outlineLvl w:val="1"/>
        <w:jc w:val="center"/>
      </w:pPr>
      <w:r>
        <w:rPr>
          <w:sz w:val="20"/>
        </w:rPr>
        <w:t xml:space="preserve">Часть 5</w:t>
      </w:r>
    </w:p>
    <w:p>
      <w:pPr>
        <w:pStyle w:val="0"/>
        <w:jc w:val="center"/>
      </w:pPr>
      <w:r>
        <w:rPr>
          <w:sz w:val="20"/>
        </w:rPr>
      </w:r>
    </w:p>
    <w:p>
      <w:pPr>
        <w:pStyle w:val="0"/>
        <w:jc w:val="center"/>
      </w:pPr>
      <w:r>
        <w:rPr>
          <w:sz w:val="20"/>
        </w:rPr>
        <w:t xml:space="preserve">Пороговые значения выбросов для сброса сточных</w:t>
      </w:r>
    </w:p>
    <w:p>
      <w:pPr>
        <w:pStyle w:val="0"/>
        <w:jc w:val="center"/>
      </w:pPr>
      <w:r>
        <w:rPr>
          <w:sz w:val="20"/>
        </w:rPr>
        <w:t xml:space="preserve">вод при очистке отработанных газов</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4914"/>
        <w:gridCol w:w="1872"/>
        <w:gridCol w:w="1872"/>
      </w:tblGrid>
      <w:tr>
        <w:trPr>
          <w:trHeight w:val="240" w:hRule="atLeast"/>
        </w:trPr>
        <w:tc>
          <w:tcPr>
            <w:tcW w:w="5031" w:type="dxa"/>
          </w:tcPr>
          <w:p>
            <w:pPr>
              <w:pStyle w:val="1"/>
              <w:jc w:val="both"/>
            </w:pPr>
            <w:r>
              <w:rPr>
                <w:sz w:val="20"/>
              </w:rPr>
              <w:t xml:space="preserve">          Загрязняющие вещества          </w:t>
            </w:r>
          </w:p>
        </w:tc>
        <w:tc>
          <w:tcPr>
            <w:gridSpan w:val="2"/>
            <w:tcW w:w="3978" w:type="dxa"/>
          </w:tcPr>
          <w:p>
            <w:pPr>
              <w:pStyle w:val="1"/>
              <w:jc w:val="both"/>
            </w:pPr>
            <w:r>
              <w:rPr>
                <w:sz w:val="20"/>
              </w:rPr>
              <w:t xml:space="preserve">  Пороговые значения выбросов  </w:t>
            </w:r>
          </w:p>
          <w:p>
            <w:pPr>
              <w:pStyle w:val="1"/>
              <w:jc w:val="both"/>
            </w:pPr>
            <w:r>
              <w:rPr>
                <w:sz w:val="20"/>
              </w:rPr>
              <w:t xml:space="preserve">   для нефильтрованных проб    </w:t>
            </w:r>
          </w:p>
          <w:p>
            <w:pPr>
              <w:pStyle w:val="1"/>
              <w:jc w:val="both"/>
            </w:pPr>
            <w:r>
              <w:rPr>
                <w:sz w:val="20"/>
              </w:rPr>
              <w:t xml:space="preserve">   (мг/л, кроме диоксинов и    </w:t>
            </w:r>
          </w:p>
          <w:p>
            <w:pPr>
              <w:pStyle w:val="1"/>
              <w:jc w:val="both"/>
            </w:pPr>
            <w:r>
              <w:rPr>
                <w:sz w:val="20"/>
              </w:rPr>
              <w:t xml:space="preserve">           фуранов)            </w:t>
            </w:r>
          </w:p>
        </w:tc>
      </w:tr>
      <w:tr>
        <w:trPr>
          <w:trHeight w:val="240" w:hRule="atLeast"/>
        </w:trPr>
        <w:tc>
          <w:tcPr>
            <w:tcW w:w="5031" w:type="dxa"/>
            <w:tcBorders>
              <w:top w:val="nil"/>
            </w:tcBorders>
          </w:tcPr>
          <w:p>
            <w:pPr>
              <w:pStyle w:val="1"/>
              <w:jc w:val="both"/>
            </w:pPr>
            <w:r>
              <w:rPr>
                <w:sz w:val="20"/>
              </w:rPr>
              <w:t xml:space="preserve">1. Всего взвешенных твердых частиц, как  </w:t>
            </w:r>
          </w:p>
          <w:p>
            <w:pPr>
              <w:pStyle w:val="1"/>
              <w:jc w:val="both"/>
            </w:pPr>
            <w:r>
              <w:rPr>
                <w:sz w:val="20"/>
              </w:rPr>
              <w:t xml:space="preserve">определено в </w:t>
            </w:r>
            <w:hyperlink w:history="0" r:id="rId92" w:tooltip="Директива N 91/271/ЕЭС Совета Европейских сообществ &quot;Об очистке городских сточных вод&quot; [рус., англ.] (Вместе с &quot;Требованиями для городских сточных вод&quot;, &quot;Критериями определения уязвимых и менее уязвимых районов&quot;, &quot;Отраслями промышленности&quot;) (Принята в г. Брюсселе 21.05.1991) (с изм. и доп. от 17.12.2013) {КонсультантПлюс}">
              <w:r>
                <w:rPr>
                  <w:sz w:val="20"/>
                  <w:color w:val="0000ff"/>
                </w:rPr>
                <w:t xml:space="preserve">приложении I</w:t>
              </w:r>
            </w:hyperlink>
            <w:r>
              <w:rPr>
                <w:sz w:val="20"/>
              </w:rPr>
              <w:t xml:space="preserve"> к Директиве    </w:t>
            </w:r>
          </w:p>
          <w:p>
            <w:pPr>
              <w:pStyle w:val="1"/>
              <w:jc w:val="both"/>
            </w:pPr>
            <w:r>
              <w:rPr>
                <w:sz w:val="20"/>
              </w:rPr>
              <w:t xml:space="preserve">91/271/ЕЭС                               </w:t>
            </w:r>
          </w:p>
        </w:tc>
        <w:tc>
          <w:tcPr>
            <w:tcW w:w="1989" w:type="dxa"/>
            <w:tcBorders>
              <w:top w:val="nil"/>
            </w:tcBorders>
          </w:tcPr>
          <w:p>
            <w:pPr>
              <w:pStyle w:val="1"/>
              <w:jc w:val="both"/>
            </w:pPr>
            <w:r>
              <w:rPr>
                <w:sz w:val="20"/>
              </w:rPr>
              <w:t xml:space="preserve">     (95%)     </w:t>
            </w:r>
          </w:p>
          <w:p>
            <w:pPr>
              <w:pStyle w:val="1"/>
              <w:jc w:val="both"/>
            </w:pPr>
            <w:r>
              <w:rPr>
                <w:sz w:val="20"/>
              </w:rPr>
              <w:t xml:space="preserve">      30       </w:t>
            </w:r>
          </w:p>
        </w:tc>
        <w:tc>
          <w:tcPr>
            <w:tcW w:w="1989" w:type="dxa"/>
            <w:tcBorders>
              <w:top w:val="nil"/>
            </w:tcBorders>
          </w:tcPr>
          <w:p>
            <w:pPr>
              <w:pStyle w:val="1"/>
              <w:jc w:val="both"/>
            </w:pPr>
            <w:r>
              <w:rPr>
                <w:sz w:val="20"/>
              </w:rPr>
              <w:t xml:space="preserve">    (100%)     </w:t>
            </w:r>
          </w:p>
          <w:p>
            <w:pPr>
              <w:pStyle w:val="1"/>
              <w:jc w:val="both"/>
            </w:pPr>
            <w:r>
              <w:rPr>
                <w:sz w:val="20"/>
              </w:rPr>
              <w:t xml:space="preserve">      45       </w:t>
            </w:r>
          </w:p>
        </w:tc>
      </w:tr>
      <w:tr>
        <w:trPr>
          <w:trHeight w:val="240" w:hRule="atLeast"/>
        </w:trPr>
        <w:tc>
          <w:tcPr>
            <w:tcW w:w="5031" w:type="dxa"/>
            <w:tcBorders>
              <w:top w:val="nil"/>
            </w:tcBorders>
          </w:tcPr>
          <w:p>
            <w:pPr>
              <w:pStyle w:val="1"/>
              <w:jc w:val="both"/>
            </w:pPr>
            <w:r>
              <w:rPr>
                <w:sz w:val="20"/>
              </w:rPr>
              <w:t xml:space="preserve">2. Ртуть и ее соединения, выраженные как </w:t>
            </w:r>
          </w:p>
          <w:p>
            <w:pPr>
              <w:pStyle w:val="1"/>
              <w:jc w:val="both"/>
            </w:pPr>
            <w:r>
              <w:rPr>
                <w:sz w:val="20"/>
              </w:rPr>
              <w:t xml:space="preserve">ртуть (Hg)                               </w:t>
            </w:r>
          </w:p>
        </w:tc>
        <w:tc>
          <w:tcPr>
            <w:gridSpan w:val="2"/>
            <w:tcW w:w="3978" w:type="dxa"/>
            <w:tcBorders>
              <w:top w:val="nil"/>
            </w:tcBorders>
          </w:tcPr>
          <w:p>
            <w:pPr>
              <w:pStyle w:val="1"/>
              <w:jc w:val="both"/>
            </w:pPr>
            <w:r>
              <w:rPr>
                <w:sz w:val="20"/>
              </w:rPr>
              <w:t xml:space="preserve">                       0,03    </w:t>
            </w:r>
          </w:p>
        </w:tc>
      </w:tr>
      <w:tr>
        <w:trPr>
          <w:trHeight w:val="240" w:hRule="atLeast"/>
        </w:trPr>
        <w:tc>
          <w:tcPr>
            <w:tcW w:w="5031" w:type="dxa"/>
            <w:tcBorders>
              <w:top w:val="nil"/>
            </w:tcBorders>
          </w:tcPr>
          <w:p>
            <w:pPr>
              <w:pStyle w:val="1"/>
              <w:jc w:val="both"/>
            </w:pPr>
            <w:r>
              <w:rPr>
                <w:sz w:val="20"/>
              </w:rPr>
              <w:t xml:space="preserve">3. Кадмий и его соединения, выраженные   </w:t>
            </w:r>
          </w:p>
          <w:p>
            <w:pPr>
              <w:pStyle w:val="1"/>
              <w:jc w:val="both"/>
            </w:pPr>
            <w:r>
              <w:rPr>
                <w:sz w:val="20"/>
              </w:rPr>
              <w:t xml:space="preserve">как кадмий (Cd)                          </w:t>
            </w:r>
          </w:p>
        </w:tc>
        <w:tc>
          <w:tcPr>
            <w:gridSpan w:val="2"/>
            <w:tcW w:w="3978" w:type="dxa"/>
            <w:tcBorders>
              <w:top w:val="nil"/>
            </w:tcBorders>
          </w:tcPr>
          <w:p>
            <w:pPr>
              <w:pStyle w:val="1"/>
              <w:jc w:val="both"/>
            </w:pPr>
            <w:r>
              <w:rPr>
                <w:sz w:val="20"/>
              </w:rPr>
              <w:t xml:space="preserve">                       0,05    </w:t>
            </w:r>
          </w:p>
        </w:tc>
      </w:tr>
      <w:tr>
        <w:trPr>
          <w:trHeight w:val="240" w:hRule="atLeast"/>
        </w:trPr>
        <w:tc>
          <w:tcPr>
            <w:tcW w:w="5031" w:type="dxa"/>
            <w:tcBorders>
              <w:top w:val="nil"/>
            </w:tcBorders>
          </w:tcPr>
          <w:p>
            <w:pPr>
              <w:pStyle w:val="1"/>
              <w:jc w:val="both"/>
            </w:pPr>
            <w:r>
              <w:rPr>
                <w:sz w:val="20"/>
              </w:rPr>
              <w:t xml:space="preserve">4. Талий и его соединения, выраженные    </w:t>
            </w:r>
          </w:p>
          <w:p>
            <w:pPr>
              <w:pStyle w:val="1"/>
              <w:jc w:val="both"/>
            </w:pPr>
            <w:r>
              <w:rPr>
                <w:sz w:val="20"/>
              </w:rPr>
              <w:t xml:space="preserve">как талий (Tl)                           </w:t>
            </w:r>
          </w:p>
        </w:tc>
        <w:tc>
          <w:tcPr>
            <w:gridSpan w:val="2"/>
            <w:tcW w:w="3978" w:type="dxa"/>
            <w:tcBorders>
              <w:top w:val="nil"/>
            </w:tcBorders>
          </w:tcPr>
          <w:p>
            <w:pPr>
              <w:pStyle w:val="1"/>
              <w:jc w:val="both"/>
            </w:pPr>
            <w:r>
              <w:rPr>
                <w:sz w:val="20"/>
              </w:rPr>
              <w:t xml:space="preserve">                       0,05    </w:t>
            </w:r>
          </w:p>
        </w:tc>
      </w:tr>
      <w:tr>
        <w:trPr>
          <w:trHeight w:val="240" w:hRule="atLeast"/>
        </w:trPr>
        <w:tc>
          <w:tcPr>
            <w:tcW w:w="5031" w:type="dxa"/>
            <w:tcBorders>
              <w:top w:val="nil"/>
            </w:tcBorders>
          </w:tcPr>
          <w:p>
            <w:pPr>
              <w:pStyle w:val="1"/>
              <w:jc w:val="both"/>
            </w:pPr>
            <w:r>
              <w:rPr>
                <w:sz w:val="20"/>
              </w:rPr>
              <w:t xml:space="preserve">5. Мышьяк и его соединения, выраженные   </w:t>
            </w:r>
          </w:p>
          <w:p>
            <w:pPr>
              <w:pStyle w:val="1"/>
              <w:jc w:val="both"/>
            </w:pPr>
            <w:r>
              <w:rPr>
                <w:sz w:val="20"/>
              </w:rPr>
              <w:t xml:space="preserve">как мышьяк (As)                          </w:t>
            </w:r>
          </w:p>
        </w:tc>
        <w:tc>
          <w:tcPr>
            <w:gridSpan w:val="2"/>
            <w:tcW w:w="3978" w:type="dxa"/>
            <w:tcBorders>
              <w:top w:val="nil"/>
            </w:tcBorders>
          </w:tcPr>
          <w:p>
            <w:pPr>
              <w:pStyle w:val="1"/>
              <w:jc w:val="both"/>
            </w:pPr>
            <w:r>
              <w:rPr>
                <w:sz w:val="20"/>
              </w:rPr>
              <w:t xml:space="preserve">                       0,15    </w:t>
            </w:r>
          </w:p>
        </w:tc>
      </w:tr>
      <w:tr>
        <w:trPr>
          <w:trHeight w:val="240" w:hRule="atLeast"/>
        </w:trPr>
        <w:tc>
          <w:tcPr>
            <w:tcW w:w="5031" w:type="dxa"/>
            <w:tcBorders>
              <w:top w:val="nil"/>
            </w:tcBorders>
          </w:tcPr>
          <w:p>
            <w:pPr>
              <w:pStyle w:val="1"/>
              <w:jc w:val="both"/>
            </w:pPr>
            <w:r>
              <w:rPr>
                <w:sz w:val="20"/>
              </w:rPr>
              <w:t xml:space="preserve">6. Свинец и его соединения, выраженные   </w:t>
            </w:r>
          </w:p>
          <w:p>
            <w:pPr>
              <w:pStyle w:val="1"/>
              <w:jc w:val="both"/>
            </w:pPr>
            <w:r>
              <w:rPr>
                <w:sz w:val="20"/>
              </w:rPr>
              <w:t xml:space="preserve">как свинец (Pb)                          </w:t>
            </w:r>
          </w:p>
        </w:tc>
        <w:tc>
          <w:tcPr>
            <w:gridSpan w:val="2"/>
            <w:tcW w:w="3978" w:type="dxa"/>
            <w:tcBorders>
              <w:top w:val="nil"/>
            </w:tcBorders>
          </w:tcPr>
          <w:p>
            <w:pPr>
              <w:pStyle w:val="1"/>
              <w:jc w:val="both"/>
            </w:pPr>
            <w:r>
              <w:rPr>
                <w:sz w:val="20"/>
              </w:rPr>
              <w:t xml:space="preserve">                       0,2     </w:t>
            </w:r>
          </w:p>
        </w:tc>
      </w:tr>
      <w:tr>
        <w:trPr>
          <w:trHeight w:val="240" w:hRule="atLeast"/>
        </w:trPr>
        <w:tc>
          <w:tcPr>
            <w:tcW w:w="5031" w:type="dxa"/>
            <w:tcBorders>
              <w:top w:val="nil"/>
            </w:tcBorders>
          </w:tcPr>
          <w:p>
            <w:pPr>
              <w:pStyle w:val="1"/>
              <w:jc w:val="both"/>
            </w:pPr>
            <w:r>
              <w:rPr>
                <w:sz w:val="20"/>
              </w:rPr>
              <w:t xml:space="preserve">7. Хром и его соединения, выраженные как </w:t>
            </w:r>
          </w:p>
          <w:p>
            <w:pPr>
              <w:pStyle w:val="1"/>
              <w:jc w:val="both"/>
            </w:pPr>
            <w:r>
              <w:rPr>
                <w:sz w:val="20"/>
              </w:rPr>
              <w:t xml:space="preserve">хром (Cr)                                </w:t>
            </w:r>
          </w:p>
        </w:tc>
        <w:tc>
          <w:tcPr>
            <w:gridSpan w:val="2"/>
            <w:tcW w:w="3978" w:type="dxa"/>
            <w:tcBorders>
              <w:top w:val="nil"/>
            </w:tcBorders>
          </w:tcPr>
          <w:p>
            <w:pPr>
              <w:pStyle w:val="1"/>
              <w:jc w:val="both"/>
            </w:pPr>
            <w:r>
              <w:rPr>
                <w:sz w:val="20"/>
              </w:rPr>
              <w:t xml:space="preserve">                       0,5     </w:t>
            </w:r>
          </w:p>
        </w:tc>
      </w:tr>
      <w:tr>
        <w:trPr>
          <w:trHeight w:val="240" w:hRule="atLeast"/>
        </w:trPr>
        <w:tc>
          <w:tcPr>
            <w:tcW w:w="5031" w:type="dxa"/>
            <w:tcBorders>
              <w:top w:val="nil"/>
            </w:tcBorders>
          </w:tcPr>
          <w:p>
            <w:pPr>
              <w:pStyle w:val="1"/>
              <w:jc w:val="both"/>
            </w:pPr>
            <w:r>
              <w:rPr>
                <w:sz w:val="20"/>
              </w:rPr>
              <w:t xml:space="preserve">8. Медь и ее соединения, выраженные как  </w:t>
            </w:r>
          </w:p>
          <w:p>
            <w:pPr>
              <w:pStyle w:val="1"/>
              <w:jc w:val="both"/>
            </w:pPr>
            <w:r>
              <w:rPr>
                <w:sz w:val="20"/>
              </w:rPr>
              <w:t xml:space="preserve">медь (Cu)                                </w:t>
            </w:r>
          </w:p>
        </w:tc>
        <w:tc>
          <w:tcPr>
            <w:gridSpan w:val="2"/>
            <w:tcW w:w="3978" w:type="dxa"/>
            <w:tcBorders>
              <w:top w:val="nil"/>
            </w:tcBorders>
          </w:tcPr>
          <w:p>
            <w:pPr>
              <w:pStyle w:val="1"/>
              <w:jc w:val="both"/>
            </w:pPr>
            <w:r>
              <w:rPr>
                <w:sz w:val="20"/>
              </w:rPr>
              <w:t xml:space="preserve">                       0,5     </w:t>
            </w:r>
          </w:p>
        </w:tc>
      </w:tr>
      <w:tr>
        <w:trPr>
          <w:trHeight w:val="240" w:hRule="atLeast"/>
        </w:trPr>
        <w:tc>
          <w:tcPr>
            <w:tcW w:w="5031" w:type="dxa"/>
            <w:tcBorders>
              <w:top w:val="nil"/>
            </w:tcBorders>
          </w:tcPr>
          <w:p>
            <w:pPr>
              <w:pStyle w:val="1"/>
              <w:jc w:val="both"/>
            </w:pPr>
            <w:r>
              <w:rPr>
                <w:sz w:val="20"/>
              </w:rPr>
              <w:t xml:space="preserve">9. Никель и его соединения, выраженные   </w:t>
            </w:r>
          </w:p>
          <w:p>
            <w:pPr>
              <w:pStyle w:val="1"/>
              <w:jc w:val="both"/>
            </w:pPr>
            <w:r>
              <w:rPr>
                <w:sz w:val="20"/>
              </w:rPr>
              <w:t xml:space="preserve">как никель (Ni)                          </w:t>
            </w:r>
          </w:p>
        </w:tc>
        <w:tc>
          <w:tcPr>
            <w:gridSpan w:val="2"/>
            <w:tcW w:w="3978" w:type="dxa"/>
            <w:tcBorders>
              <w:top w:val="nil"/>
            </w:tcBorders>
          </w:tcPr>
          <w:p>
            <w:pPr>
              <w:pStyle w:val="1"/>
              <w:jc w:val="both"/>
            </w:pPr>
            <w:r>
              <w:rPr>
                <w:sz w:val="20"/>
              </w:rPr>
              <w:t xml:space="preserve">                       0,5     </w:t>
            </w:r>
          </w:p>
        </w:tc>
      </w:tr>
      <w:tr>
        <w:trPr>
          <w:trHeight w:val="240" w:hRule="atLeast"/>
        </w:trPr>
        <w:tc>
          <w:tcPr>
            <w:tcW w:w="5031" w:type="dxa"/>
            <w:tcBorders>
              <w:top w:val="nil"/>
            </w:tcBorders>
          </w:tcPr>
          <w:p>
            <w:pPr>
              <w:pStyle w:val="1"/>
              <w:jc w:val="both"/>
            </w:pPr>
            <w:r>
              <w:rPr>
                <w:sz w:val="20"/>
              </w:rPr>
              <w:t xml:space="preserve">10 Цинк и его соединения, выраженные как </w:t>
            </w:r>
          </w:p>
          <w:p>
            <w:pPr>
              <w:pStyle w:val="1"/>
              <w:jc w:val="both"/>
            </w:pPr>
            <w:r>
              <w:rPr>
                <w:sz w:val="20"/>
              </w:rPr>
              <w:t xml:space="preserve">цинк (Zn)                                </w:t>
            </w:r>
          </w:p>
        </w:tc>
        <w:tc>
          <w:tcPr>
            <w:gridSpan w:val="2"/>
            <w:tcW w:w="3978" w:type="dxa"/>
            <w:tcBorders>
              <w:top w:val="nil"/>
            </w:tcBorders>
          </w:tcPr>
          <w:p>
            <w:pPr>
              <w:pStyle w:val="1"/>
              <w:jc w:val="both"/>
            </w:pPr>
            <w:r>
              <w:rPr>
                <w:sz w:val="20"/>
              </w:rPr>
              <w:t xml:space="preserve">                       1,5     </w:t>
            </w:r>
          </w:p>
        </w:tc>
      </w:tr>
      <w:tr>
        <w:trPr>
          <w:trHeight w:val="240" w:hRule="atLeast"/>
        </w:trPr>
        <w:tc>
          <w:tcPr>
            <w:tcW w:w="5031" w:type="dxa"/>
            <w:tcBorders>
              <w:top w:val="nil"/>
            </w:tcBorders>
          </w:tcPr>
          <w:p>
            <w:pPr>
              <w:pStyle w:val="1"/>
              <w:jc w:val="both"/>
            </w:pPr>
            <w:r>
              <w:rPr>
                <w:sz w:val="20"/>
              </w:rPr>
              <w:t xml:space="preserve">11. Диоксины и фураны                    </w:t>
            </w:r>
          </w:p>
        </w:tc>
        <w:tc>
          <w:tcPr>
            <w:gridSpan w:val="2"/>
            <w:tcW w:w="3978" w:type="dxa"/>
            <w:tcBorders>
              <w:top w:val="nil"/>
            </w:tcBorders>
          </w:tcPr>
          <w:p>
            <w:pPr>
              <w:pStyle w:val="1"/>
              <w:jc w:val="both"/>
            </w:pPr>
            <w:r>
              <w:rPr>
                <w:sz w:val="20"/>
              </w:rPr>
              <w:t xml:space="preserve">                       0,3 ng/l</w:t>
            </w:r>
          </w:p>
        </w:tc>
      </w:tr>
    </w:tbl>
    <w:p>
      <w:pPr>
        <w:pStyle w:val="0"/>
        <w:ind w:firstLine="540"/>
        <w:jc w:val="both"/>
      </w:pPr>
      <w:r>
        <w:rPr>
          <w:sz w:val="20"/>
        </w:rPr>
      </w:r>
    </w:p>
    <w:bookmarkStart w:id="2665" w:name="P2665"/>
    <w:bookmarkEnd w:id="2665"/>
    <w:p>
      <w:pPr>
        <w:pStyle w:val="0"/>
        <w:outlineLvl w:val="1"/>
        <w:jc w:val="center"/>
      </w:pPr>
      <w:r>
        <w:rPr>
          <w:sz w:val="20"/>
        </w:rPr>
        <w:t xml:space="preserve">Часть 6</w:t>
      </w:r>
    </w:p>
    <w:p>
      <w:pPr>
        <w:pStyle w:val="0"/>
        <w:jc w:val="center"/>
      </w:pPr>
      <w:r>
        <w:rPr>
          <w:sz w:val="20"/>
        </w:rPr>
      </w:r>
    </w:p>
    <w:p>
      <w:pPr>
        <w:pStyle w:val="0"/>
        <w:jc w:val="center"/>
      </w:pPr>
      <w:r>
        <w:rPr>
          <w:sz w:val="20"/>
        </w:rPr>
        <w:t xml:space="preserve">Мониторинг выбросов</w:t>
      </w:r>
    </w:p>
    <w:p>
      <w:pPr>
        <w:pStyle w:val="0"/>
        <w:jc w:val="center"/>
      </w:pPr>
      <w:r>
        <w:rPr>
          <w:sz w:val="20"/>
        </w:rPr>
      </w:r>
    </w:p>
    <w:bookmarkStart w:id="2669" w:name="P2669"/>
    <w:bookmarkEnd w:id="2669"/>
    <w:p>
      <w:pPr>
        <w:pStyle w:val="0"/>
        <w:ind w:firstLine="540"/>
        <w:jc w:val="both"/>
      </w:pPr>
      <w:r>
        <w:rPr>
          <w:sz w:val="20"/>
        </w:rPr>
        <w:t xml:space="preserve">1. Технологии измерения</w:t>
      </w:r>
    </w:p>
    <w:bookmarkStart w:id="2670" w:name="P2670"/>
    <w:bookmarkEnd w:id="2670"/>
    <w:p>
      <w:pPr>
        <w:pStyle w:val="0"/>
        <w:spacing w:before="200" w:line-rule="auto"/>
        <w:ind w:firstLine="540"/>
        <w:jc w:val="both"/>
      </w:pPr>
      <w:r>
        <w:rPr>
          <w:sz w:val="20"/>
        </w:rPr>
        <w:t xml:space="preserve">1.1. Необходимо проводить репрезентативные измерения в целях определения концентрации загрязняющих веществ в воздухе и воде.</w:t>
      </w:r>
    </w:p>
    <w:bookmarkStart w:id="2671" w:name="P2671"/>
    <w:bookmarkEnd w:id="2671"/>
    <w:p>
      <w:pPr>
        <w:pStyle w:val="0"/>
        <w:spacing w:before="200" w:line-rule="auto"/>
        <w:ind w:firstLine="540"/>
        <w:jc w:val="both"/>
      </w:pPr>
      <w:r>
        <w:rPr>
          <w:sz w:val="20"/>
        </w:rPr>
        <w:t xml:space="preserve">1.2. Отбор и анализ всех загрязняющих веществ, в том числе диоксинов и фуранов, а также гарантии качества автоматических систем измерения и контрольные измерения для проверки таких систем должны проводиться в соответствии со стандартами CEN. При невозможности применения стандартов CEN необходимо применять ISO, национальные или иные международные стандарты, которые гарантируют предоставление научных сведений эквивалентного качества. Автоматические системы измерения контролируются путем проведения параллельных контрольных измерений, по крайней мере, один раз в год.</w:t>
      </w:r>
    </w:p>
    <w:bookmarkStart w:id="2672" w:name="P2672"/>
    <w:bookmarkEnd w:id="2672"/>
    <w:p>
      <w:pPr>
        <w:pStyle w:val="0"/>
        <w:spacing w:before="200" w:line-rule="auto"/>
        <w:ind w:firstLine="540"/>
        <w:jc w:val="both"/>
      </w:pPr>
      <w:r>
        <w:rPr>
          <w:sz w:val="20"/>
        </w:rPr>
        <w:t xml:space="preserve">1.3. На уровне ежедневного порогового значения выбросов значения 95-процентного доверительного интервала для результата, измеренного без контрольной проверки, не должны превышать следующие пороговые значения выбросов в процентах:</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6201"/>
        <w:gridCol w:w="2457"/>
      </w:tblGrid>
      <w:tr>
        <w:trPr>
          <w:trHeight w:val="240" w:hRule="atLeast"/>
        </w:trPr>
        <w:tc>
          <w:tcPr>
            <w:tcW w:w="6318" w:type="dxa"/>
          </w:tcPr>
          <w:p>
            <w:pPr>
              <w:pStyle w:val="1"/>
              <w:jc w:val="both"/>
            </w:pPr>
            <w:r>
              <w:rPr>
                <w:sz w:val="20"/>
              </w:rPr>
              <w:t xml:space="preserve">Монооксид углерода                                  </w:t>
            </w:r>
          </w:p>
        </w:tc>
        <w:tc>
          <w:tcPr>
            <w:tcW w:w="2574" w:type="dxa"/>
          </w:tcPr>
          <w:p>
            <w:pPr>
              <w:pStyle w:val="1"/>
              <w:jc w:val="both"/>
            </w:pPr>
            <w:r>
              <w:rPr>
                <w:sz w:val="20"/>
              </w:rPr>
              <w:t xml:space="preserve">                 10%</w:t>
            </w:r>
          </w:p>
        </w:tc>
      </w:tr>
      <w:tr>
        <w:trPr>
          <w:trHeight w:val="240" w:hRule="atLeast"/>
        </w:trPr>
        <w:tc>
          <w:tcPr>
            <w:tcW w:w="6318" w:type="dxa"/>
            <w:tcBorders>
              <w:top w:val="nil"/>
            </w:tcBorders>
          </w:tcPr>
          <w:p>
            <w:pPr>
              <w:pStyle w:val="1"/>
              <w:jc w:val="both"/>
            </w:pPr>
            <w:r>
              <w:rPr>
                <w:sz w:val="20"/>
              </w:rPr>
              <w:t xml:space="preserve">Диоксид серы                                        </w:t>
            </w:r>
          </w:p>
        </w:tc>
        <w:tc>
          <w:tcPr>
            <w:tcW w:w="2574" w:type="dxa"/>
            <w:tcBorders>
              <w:top w:val="nil"/>
            </w:tcBorders>
          </w:tcPr>
          <w:p>
            <w:pPr>
              <w:pStyle w:val="1"/>
              <w:jc w:val="both"/>
            </w:pPr>
            <w:r>
              <w:rPr>
                <w:sz w:val="20"/>
              </w:rPr>
              <w:t xml:space="preserve">                 20%</w:t>
            </w:r>
          </w:p>
        </w:tc>
      </w:tr>
      <w:tr>
        <w:trPr>
          <w:trHeight w:val="240" w:hRule="atLeast"/>
        </w:trPr>
        <w:tc>
          <w:tcPr>
            <w:tcW w:w="6318" w:type="dxa"/>
            <w:tcBorders>
              <w:top w:val="nil"/>
            </w:tcBorders>
          </w:tcPr>
          <w:p>
            <w:pPr>
              <w:pStyle w:val="1"/>
              <w:jc w:val="both"/>
            </w:pPr>
            <w:r>
              <w:rPr>
                <w:sz w:val="20"/>
              </w:rPr>
              <w:t xml:space="preserve">Диоксид азота                                       </w:t>
            </w:r>
          </w:p>
        </w:tc>
        <w:tc>
          <w:tcPr>
            <w:tcW w:w="2574" w:type="dxa"/>
            <w:tcBorders>
              <w:top w:val="nil"/>
            </w:tcBorders>
          </w:tcPr>
          <w:p>
            <w:pPr>
              <w:pStyle w:val="1"/>
              <w:jc w:val="both"/>
            </w:pPr>
            <w:r>
              <w:rPr>
                <w:sz w:val="20"/>
              </w:rPr>
              <w:t xml:space="preserve">                 20%</w:t>
            </w:r>
          </w:p>
        </w:tc>
      </w:tr>
      <w:tr>
        <w:trPr>
          <w:trHeight w:val="240" w:hRule="atLeast"/>
        </w:trPr>
        <w:tc>
          <w:tcPr>
            <w:tcW w:w="6318" w:type="dxa"/>
            <w:tcBorders>
              <w:top w:val="nil"/>
            </w:tcBorders>
          </w:tcPr>
          <w:p>
            <w:pPr>
              <w:pStyle w:val="1"/>
              <w:jc w:val="both"/>
            </w:pPr>
            <w:r>
              <w:rPr>
                <w:sz w:val="20"/>
              </w:rPr>
              <w:t xml:space="preserve">Общее содержание пыли                               </w:t>
            </w:r>
          </w:p>
        </w:tc>
        <w:tc>
          <w:tcPr>
            <w:tcW w:w="2574" w:type="dxa"/>
            <w:tcBorders>
              <w:top w:val="nil"/>
            </w:tcBorders>
          </w:tcPr>
          <w:p>
            <w:pPr>
              <w:pStyle w:val="1"/>
              <w:jc w:val="both"/>
            </w:pPr>
            <w:r>
              <w:rPr>
                <w:sz w:val="20"/>
              </w:rPr>
              <w:t xml:space="preserve">                 30%</w:t>
            </w:r>
          </w:p>
        </w:tc>
      </w:tr>
      <w:tr>
        <w:trPr>
          <w:trHeight w:val="240" w:hRule="atLeast"/>
        </w:trPr>
        <w:tc>
          <w:tcPr>
            <w:tcW w:w="6318" w:type="dxa"/>
            <w:tcBorders>
              <w:top w:val="nil"/>
            </w:tcBorders>
          </w:tcPr>
          <w:p>
            <w:pPr>
              <w:pStyle w:val="1"/>
              <w:jc w:val="both"/>
            </w:pPr>
            <w:r>
              <w:rPr>
                <w:sz w:val="20"/>
              </w:rPr>
              <w:t xml:space="preserve">Общее содержание органического углерода             </w:t>
            </w:r>
          </w:p>
        </w:tc>
        <w:tc>
          <w:tcPr>
            <w:tcW w:w="2574" w:type="dxa"/>
            <w:tcBorders>
              <w:top w:val="nil"/>
            </w:tcBorders>
          </w:tcPr>
          <w:p>
            <w:pPr>
              <w:pStyle w:val="1"/>
              <w:jc w:val="both"/>
            </w:pPr>
            <w:r>
              <w:rPr>
                <w:sz w:val="20"/>
              </w:rPr>
              <w:t xml:space="preserve">                 30%</w:t>
            </w:r>
          </w:p>
        </w:tc>
      </w:tr>
      <w:tr>
        <w:trPr>
          <w:trHeight w:val="240" w:hRule="atLeast"/>
        </w:trPr>
        <w:tc>
          <w:tcPr>
            <w:tcW w:w="6318" w:type="dxa"/>
            <w:tcBorders>
              <w:top w:val="nil"/>
            </w:tcBorders>
          </w:tcPr>
          <w:p>
            <w:pPr>
              <w:pStyle w:val="1"/>
              <w:jc w:val="both"/>
            </w:pPr>
            <w:r>
              <w:rPr>
                <w:sz w:val="20"/>
              </w:rPr>
              <w:t xml:space="preserve">Хлорид водорода                                     </w:t>
            </w:r>
          </w:p>
        </w:tc>
        <w:tc>
          <w:tcPr>
            <w:tcW w:w="2574" w:type="dxa"/>
            <w:tcBorders>
              <w:top w:val="nil"/>
            </w:tcBorders>
          </w:tcPr>
          <w:p>
            <w:pPr>
              <w:pStyle w:val="1"/>
              <w:jc w:val="both"/>
            </w:pPr>
            <w:r>
              <w:rPr>
                <w:sz w:val="20"/>
              </w:rPr>
              <w:t xml:space="preserve">                 40%</w:t>
            </w:r>
          </w:p>
        </w:tc>
      </w:tr>
      <w:tr>
        <w:trPr>
          <w:trHeight w:val="240" w:hRule="atLeast"/>
        </w:trPr>
        <w:tc>
          <w:tcPr>
            <w:tcW w:w="6318" w:type="dxa"/>
            <w:tcBorders>
              <w:top w:val="nil"/>
            </w:tcBorders>
          </w:tcPr>
          <w:p>
            <w:pPr>
              <w:pStyle w:val="1"/>
              <w:jc w:val="both"/>
            </w:pPr>
            <w:r>
              <w:rPr>
                <w:sz w:val="20"/>
              </w:rPr>
              <w:t xml:space="preserve">Фторид водорода                                     </w:t>
            </w:r>
          </w:p>
        </w:tc>
        <w:tc>
          <w:tcPr>
            <w:tcW w:w="2574" w:type="dxa"/>
            <w:tcBorders>
              <w:top w:val="nil"/>
            </w:tcBorders>
          </w:tcPr>
          <w:p>
            <w:pPr>
              <w:pStyle w:val="1"/>
              <w:jc w:val="both"/>
            </w:pPr>
            <w:r>
              <w:rPr>
                <w:sz w:val="20"/>
              </w:rPr>
              <w:t xml:space="preserve">                 40%</w:t>
            </w:r>
          </w:p>
        </w:tc>
      </w:tr>
    </w:tbl>
    <w:p>
      <w:pPr>
        <w:pStyle w:val="0"/>
        <w:ind w:firstLine="540"/>
        <w:jc w:val="both"/>
      </w:pPr>
      <w:r>
        <w:rPr>
          <w:sz w:val="20"/>
        </w:rPr>
      </w:r>
    </w:p>
    <w:bookmarkStart w:id="2690" w:name="P2690"/>
    <w:bookmarkEnd w:id="2690"/>
    <w:p>
      <w:pPr>
        <w:pStyle w:val="0"/>
        <w:ind w:firstLine="540"/>
        <w:jc w:val="both"/>
      </w:pPr>
      <w:r>
        <w:rPr>
          <w:sz w:val="20"/>
        </w:rPr>
        <w:t xml:space="preserve">Периодические измерения выбросов в воздух должны проводиться в соответствии с </w:t>
      </w:r>
      <w:hyperlink w:history="0" w:anchor="P2670" w:tooltip="1.1. Необходимо проводить репрезентативные измерения в целях определения концентрации загрязняющих веществ в воздухе и воде.">
        <w:r>
          <w:rPr>
            <w:sz w:val="20"/>
            <w:color w:val="0000ff"/>
          </w:rPr>
          <w:t xml:space="preserve">пунктами 1.1</w:t>
        </w:r>
      </w:hyperlink>
      <w:r>
        <w:rPr>
          <w:sz w:val="20"/>
        </w:rPr>
        <w:t xml:space="preserve"> и </w:t>
      </w:r>
      <w:hyperlink w:history="0" w:anchor="P2671" w:tooltip="1.2. Отбор и анализ всех загрязняющих веществ, в том числе диоксинов и фуранов, а также гарантии качества автоматических систем измерения и контрольные измерения для проверки таких систем должны проводиться в соответствии со стандартами CEN. При невозможности применения стандартов CEN необходимо применять ISO, национальные или иные международные стандарты, которые гарантируют предоставление научных сведений эквивалентного качества. Автоматические системы измерения контролируются путем проведения параллел...">
        <w:r>
          <w:rPr>
            <w:sz w:val="20"/>
            <w:color w:val="0000ff"/>
          </w:rPr>
          <w:t xml:space="preserve">1.2</w:t>
        </w:r>
      </w:hyperlink>
      <w:r>
        <w:rPr>
          <w:sz w:val="20"/>
        </w:rPr>
        <w:t xml:space="preserve">.</w:t>
      </w:r>
    </w:p>
    <w:bookmarkStart w:id="2691" w:name="P2691"/>
    <w:bookmarkEnd w:id="2691"/>
    <w:p>
      <w:pPr>
        <w:pStyle w:val="0"/>
        <w:spacing w:before="200" w:line-rule="auto"/>
        <w:ind w:firstLine="540"/>
        <w:jc w:val="both"/>
      </w:pPr>
      <w:r>
        <w:rPr>
          <w:sz w:val="20"/>
        </w:rPr>
        <w:t xml:space="preserve">2. Измерения загрязняющих воздух веществ</w:t>
      </w:r>
    </w:p>
    <w:bookmarkStart w:id="2692" w:name="P2692"/>
    <w:bookmarkEnd w:id="2692"/>
    <w:p>
      <w:pPr>
        <w:pStyle w:val="0"/>
        <w:spacing w:before="200" w:line-rule="auto"/>
        <w:ind w:firstLine="540"/>
        <w:jc w:val="both"/>
      </w:pPr>
      <w:r>
        <w:rPr>
          <w:sz w:val="20"/>
        </w:rPr>
        <w:t xml:space="preserve">2.1. Необходимо проводить следующие измерения загрязняющих воздух веществ:</w:t>
      </w:r>
    </w:p>
    <w:p>
      <w:pPr>
        <w:pStyle w:val="1"/>
        <w:spacing w:before="200" w:line-rule="auto"/>
        <w:jc w:val="both"/>
      </w:pPr>
      <w:r>
        <w:rPr>
          <w:sz w:val="20"/>
        </w:rPr>
        <w:t xml:space="preserve">    a)  непрерывные  измерения  следующих  веществ:  NO   если  установлены</w:t>
      </w:r>
    </w:p>
    <w:p>
      <w:pPr>
        <w:pStyle w:val="1"/>
        <w:jc w:val="both"/>
      </w:pPr>
      <w:r>
        <w:rPr>
          <w:sz w:val="20"/>
        </w:rPr>
        <w:t xml:space="preserve">                                                       x</w:t>
      </w:r>
    </w:p>
    <w:p>
      <w:pPr>
        <w:pStyle w:val="1"/>
        <w:jc w:val="both"/>
      </w:pPr>
      <w:r>
        <w:rPr>
          <w:sz w:val="20"/>
        </w:rPr>
        <w:t xml:space="preserve">пороговые значения выбросов, CO, общее содержание пыли, TOC, HCl, HF, SO ;</w:t>
      </w:r>
    </w:p>
    <w:p>
      <w:pPr>
        <w:pStyle w:val="1"/>
        <w:jc w:val="both"/>
      </w:pPr>
      <w:r>
        <w:rPr>
          <w:sz w:val="20"/>
        </w:rPr>
        <w:t xml:space="preserve">                                                                        2</w:t>
      </w:r>
    </w:p>
    <w:p>
      <w:pPr>
        <w:pStyle w:val="0"/>
        <w:ind w:firstLine="540"/>
        <w:jc w:val="both"/>
      </w:pPr>
      <w:r>
        <w:rPr>
          <w:sz w:val="20"/>
        </w:rPr>
        <w:t xml:space="preserve">b) непрерывные измерения следующих параметров процесса: температура возле внутренней стены или на иных представительных участках камеры сгорания, как установлено компетентным органом, концентрация кислорода, давление, температура и содержание водяного пара в отработанных газах;</w:t>
      </w:r>
    </w:p>
    <w:bookmarkStart w:id="2698" w:name="P2698"/>
    <w:bookmarkEnd w:id="2698"/>
    <w:p>
      <w:pPr>
        <w:pStyle w:val="0"/>
        <w:spacing w:before="200" w:line-rule="auto"/>
        <w:ind w:firstLine="540"/>
        <w:jc w:val="both"/>
      </w:pPr>
      <w:r>
        <w:rPr>
          <w:sz w:val="20"/>
        </w:rPr>
        <w:t xml:space="preserve">c) по крайней мере, два раза в год измерения тяжелых металлов, а также диоксинов и фуранов; при этом в течение первых 12 месяцев функционирования необходимо проводить, по крайней мере, одно измерение каждые 3 месяца.</w:t>
      </w:r>
    </w:p>
    <w:bookmarkStart w:id="2699" w:name="P2699"/>
    <w:bookmarkEnd w:id="2699"/>
    <w:p>
      <w:pPr>
        <w:pStyle w:val="0"/>
        <w:spacing w:before="200" w:line-rule="auto"/>
        <w:ind w:firstLine="540"/>
        <w:jc w:val="both"/>
      </w:pPr>
      <w:r>
        <w:rPr>
          <w:sz w:val="20"/>
        </w:rPr>
        <w:t xml:space="preserve">2.2. Необходимо надлежащим образом проверять время обработки, а также минимальную температуру и содержание кислорода в отработанных газах, по крайней мере, один раз при вводе в эксплуатацию завода по сжиганию отходов или завода по совместному сжиганию отходов и при наиболее неблагоприятных ожидаемых условиях.</w:t>
      </w:r>
    </w:p>
    <w:bookmarkStart w:id="2700" w:name="P2700"/>
    <w:bookmarkEnd w:id="2700"/>
    <w:p>
      <w:pPr>
        <w:pStyle w:val="0"/>
        <w:spacing w:before="200" w:line-rule="auto"/>
        <w:ind w:firstLine="540"/>
        <w:jc w:val="both"/>
      </w:pPr>
      <w:r>
        <w:rPr>
          <w:sz w:val="20"/>
        </w:rPr>
        <w:t xml:space="preserve">2.3. Непрерывные измерения HF могут не проводиться при наличии этапов обработки HCl, что гарантирует соблюдение порогового значения выбросов для HCl. В этом случае необходимо проводить периодические измерения выбросов HF в соответствии с </w:t>
      </w:r>
      <w:hyperlink w:history="0" w:anchor="P2698" w:tooltip="c) по крайней мере, два раза в год измерения тяжелых металлов, а также диоксинов и фуранов; при этом в течение первых 12 месяцев функционирования необходимо проводить, по крайней мере, одно измерение каждые 3 месяца.">
        <w:r>
          <w:rPr>
            <w:sz w:val="20"/>
            <w:color w:val="0000ff"/>
          </w:rPr>
          <w:t xml:space="preserve">пунктом 2.1 "c" настоящей части</w:t>
        </w:r>
      </w:hyperlink>
      <w:r>
        <w:rPr>
          <w:sz w:val="20"/>
        </w:rPr>
        <w:t xml:space="preserve">.</w:t>
      </w:r>
    </w:p>
    <w:bookmarkStart w:id="2701" w:name="P2701"/>
    <w:bookmarkEnd w:id="2701"/>
    <w:p>
      <w:pPr>
        <w:pStyle w:val="0"/>
        <w:spacing w:before="200" w:line-rule="auto"/>
        <w:ind w:firstLine="540"/>
        <w:jc w:val="both"/>
      </w:pPr>
      <w:r>
        <w:rPr>
          <w:sz w:val="20"/>
        </w:rPr>
        <w:t xml:space="preserve">2.4. Непрерывные измерения водяного пара не требуются, если образцы отработанного газа высушены перед проведением анализа.</w:t>
      </w:r>
    </w:p>
    <w:bookmarkStart w:id="2702" w:name="P2702"/>
    <w:bookmarkEnd w:id="2702"/>
    <w:p>
      <w:pPr>
        <w:pStyle w:val="1"/>
        <w:spacing w:before="200" w:line-rule="auto"/>
        <w:jc w:val="both"/>
      </w:pPr>
      <w:r>
        <w:rPr>
          <w:sz w:val="20"/>
        </w:rPr>
        <w:t xml:space="preserve">    2.5.  Компетентный  орган  вправе  не  требовать проведения непрерывных</w:t>
      </w:r>
    </w:p>
    <w:p>
      <w:pPr>
        <w:pStyle w:val="1"/>
        <w:jc w:val="both"/>
      </w:pPr>
      <w:r>
        <w:rPr>
          <w:sz w:val="20"/>
        </w:rPr>
        <w:t xml:space="preserve">измерений  HF,  HCl  и  SO   на  заводах по сжиганию отходов или заводах по</w:t>
      </w:r>
    </w:p>
    <w:p>
      <w:pPr>
        <w:pStyle w:val="1"/>
        <w:jc w:val="both"/>
      </w:pPr>
      <w:r>
        <w:rPr>
          <w:sz w:val="20"/>
        </w:rPr>
        <w:t xml:space="preserve">                          2</w:t>
      </w:r>
    </w:p>
    <w:p>
      <w:pPr>
        <w:pStyle w:val="1"/>
        <w:jc w:val="both"/>
      </w:pPr>
      <w:r>
        <w:rPr>
          <w:sz w:val="20"/>
        </w:rPr>
        <w:t xml:space="preserve">совместному   сжиганию   отходов   и   требовать  периодических  измерений,</w:t>
      </w:r>
    </w:p>
    <w:p>
      <w:pPr>
        <w:pStyle w:val="1"/>
        <w:jc w:val="both"/>
      </w:pPr>
      <w:r>
        <w:rPr>
          <w:sz w:val="20"/>
        </w:rPr>
        <w:t xml:space="preserve">предусмотренных  </w:t>
      </w:r>
      <w:hyperlink w:history="0" w:anchor="P2698" w:tooltip="c) по крайней мере, два раза в год измерения тяжелых металлов, а также диоксинов и фуранов; при этом в течение первых 12 месяцев функционирования необходимо проводить, по крайней мере, одно измерение каждые 3 месяца.">
        <w:r>
          <w:rPr>
            <w:sz w:val="20"/>
            <w:color w:val="0000ff"/>
          </w:rPr>
          <w:t xml:space="preserve">пунктом 2.1 "c" настоящей части</w:t>
        </w:r>
      </w:hyperlink>
      <w:r>
        <w:rPr>
          <w:sz w:val="20"/>
        </w:rPr>
        <w:t xml:space="preserve">, либо не требовать никаких</w:t>
      </w:r>
    </w:p>
    <w:p>
      <w:pPr>
        <w:pStyle w:val="1"/>
        <w:jc w:val="both"/>
      </w:pPr>
      <w:r>
        <w:rPr>
          <w:sz w:val="20"/>
        </w:rPr>
        <w:t xml:space="preserve">измерений,  если оператор докажет, что выбросы этих загрязняющих веществ ни</w:t>
      </w:r>
    </w:p>
    <w:p>
      <w:pPr>
        <w:pStyle w:val="1"/>
        <w:jc w:val="both"/>
      </w:pPr>
      <w:r>
        <w:rPr>
          <w:sz w:val="20"/>
        </w:rPr>
        <w:t xml:space="preserve">при  каких  обстоятельствах  не  превышают установленные пороговые значения</w:t>
      </w:r>
    </w:p>
    <w:p>
      <w:pPr>
        <w:pStyle w:val="1"/>
        <w:jc w:val="both"/>
      </w:pPr>
      <w:r>
        <w:rPr>
          <w:sz w:val="20"/>
        </w:rPr>
        <w:t xml:space="preserve">выбросов.</w:t>
      </w:r>
    </w:p>
    <w:bookmarkStart w:id="2710" w:name="P2710"/>
    <w:bookmarkEnd w:id="2710"/>
    <w:p>
      <w:pPr>
        <w:pStyle w:val="1"/>
        <w:jc w:val="both"/>
      </w:pPr>
      <w:r>
        <w:rPr>
          <w:sz w:val="20"/>
        </w:rPr>
        <w:t xml:space="preserve">    Компетентный орган вправе не требовать проведения непрерывных измерений</w:t>
      </w:r>
    </w:p>
    <w:p>
      <w:pPr>
        <w:pStyle w:val="1"/>
        <w:jc w:val="both"/>
      </w:pPr>
      <w:r>
        <w:rPr>
          <w:sz w:val="20"/>
        </w:rPr>
        <w:t xml:space="preserve">NO   и  требовать  периодических измерений, предусмотренных пунктом 2.1 "c"</w:t>
      </w:r>
    </w:p>
    <w:p>
      <w:pPr>
        <w:pStyle w:val="1"/>
        <w:jc w:val="both"/>
      </w:pPr>
      <w:r>
        <w:rPr>
          <w:sz w:val="20"/>
        </w:rPr>
        <w:t xml:space="preserve">  x</w:t>
      </w:r>
    </w:p>
    <w:p>
      <w:pPr>
        <w:pStyle w:val="1"/>
        <w:jc w:val="both"/>
      </w:pPr>
      <w:r>
        <w:rPr>
          <w:sz w:val="20"/>
        </w:rPr>
        <w:t xml:space="preserve">настоящей  части, на существующих заводах по сжиганию отходов с номинальной</w:t>
      </w:r>
    </w:p>
    <w:p>
      <w:pPr>
        <w:pStyle w:val="1"/>
        <w:jc w:val="both"/>
      </w:pPr>
      <w:r>
        <w:rPr>
          <w:sz w:val="20"/>
        </w:rPr>
        <w:t xml:space="preserve">производительностью  менее  6  тонн  в  час  или на существующих заводах по</w:t>
      </w:r>
    </w:p>
    <w:p>
      <w:pPr>
        <w:pStyle w:val="1"/>
        <w:jc w:val="both"/>
      </w:pPr>
      <w:r>
        <w:rPr>
          <w:sz w:val="20"/>
        </w:rPr>
        <w:t xml:space="preserve">совместному сжиганию отходов с номинальной производительностью менее 6 тонн</w:t>
      </w:r>
    </w:p>
    <w:p>
      <w:pPr>
        <w:pStyle w:val="1"/>
        <w:jc w:val="both"/>
      </w:pPr>
      <w:r>
        <w:rPr>
          <w:sz w:val="20"/>
        </w:rPr>
        <w:t xml:space="preserve">в час, если оператор докажет, основываясь на информации о качестве отходов,</w:t>
      </w:r>
    </w:p>
    <w:p>
      <w:pPr>
        <w:pStyle w:val="1"/>
        <w:jc w:val="both"/>
      </w:pPr>
      <w:r>
        <w:rPr>
          <w:sz w:val="20"/>
        </w:rPr>
        <w:t xml:space="preserve">используемых  технологиях  и  результатах мониторинга выбросов, что выбросы</w:t>
      </w:r>
    </w:p>
    <w:p>
      <w:pPr>
        <w:pStyle w:val="1"/>
        <w:jc w:val="both"/>
      </w:pPr>
      <w:r>
        <w:rPr>
          <w:sz w:val="20"/>
        </w:rPr>
        <w:t xml:space="preserve">NO   ни  при  каких  обстоятельствах  не  превышают установленные пороговые</w:t>
      </w:r>
    </w:p>
    <w:p>
      <w:pPr>
        <w:pStyle w:val="1"/>
        <w:jc w:val="both"/>
      </w:pPr>
      <w:r>
        <w:rPr>
          <w:sz w:val="20"/>
        </w:rPr>
        <w:t xml:space="preserve">  x</w:t>
      </w:r>
    </w:p>
    <w:p>
      <w:pPr>
        <w:pStyle w:val="1"/>
        <w:jc w:val="both"/>
      </w:pPr>
      <w:r>
        <w:rPr>
          <w:sz w:val="20"/>
        </w:rPr>
        <w:t xml:space="preserve">значения выбросов.</w:t>
      </w:r>
    </w:p>
    <w:bookmarkStart w:id="2721" w:name="P2721"/>
    <w:bookmarkEnd w:id="2721"/>
    <w:p>
      <w:pPr>
        <w:pStyle w:val="0"/>
        <w:ind w:firstLine="540"/>
        <w:jc w:val="both"/>
      </w:pPr>
      <w:r>
        <w:rPr>
          <w:sz w:val="20"/>
        </w:rPr>
        <w:t xml:space="preserve">2.6. Компетентный орган вправе требовать проведения измерения один раз каждые два года для тяжелых металлов и раз в год - для диоксинов и фуранов в следующих случаях:</w:t>
      </w:r>
    </w:p>
    <w:bookmarkStart w:id="2722" w:name="P2722"/>
    <w:bookmarkEnd w:id="2722"/>
    <w:p>
      <w:pPr>
        <w:pStyle w:val="0"/>
        <w:spacing w:before="200" w:line-rule="auto"/>
        <w:ind w:firstLine="540"/>
        <w:jc w:val="both"/>
      </w:pPr>
      <w:r>
        <w:rPr>
          <w:sz w:val="20"/>
        </w:rPr>
        <w:t xml:space="preserve">a) выбросы, образующиеся вследствие совместного сжигания или сжигания отходов при всех обстоятельствах ниже 50% порогового значения выбросов;</w:t>
      </w:r>
    </w:p>
    <w:bookmarkStart w:id="2723" w:name="P2723"/>
    <w:bookmarkEnd w:id="2723"/>
    <w:p>
      <w:pPr>
        <w:pStyle w:val="0"/>
        <w:spacing w:before="200" w:line-rule="auto"/>
        <w:ind w:firstLine="540"/>
        <w:jc w:val="both"/>
      </w:pPr>
      <w:r>
        <w:rPr>
          <w:sz w:val="20"/>
        </w:rPr>
        <w:t xml:space="preserve">b) отходы, подлежащие совместному сжиганию или сжиганию, состоят только из отсортированных горючих фракций неопасных отходов, не пригодных для переработки и имеющих определенные характеристики, которые уточняются на основе оценки, предусмотренной пунктом "c" настоящего параграфа;</w:t>
      </w:r>
    </w:p>
    <w:bookmarkStart w:id="2724" w:name="P2724"/>
    <w:bookmarkEnd w:id="2724"/>
    <w:p>
      <w:pPr>
        <w:pStyle w:val="0"/>
        <w:spacing w:before="200" w:line-rule="auto"/>
        <w:ind w:firstLine="540"/>
        <w:jc w:val="both"/>
      </w:pPr>
      <w:r>
        <w:rPr>
          <w:sz w:val="20"/>
        </w:rPr>
        <w:t xml:space="preserve">c) оператор может доказать, основываясь на информации о качестве отходов и результатах мониторинга выбросов, что выбросы при всех обстоятельствах значительно ниже пороговых значений выбросов для тяжелых металлов, а также для диоксинов и фуранов.</w:t>
      </w:r>
    </w:p>
    <w:bookmarkStart w:id="2725" w:name="P2725"/>
    <w:bookmarkEnd w:id="2725"/>
    <w:p>
      <w:pPr>
        <w:pStyle w:val="0"/>
        <w:spacing w:before="200" w:line-rule="auto"/>
        <w:ind w:firstLine="540"/>
        <w:jc w:val="both"/>
      </w:pPr>
      <w:r>
        <w:rPr>
          <w:sz w:val="20"/>
        </w:rPr>
        <w:t xml:space="preserve">2.7. Результаты измерений должны быть стандартизированы с использованием стандартных концентраций кислорода, указанных в </w:t>
      </w:r>
      <w:hyperlink w:history="0" w:anchor="P2135" w:tooltip="Часть 3">
        <w:r>
          <w:rPr>
            <w:sz w:val="20"/>
            <w:color w:val="0000ff"/>
          </w:rPr>
          <w:t xml:space="preserve">части 3</w:t>
        </w:r>
      </w:hyperlink>
      <w:r>
        <w:rPr>
          <w:sz w:val="20"/>
        </w:rPr>
        <w:t xml:space="preserve"> настоящего Приложения или исчисленных в соответствии с </w:t>
      </w:r>
      <w:hyperlink w:history="0" w:anchor="P2262" w:tooltip="Часть 4">
        <w:r>
          <w:rPr>
            <w:sz w:val="20"/>
            <w:color w:val="0000ff"/>
          </w:rPr>
          <w:t xml:space="preserve">частью 4</w:t>
        </w:r>
      </w:hyperlink>
      <w:r>
        <w:rPr>
          <w:sz w:val="20"/>
        </w:rPr>
        <w:t xml:space="preserve"> настоящего Приложения, а также с применением </w:t>
      </w:r>
      <w:hyperlink w:history="0" w:anchor="P2746" w:tooltip="                           E  = -------- x E">
        <w:r>
          <w:rPr>
            <w:sz w:val="20"/>
            <w:color w:val="0000ff"/>
          </w:rPr>
          <w:t xml:space="preserve">формулы</w:t>
        </w:r>
      </w:hyperlink>
      <w:r>
        <w:rPr>
          <w:sz w:val="20"/>
        </w:rPr>
        <w:t xml:space="preserve">, данной в </w:t>
      </w:r>
      <w:hyperlink w:history="0" w:anchor="P2739" w:tooltip="Часть 7">
        <w:r>
          <w:rPr>
            <w:sz w:val="20"/>
            <w:color w:val="0000ff"/>
          </w:rPr>
          <w:t xml:space="preserve">части 7</w:t>
        </w:r>
      </w:hyperlink>
      <w:r>
        <w:rPr>
          <w:sz w:val="20"/>
        </w:rPr>
        <w:t xml:space="preserve"> настоящего Приложения.</w:t>
      </w:r>
    </w:p>
    <w:bookmarkStart w:id="2726" w:name="P2726"/>
    <w:bookmarkEnd w:id="2726"/>
    <w:p>
      <w:pPr>
        <w:pStyle w:val="0"/>
        <w:spacing w:before="200" w:line-rule="auto"/>
        <w:ind w:firstLine="540"/>
        <w:jc w:val="both"/>
      </w:pPr>
      <w:r>
        <w:rPr>
          <w:sz w:val="20"/>
        </w:rPr>
        <w:t xml:space="preserve">В случае если сжигание или совместное сжигание отходов осуществляется в обогащенной кислородом среде, результаты измерений могут быть стандартизированы при содержании кислорода, установленном компетентным органом с учетом конкретных обстоятельств для каждого отдельного случая.</w:t>
      </w:r>
    </w:p>
    <w:p>
      <w:pPr>
        <w:pStyle w:val="0"/>
        <w:spacing w:before="200" w:line-rule="auto"/>
        <w:ind w:firstLine="540"/>
        <w:jc w:val="both"/>
      </w:pPr>
      <w:r>
        <w:rPr>
          <w:sz w:val="20"/>
        </w:rPr>
        <w:t xml:space="preserve">В случае если выбросы загрязняющих веществ сокращены путем обработки отработанного газа на заводах по сжиганию отходов или заводах по совместному сжиганию отходов, обрабатывающих опасные отходы, стандартизация с учетом содержания кислорода, предусмотренного </w:t>
      </w:r>
      <w:hyperlink w:history="0" w:anchor="P2725" w:tooltip="2.7. Результаты измерений должны быть стандартизированы с использованием стандартных концентраций кислорода, указанных в части 3 настоящего Приложения или исчисленных в соответствии с частью 4 настоящего Приложения, а также с применением формулы, данной в части 7 настоящего Приложения.">
        <w:r>
          <w:rPr>
            <w:sz w:val="20"/>
            <w:color w:val="0000ff"/>
          </w:rPr>
          <w:t xml:space="preserve">первым подпараграфом настоящего параграфа</w:t>
        </w:r>
      </w:hyperlink>
      <w:r>
        <w:rPr>
          <w:sz w:val="20"/>
        </w:rPr>
        <w:t xml:space="preserve">, проводится только в случае, если содержание кислорода, измеренное за тот же период, что и для соответствующего загрязняющего вещества, превышает стандартное содержание кислорода.</w:t>
      </w:r>
    </w:p>
    <w:p>
      <w:pPr>
        <w:pStyle w:val="0"/>
        <w:spacing w:before="200" w:line-rule="auto"/>
        <w:ind w:firstLine="540"/>
        <w:jc w:val="both"/>
      </w:pPr>
      <w:r>
        <w:rPr>
          <w:sz w:val="20"/>
        </w:rPr>
        <w:t xml:space="preserve">3. Измерения загрязняющих воду веществ</w:t>
      </w:r>
    </w:p>
    <w:bookmarkStart w:id="2729" w:name="P2729"/>
    <w:bookmarkEnd w:id="2729"/>
    <w:p>
      <w:pPr>
        <w:pStyle w:val="0"/>
        <w:spacing w:before="200" w:line-rule="auto"/>
        <w:ind w:firstLine="540"/>
        <w:jc w:val="both"/>
      </w:pPr>
      <w:r>
        <w:rPr>
          <w:sz w:val="20"/>
        </w:rPr>
        <w:t xml:space="preserve">3.1. Необходимо проводить следующие измерения в месте сброса сточных вод:</w:t>
      </w:r>
    </w:p>
    <w:p>
      <w:pPr>
        <w:pStyle w:val="0"/>
        <w:spacing w:before="200" w:line-rule="auto"/>
        <w:ind w:firstLine="540"/>
        <w:jc w:val="both"/>
      </w:pPr>
      <w:r>
        <w:rPr>
          <w:sz w:val="20"/>
        </w:rPr>
        <w:t xml:space="preserve">a) непрерывные измерения pH, температуры и потока;</w:t>
      </w:r>
    </w:p>
    <w:p>
      <w:pPr>
        <w:pStyle w:val="0"/>
        <w:spacing w:before="200" w:line-rule="auto"/>
        <w:ind w:firstLine="540"/>
        <w:jc w:val="both"/>
      </w:pPr>
      <w:r>
        <w:rPr>
          <w:sz w:val="20"/>
        </w:rPr>
        <w:t xml:space="preserve">b) ежедневные измерения локальных проб общего содержания взвешенных твердых частиц или измерения пропорциональной репрезентативной пробы потока за период 24 часа;</w:t>
      </w:r>
    </w:p>
    <w:p>
      <w:pPr>
        <w:pStyle w:val="0"/>
        <w:spacing w:before="200" w:line-rule="auto"/>
        <w:ind w:firstLine="540"/>
        <w:jc w:val="both"/>
      </w:pPr>
      <w:r>
        <w:rPr>
          <w:sz w:val="20"/>
        </w:rPr>
        <w:t xml:space="preserve">c) по крайней мере, ежемесячные измерения пропорциональной репрезентативной пробы сбрасываемого потока за период 24 часа в отношении Hg, Cd, TI, As, Pb, Cr, Cu, Ni и Zn;</w:t>
      </w:r>
    </w:p>
    <w:p>
      <w:pPr>
        <w:pStyle w:val="0"/>
        <w:spacing w:before="200" w:line-rule="auto"/>
        <w:ind w:firstLine="540"/>
        <w:jc w:val="both"/>
      </w:pPr>
      <w:r>
        <w:rPr>
          <w:sz w:val="20"/>
        </w:rPr>
        <w:t xml:space="preserve">d) по крайней мере, каждые 6 месяцев измерения диоксинов и фуранов; при этом в течение первых 12 месяцев функционирования необходимо проводить по крайней мере одно измерение каждые 3 месяца.</w:t>
      </w:r>
    </w:p>
    <w:bookmarkStart w:id="2734" w:name="P2734"/>
    <w:bookmarkEnd w:id="2734"/>
    <w:p>
      <w:pPr>
        <w:pStyle w:val="0"/>
        <w:spacing w:before="200" w:line-rule="auto"/>
        <w:ind w:firstLine="540"/>
        <w:jc w:val="both"/>
      </w:pPr>
      <w:r>
        <w:rPr>
          <w:sz w:val="20"/>
        </w:rPr>
        <w:t xml:space="preserve">3.2. В случае если сточные воды от очистки отработанных газов обрабатываются на участке совместно с иными локальными источниками сточных вод, оператор производит измерения:</w:t>
      </w:r>
    </w:p>
    <w:p>
      <w:pPr>
        <w:pStyle w:val="0"/>
        <w:spacing w:before="200" w:line-rule="auto"/>
        <w:ind w:firstLine="540"/>
        <w:jc w:val="both"/>
      </w:pPr>
      <w:r>
        <w:rPr>
          <w:sz w:val="20"/>
        </w:rPr>
        <w:t xml:space="preserve">a) потока сточных вод от процесса очистки отработанных газов до его попадания на завод по совместной обработке сточных вод;</w:t>
      </w:r>
    </w:p>
    <w:p>
      <w:pPr>
        <w:pStyle w:val="0"/>
        <w:spacing w:before="200" w:line-rule="auto"/>
        <w:ind w:firstLine="540"/>
        <w:jc w:val="both"/>
      </w:pPr>
      <w:r>
        <w:rPr>
          <w:sz w:val="20"/>
        </w:rPr>
        <w:t xml:space="preserve">b) иных потоков или потока сточных вод до их (его) попадания на завод по совместной обработке сточных вод;</w:t>
      </w:r>
    </w:p>
    <w:p>
      <w:pPr>
        <w:pStyle w:val="0"/>
        <w:spacing w:before="200" w:line-rule="auto"/>
        <w:ind w:firstLine="540"/>
        <w:jc w:val="both"/>
      </w:pPr>
      <w:r>
        <w:rPr>
          <w:sz w:val="20"/>
        </w:rPr>
        <w:t xml:space="preserve">c) в месте окончательного сброса сточных вод после их обработки заводами по сжиганию отходов или заводами по совместному сжиганию отходов.</w:t>
      </w:r>
    </w:p>
    <w:p>
      <w:pPr>
        <w:pStyle w:val="0"/>
        <w:ind w:firstLine="540"/>
        <w:jc w:val="both"/>
      </w:pPr>
      <w:r>
        <w:rPr>
          <w:sz w:val="20"/>
        </w:rPr>
      </w:r>
    </w:p>
    <w:bookmarkStart w:id="2739" w:name="P2739"/>
    <w:bookmarkEnd w:id="2739"/>
    <w:p>
      <w:pPr>
        <w:pStyle w:val="0"/>
        <w:outlineLvl w:val="1"/>
        <w:jc w:val="center"/>
      </w:pPr>
      <w:r>
        <w:rPr>
          <w:sz w:val="20"/>
        </w:rPr>
        <w:t xml:space="preserve">Часть 7</w:t>
      </w:r>
    </w:p>
    <w:p>
      <w:pPr>
        <w:pStyle w:val="0"/>
        <w:jc w:val="center"/>
      </w:pPr>
      <w:r>
        <w:rPr>
          <w:sz w:val="20"/>
        </w:rPr>
      </w:r>
    </w:p>
    <w:p>
      <w:pPr>
        <w:pStyle w:val="0"/>
        <w:jc w:val="center"/>
      </w:pPr>
      <w:r>
        <w:rPr>
          <w:sz w:val="20"/>
        </w:rPr>
        <w:t xml:space="preserve">Формула для исчисления концентрации выбросов при стандартной</w:t>
      </w:r>
    </w:p>
    <w:p>
      <w:pPr>
        <w:pStyle w:val="0"/>
        <w:jc w:val="center"/>
      </w:pPr>
      <w:r>
        <w:rPr>
          <w:sz w:val="20"/>
        </w:rPr>
        <w:t xml:space="preserve">концентрации кислорода, выраженной в процентах</w:t>
      </w:r>
    </w:p>
    <w:p>
      <w:pPr>
        <w:pStyle w:val="0"/>
        <w:jc w:val="center"/>
      </w:pPr>
      <w:r>
        <w:rPr>
          <w:sz w:val="20"/>
        </w:rPr>
      </w:r>
    </w:p>
    <w:p>
      <w:pPr>
        <w:pStyle w:val="1"/>
        <w:jc w:val="both"/>
      </w:pPr>
      <w:r>
        <w:rPr>
          <w:sz w:val="20"/>
        </w:rPr>
        <w:t xml:space="preserve">                                 21 - O</w:t>
      </w:r>
    </w:p>
    <w:p>
      <w:pPr>
        <w:pStyle w:val="1"/>
        <w:jc w:val="both"/>
      </w:pPr>
      <w:r>
        <w:rPr>
          <w:sz w:val="20"/>
        </w:rPr>
        <w:t xml:space="preserve">                                       s</w:t>
      </w:r>
    </w:p>
    <w:bookmarkStart w:id="2746" w:name="P2746"/>
    <w:bookmarkEnd w:id="2746"/>
    <w:p>
      <w:pPr>
        <w:pStyle w:val="1"/>
        <w:jc w:val="both"/>
      </w:pPr>
      <w:r>
        <w:rPr>
          <w:sz w:val="20"/>
        </w:rPr>
        <w:t xml:space="preserve">                           E  = -------- x E</w:t>
      </w:r>
    </w:p>
    <w:p>
      <w:pPr>
        <w:pStyle w:val="1"/>
        <w:jc w:val="both"/>
      </w:pPr>
      <w:r>
        <w:rPr>
          <w:sz w:val="20"/>
        </w:rPr>
        <w:t xml:space="preserve">                            s    21 - O     M</w:t>
      </w:r>
    </w:p>
    <w:p>
      <w:pPr>
        <w:pStyle w:val="1"/>
        <w:jc w:val="both"/>
      </w:pPr>
      <w:r>
        <w:rPr>
          <w:sz w:val="20"/>
        </w:rPr>
        <w:t xml:space="preserve">                                       M</w:t>
      </w:r>
    </w:p>
    <w:p>
      <w:pPr>
        <w:pStyle w:val="1"/>
        <w:jc w:val="both"/>
      </w:pPr>
      <w:r>
        <w:rPr>
          <w:sz w:val="20"/>
        </w:rPr>
      </w:r>
    </w:p>
    <w:p>
      <w:pPr>
        <w:pStyle w:val="1"/>
        <w:jc w:val="both"/>
      </w:pPr>
      <w:r>
        <w:rPr>
          <w:sz w:val="20"/>
        </w:rPr>
        <w:t xml:space="preserve">    E   =  исчисленная  концентрация  выбросов при стандартной концентрации</w:t>
      </w:r>
    </w:p>
    <w:p>
      <w:pPr>
        <w:pStyle w:val="1"/>
        <w:jc w:val="both"/>
      </w:pPr>
      <w:r>
        <w:rPr>
          <w:sz w:val="20"/>
        </w:rPr>
        <w:t xml:space="preserve">     s</w:t>
      </w:r>
    </w:p>
    <w:p>
      <w:pPr>
        <w:pStyle w:val="1"/>
        <w:jc w:val="both"/>
      </w:pPr>
      <w:r>
        <w:rPr>
          <w:sz w:val="20"/>
        </w:rPr>
        <w:t xml:space="preserve">кислорода, выраженной в процентах</w:t>
      </w:r>
    </w:p>
    <w:p>
      <w:pPr>
        <w:pStyle w:val="1"/>
        <w:jc w:val="both"/>
      </w:pPr>
      <w:r>
        <w:rPr>
          <w:sz w:val="20"/>
        </w:rPr>
        <w:t xml:space="preserve">    E   = измеренная концентрация выбросов</w:t>
      </w:r>
    </w:p>
    <w:p>
      <w:pPr>
        <w:pStyle w:val="1"/>
        <w:jc w:val="both"/>
      </w:pPr>
      <w:r>
        <w:rPr>
          <w:sz w:val="20"/>
        </w:rPr>
        <w:t xml:space="preserve">     M</w:t>
      </w:r>
    </w:p>
    <w:p>
      <w:pPr>
        <w:pStyle w:val="1"/>
        <w:jc w:val="both"/>
      </w:pPr>
      <w:r>
        <w:rPr>
          <w:sz w:val="20"/>
        </w:rPr>
      </w:r>
    </w:p>
    <w:p>
      <w:pPr>
        <w:pStyle w:val="1"/>
        <w:jc w:val="both"/>
      </w:pPr>
      <w:r>
        <w:rPr>
          <w:sz w:val="20"/>
        </w:rPr>
        <w:t xml:space="preserve">    O   = стандартная концентрация кислорода</w:t>
      </w:r>
    </w:p>
    <w:p>
      <w:pPr>
        <w:pStyle w:val="1"/>
        <w:jc w:val="both"/>
      </w:pPr>
      <w:r>
        <w:rPr>
          <w:sz w:val="20"/>
        </w:rPr>
        <w:t xml:space="preserve">     s</w:t>
      </w:r>
    </w:p>
    <w:p>
      <w:pPr>
        <w:pStyle w:val="1"/>
        <w:jc w:val="both"/>
      </w:pPr>
      <w:r>
        <w:rPr>
          <w:sz w:val="20"/>
        </w:rPr>
      </w:r>
    </w:p>
    <w:p>
      <w:pPr>
        <w:pStyle w:val="1"/>
        <w:jc w:val="both"/>
      </w:pPr>
      <w:r>
        <w:rPr>
          <w:sz w:val="20"/>
        </w:rPr>
        <w:t xml:space="preserve">    O  = измеренная концентрация кислорода</w:t>
      </w:r>
    </w:p>
    <w:p>
      <w:pPr>
        <w:pStyle w:val="1"/>
        <w:jc w:val="both"/>
      </w:pPr>
      <w:r>
        <w:rPr>
          <w:sz w:val="20"/>
        </w:rPr>
        <w:t xml:space="preserve">     M</w:t>
      </w:r>
    </w:p>
    <w:p>
      <w:pPr>
        <w:pStyle w:val="0"/>
        <w:ind w:firstLine="540"/>
        <w:jc w:val="both"/>
      </w:pPr>
      <w:r>
        <w:rPr>
          <w:sz w:val="20"/>
        </w:rPr>
      </w:r>
    </w:p>
    <w:bookmarkStart w:id="2762" w:name="P2762"/>
    <w:bookmarkEnd w:id="2762"/>
    <w:p>
      <w:pPr>
        <w:pStyle w:val="0"/>
        <w:outlineLvl w:val="1"/>
        <w:jc w:val="center"/>
      </w:pPr>
      <w:r>
        <w:rPr>
          <w:sz w:val="20"/>
        </w:rPr>
        <w:t xml:space="preserve">Часть 8</w:t>
      </w:r>
    </w:p>
    <w:p>
      <w:pPr>
        <w:pStyle w:val="0"/>
        <w:jc w:val="center"/>
      </w:pPr>
      <w:r>
        <w:rPr>
          <w:sz w:val="20"/>
        </w:rPr>
      </w:r>
    </w:p>
    <w:p>
      <w:pPr>
        <w:pStyle w:val="0"/>
        <w:jc w:val="center"/>
      </w:pPr>
      <w:r>
        <w:rPr>
          <w:sz w:val="20"/>
        </w:rPr>
        <w:t xml:space="preserve">Оценка соблюдения пороговых значений выбросов</w:t>
      </w:r>
    </w:p>
    <w:p>
      <w:pPr>
        <w:pStyle w:val="0"/>
        <w:jc w:val="center"/>
      </w:pPr>
      <w:r>
        <w:rPr>
          <w:sz w:val="20"/>
        </w:rPr>
      </w:r>
    </w:p>
    <w:p>
      <w:pPr>
        <w:pStyle w:val="0"/>
        <w:ind w:firstLine="540"/>
        <w:jc w:val="both"/>
      </w:pPr>
      <w:r>
        <w:rPr>
          <w:sz w:val="20"/>
        </w:rPr>
        <w:t xml:space="preserve">1. Пороговые значения выбросов в воздух</w:t>
      </w:r>
    </w:p>
    <w:bookmarkStart w:id="2767" w:name="P2767"/>
    <w:bookmarkEnd w:id="2767"/>
    <w:p>
      <w:pPr>
        <w:pStyle w:val="0"/>
        <w:spacing w:before="200" w:line-rule="auto"/>
        <w:ind w:firstLine="540"/>
        <w:jc w:val="both"/>
      </w:pPr>
      <w:r>
        <w:rPr>
          <w:sz w:val="20"/>
        </w:rPr>
        <w:t xml:space="preserve">1.1. Пороговые значения выбросов в воздух считаются соблюденными, если:</w:t>
      </w:r>
    </w:p>
    <w:p>
      <w:pPr>
        <w:pStyle w:val="0"/>
        <w:spacing w:before="200" w:line-rule="auto"/>
        <w:ind w:firstLine="540"/>
        <w:jc w:val="both"/>
      </w:pPr>
      <w:r>
        <w:rPr>
          <w:sz w:val="20"/>
        </w:rPr>
        <w:t xml:space="preserve">a) среднесуточные значения не превышают пороговые значения выбросов, установленные </w:t>
      </w:r>
      <w:hyperlink w:history="0" w:anchor="P2142" w:tooltip="    1.1.   Среднесуточные   пороговые   значения   выбросов  для  следующих">
        <w:r>
          <w:rPr>
            <w:sz w:val="20"/>
            <w:color w:val="0000ff"/>
          </w:rPr>
          <w:t xml:space="preserve">пунктом 1.1 части 3</w:t>
        </w:r>
      </w:hyperlink>
      <w:r>
        <w:rPr>
          <w:sz w:val="20"/>
        </w:rPr>
        <w:t xml:space="preserve"> или </w:t>
      </w:r>
      <w:hyperlink w:history="0" w:anchor="P2262" w:tooltip="Часть 4">
        <w:r>
          <w:rPr>
            <w:sz w:val="20"/>
            <w:color w:val="0000ff"/>
          </w:rPr>
          <w:t xml:space="preserve">части 4</w:t>
        </w:r>
      </w:hyperlink>
      <w:r>
        <w:rPr>
          <w:sz w:val="20"/>
        </w:rPr>
        <w:t xml:space="preserve"> настоящего Приложения, или исчисленные в соответствии с частью 4 настоящего Приложения;</w:t>
      </w:r>
    </w:p>
    <w:p>
      <w:pPr>
        <w:pStyle w:val="0"/>
        <w:spacing w:before="200" w:line-rule="auto"/>
        <w:ind w:firstLine="540"/>
        <w:jc w:val="both"/>
      </w:pPr>
      <w:r>
        <w:rPr>
          <w:sz w:val="20"/>
        </w:rPr>
        <w:t xml:space="preserve">b) средние получасовые значения не превышают пороговые значения выбросов, установленные в </w:t>
      </w:r>
      <w:hyperlink w:history="0" w:anchor="P2176" w:tooltip="│                                                      │(100%) A│ (97%) B │">
        <w:r>
          <w:rPr>
            <w:sz w:val="20"/>
            <w:color w:val="0000ff"/>
          </w:rPr>
          <w:t xml:space="preserve">столбце A</w:t>
        </w:r>
      </w:hyperlink>
      <w:r>
        <w:rPr>
          <w:sz w:val="20"/>
        </w:rPr>
        <w:t xml:space="preserve"> таблицы в </w:t>
      </w:r>
      <w:hyperlink w:history="0" w:anchor="P2171" w:tooltip="    1.2.  Средние  получасовые  пороговые  значения  выбросов для следующих">
        <w:r>
          <w:rPr>
            <w:sz w:val="20"/>
            <w:color w:val="0000ff"/>
          </w:rPr>
          <w:t xml:space="preserve">пункте 1.2 части 3</w:t>
        </w:r>
      </w:hyperlink>
      <w:r>
        <w:rPr>
          <w:sz w:val="20"/>
        </w:rPr>
        <w:t xml:space="preserve"> настоящего Приложения либо, если это применимо, 97% средних получасовых значений за год не превышают пороговые значения выбросов, установленные в </w:t>
      </w:r>
      <w:hyperlink w:history="0" w:anchor="P2176" w:tooltip="│                                                      │(100%) A│ (97%) B │">
        <w:r>
          <w:rPr>
            <w:sz w:val="20"/>
            <w:color w:val="0000ff"/>
          </w:rPr>
          <w:t xml:space="preserve">столбце B</w:t>
        </w:r>
      </w:hyperlink>
      <w:r>
        <w:rPr>
          <w:sz w:val="20"/>
        </w:rPr>
        <w:t xml:space="preserve"> таблицы в пункте 1.2 части 3 настоящего Приложения;</w:t>
      </w:r>
    </w:p>
    <w:p>
      <w:pPr>
        <w:pStyle w:val="0"/>
        <w:spacing w:before="200" w:line-rule="auto"/>
        <w:ind w:firstLine="540"/>
        <w:jc w:val="both"/>
      </w:pPr>
      <w:r>
        <w:rPr>
          <w:sz w:val="20"/>
        </w:rPr>
        <w:t xml:space="preserve">c) средние значения за период отбора, установленные в отношении тяжелых металлов, а также диоксинов и фуранов, не превышают пороговые значения выбросов, установленные </w:t>
      </w:r>
      <w:hyperlink w:history="0" w:anchor="P2200" w:tooltip="    1.3. Средние пороговые значения выбросов (мг/Nm ) для следующих тяжелых">
        <w:r>
          <w:rPr>
            <w:sz w:val="20"/>
            <w:color w:val="0000ff"/>
          </w:rPr>
          <w:t xml:space="preserve">пунктом 1.3</w:t>
        </w:r>
      </w:hyperlink>
      <w:r>
        <w:rPr>
          <w:sz w:val="20"/>
        </w:rPr>
        <w:t xml:space="preserve"> и </w:t>
      </w:r>
      <w:hyperlink w:history="0" w:anchor="P2232" w:tooltip="    1.4.  Средние  пороговые  значения  выбросов  (ng/Nm )  для диоксинов и">
        <w:r>
          <w:rPr>
            <w:sz w:val="20"/>
            <w:color w:val="0000ff"/>
          </w:rPr>
          <w:t xml:space="preserve">1.4 части 3</w:t>
        </w:r>
      </w:hyperlink>
      <w:r>
        <w:rPr>
          <w:sz w:val="20"/>
        </w:rPr>
        <w:t xml:space="preserve"> или </w:t>
      </w:r>
      <w:hyperlink w:history="0" w:anchor="P2262" w:tooltip="Часть 4">
        <w:r>
          <w:rPr>
            <w:sz w:val="20"/>
            <w:color w:val="0000ff"/>
          </w:rPr>
          <w:t xml:space="preserve">части 4</w:t>
        </w:r>
      </w:hyperlink>
      <w:r>
        <w:rPr>
          <w:sz w:val="20"/>
        </w:rPr>
        <w:t xml:space="preserve"> настоящего Приложения, или исчисленные в соответствии с частью 4 настоящего Приложения;</w:t>
      </w:r>
    </w:p>
    <w:bookmarkStart w:id="2771" w:name="P2771"/>
    <w:bookmarkEnd w:id="2771"/>
    <w:p>
      <w:pPr>
        <w:pStyle w:val="0"/>
        <w:spacing w:before="200" w:line-rule="auto"/>
        <w:ind w:firstLine="540"/>
        <w:jc w:val="both"/>
      </w:pPr>
      <w:r>
        <w:rPr>
          <w:sz w:val="20"/>
        </w:rPr>
        <w:t xml:space="preserve">d) в отношении монооксида углерода (СО):</w:t>
      </w:r>
    </w:p>
    <w:p>
      <w:pPr>
        <w:pStyle w:val="0"/>
        <w:spacing w:before="200" w:line-rule="auto"/>
        <w:ind w:firstLine="540"/>
        <w:jc w:val="both"/>
      </w:pPr>
      <w:r>
        <w:rPr>
          <w:sz w:val="20"/>
        </w:rPr>
        <w:t xml:space="preserve">i) для заводов по сжиганию отходов:</w:t>
      </w:r>
    </w:p>
    <w:p>
      <w:pPr>
        <w:pStyle w:val="0"/>
        <w:spacing w:before="200" w:line-rule="auto"/>
        <w:ind w:firstLine="540"/>
        <w:jc w:val="both"/>
      </w:pPr>
      <w:r>
        <w:rPr>
          <w:sz w:val="20"/>
        </w:rPr>
        <w:t xml:space="preserve">- как минимум 97% среднесуточных значений за год не превышают пороговые значения выбросов, установленные </w:t>
      </w:r>
      <w:hyperlink w:history="0" w:anchor="P2244" w:tooltip="a) 50 как среднесуточное значение;">
        <w:r>
          <w:rPr>
            <w:sz w:val="20"/>
            <w:color w:val="0000ff"/>
          </w:rPr>
          <w:t xml:space="preserve">пунктом 1.5 "a" части 3</w:t>
        </w:r>
      </w:hyperlink>
      <w:r>
        <w:rPr>
          <w:sz w:val="20"/>
        </w:rPr>
        <w:t xml:space="preserve"> настоящего Приложения;</w:t>
      </w:r>
    </w:p>
    <w:p>
      <w:pPr>
        <w:pStyle w:val="0"/>
        <w:spacing w:before="200" w:line-rule="auto"/>
        <w:ind w:firstLine="540"/>
        <w:jc w:val="both"/>
      </w:pPr>
      <w:r>
        <w:rPr>
          <w:sz w:val="20"/>
        </w:rPr>
        <w:t xml:space="preserve">- как минимум 95% средних десятиминутных значений за период, равный 24 часам, или все средние получасовые значения за тот же период не превышают пороговые значения выбросов, установленные </w:t>
      </w:r>
      <w:hyperlink w:history="0" w:anchor="P2245" w:tooltip="b) 100 как среднее получасовое значение;">
        <w:r>
          <w:rPr>
            <w:sz w:val="20"/>
            <w:color w:val="0000ff"/>
          </w:rPr>
          <w:t xml:space="preserve">пунктами 1.5 "b"</w:t>
        </w:r>
      </w:hyperlink>
      <w:r>
        <w:rPr>
          <w:sz w:val="20"/>
        </w:rPr>
        <w:t xml:space="preserve"> и </w:t>
      </w:r>
      <w:hyperlink w:history="0" w:anchor="P2246" w:tooltip="c) 150 как среднее 10-минутное значение.">
        <w:r>
          <w:rPr>
            <w:sz w:val="20"/>
            <w:color w:val="0000ff"/>
          </w:rPr>
          <w:t xml:space="preserve">"c" части 3</w:t>
        </w:r>
      </w:hyperlink>
      <w:r>
        <w:rPr>
          <w:sz w:val="20"/>
        </w:rPr>
        <w:t xml:space="preserve"> настоящего Приложения; для заводов по сжиганию отходов, где газ, образующийся в результате сжигания отходов, поднимается до температуры как минимум 1100 °C, которая достигается в течение как минимум двух секунд, государства-члены ЕС вправе предусмотреть применение периода оценки, равного 7 дням при исчислении средних десятиминутных значений;</w:t>
      </w:r>
    </w:p>
    <w:p>
      <w:pPr>
        <w:pStyle w:val="0"/>
        <w:spacing w:before="200" w:line-rule="auto"/>
        <w:ind w:firstLine="540"/>
        <w:jc w:val="both"/>
      </w:pPr>
      <w:r>
        <w:rPr>
          <w:sz w:val="20"/>
        </w:rPr>
        <w:t xml:space="preserve">ii) для заводов по совместному сжиганию отходов: соблюдены положения </w:t>
      </w:r>
      <w:hyperlink w:history="0" w:anchor="P2262" w:tooltip="Часть 4">
        <w:r>
          <w:rPr>
            <w:sz w:val="20"/>
            <w:color w:val="0000ff"/>
          </w:rPr>
          <w:t xml:space="preserve">части 4</w:t>
        </w:r>
      </w:hyperlink>
      <w:r>
        <w:rPr>
          <w:sz w:val="20"/>
        </w:rPr>
        <w:t xml:space="preserve"> настоящего Приложения.</w:t>
      </w:r>
    </w:p>
    <w:bookmarkStart w:id="2776" w:name="P2776"/>
    <w:bookmarkEnd w:id="2776"/>
    <w:p>
      <w:pPr>
        <w:pStyle w:val="0"/>
        <w:spacing w:before="200" w:line-rule="auto"/>
        <w:ind w:firstLine="540"/>
        <w:jc w:val="both"/>
      </w:pPr>
      <w:r>
        <w:rPr>
          <w:sz w:val="20"/>
        </w:rPr>
        <w:t xml:space="preserve">1.2. Средние получасовые значения, а также средние десятиминутные значения определяются в течение эффективного рабочего времени (за исключением периодов включения и отключения, если не осуществляется сжигание отходов) путем вычитания из измеренных значений значения доверительного интервала, указанные в </w:t>
      </w:r>
      <w:hyperlink w:history="0" w:anchor="P2672" w:tooltip="1.3. На уровне ежедневного порогового значения выбросов значения 95-процентного доверительного интервала для результата, измеренного без контрольной проверки, не должны превышать следующие пороговые значения выбросов в процентах:">
        <w:r>
          <w:rPr>
            <w:sz w:val="20"/>
            <w:color w:val="0000ff"/>
          </w:rPr>
          <w:t xml:space="preserve">пункте 1.3 части 6</w:t>
        </w:r>
      </w:hyperlink>
      <w:r>
        <w:rPr>
          <w:sz w:val="20"/>
        </w:rPr>
        <w:t xml:space="preserve"> настоящего Приложения. Среднесуточные значения определяются на основе этих действительных средних значений.</w:t>
      </w:r>
    </w:p>
    <w:p>
      <w:pPr>
        <w:pStyle w:val="0"/>
        <w:spacing w:before="200" w:line-rule="auto"/>
        <w:ind w:firstLine="540"/>
        <w:jc w:val="both"/>
      </w:pPr>
      <w:r>
        <w:rPr>
          <w:sz w:val="20"/>
        </w:rPr>
        <w:t xml:space="preserve">Для получения действительного среднесуточного значения неучтенными могут быть не более пяти средних получасовых значений в день, полученных с нарушением функционирования или технического обслуживания системы непрерывных измерений. Неучтенными могут быть не более десяти среднесуточных значений в год, полученных с нарушением функционирования или технического обслуживания системы непрерывных измерений.</w:t>
      </w:r>
    </w:p>
    <w:bookmarkStart w:id="2778" w:name="P2778"/>
    <w:bookmarkEnd w:id="2778"/>
    <w:p>
      <w:pPr>
        <w:pStyle w:val="1"/>
        <w:spacing w:before="200" w:line-rule="auto"/>
        <w:jc w:val="both"/>
      </w:pPr>
      <w:r>
        <w:rPr>
          <w:sz w:val="20"/>
        </w:rPr>
        <w:t xml:space="preserve">    1.3.  Средние  значения  за период отбора, а также средние значения при</w:t>
      </w:r>
    </w:p>
    <w:p>
      <w:pPr>
        <w:pStyle w:val="1"/>
        <w:jc w:val="both"/>
      </w:pPr>
      <w:r>
        <w:rPr>
          <w:sz w:val="20"/>
        </w:rPr>
        <w:t xml:space="preserve">проведении   периодических   измерений   HF,   HCl  и  SO   определяются  в</w:t>
      </w:r>
    </w:p>
    <w:p>
      <w:pPr>
        <w:pStyle w:val="1"/>
        <w:jc w:val="both"/>
      </w:pPr>
      <w:r>
        <w:rPr>
          <w:sz w:val="20"/>
        </w:rPr>
        <w:t xml:space="preserve">                                                         2</w:t>
      </w:r>
    </w:p>
    <w:p>
      <w:pPr>
        <w:pStyle w:val="1"/>
        <w:jc w:val="both"/>
      </w:pPr>
      <w:r>
        <w:rPr>
          <w:sz w:val="20"/>
        </w:rPr>
        <w:t xml:space="preserve">соответствии  с  требованиями  </w:t>
      </w:r>
      <w:hyperlink w:history="0" w:anchor="P814" w:tooltip="e) порядок и частота взятия образцов и проведения измерений с учетом условий, установленных для мониторинга выбросов;">
        <w:r>
          <w:rPr>
            <w:sz w:val="20"/>
            <w:color w:val="0000ff"/>
          </w:rPr>
          <w:t xml:space="preserve">статей 45 (1) "e"</w:t>
        </w:r>
      </w:hyperlink>
      <w:r>
        <w:rPr>
          <w:sz w:val="20"/>
        </w:rPr>
        <w:t xml:space="preserve">, </w:t>
      </w:r>
      <w:hyperlink w:history="0" w:anchor="P851" w:tooltip="3. Компетентный орган определяет расположение мест взятия образцов или контрольно-измерительных точек, используемых при мониторинге выбросов.">
        <w:r>
          <w:rPr>
            <w:sz w:val="20"/>
            <w:color w:val="0000ff"/>
          </w:rPr>
          <w:t xml:space="preserve">48 (3)</w:t>
        </w:r>
      </w:hyperlink>
      <w:r>
        <w:rPr>
          <w:sz w:val="20"/>
        </w:rPr>
        <w:t xml:space="preserve"> и </w:t>
      </w:r>
      <w:hyperlink w:history="0" w:anchor="P2669" w:tooltip="1. Технологии измерения">
        <w:r>
          <w:rPr>
            <w:sz w:val="20"/>
            <w:color w:val="0000ff"/>
          </w:rPr>
          <w:t xml:space="preserve">пункта 1 части 6</w:t>
        </w:r>
      </w:hyperlink>
    </w:p>
    <w:p>
      <w:pPr>
        <w:pStyle w:val="1"/>
        <w:jc w:val="both"/>
      </w:pPr>
      <w:r>
        <w:rPr>
          <w:sz w:val="20"/>
        </w:rPr>
        <w:t xml:space="preserve">настоящего Приложения.</w:t>
      </w:r>
    </w:p>
    <w:bookmarkStart w:id="2783" w:name="P2783"/>
    <w:bookmarkEnd w:id="2783"/>
    <w:p>
      <w:pPr>
        <w:pStyle w:val="0"/>
        <w:ind w:firstLine="540"/>
        <w:jc w:val="both"/>
      </w:pPr>
      <w:r>
        <w:rPr>
          <w:sz w:val="20"/>
        </w:rPr>
        <w:t xml:space="preserve">2. Пороговые значения выбросов в воду</w:t>
      </w:r>
    </w:p>
    <w:p>
      <w:pPr>
        <w:pStyle w:val="0"/>
        <w:spacing w:before="200" w:line-rule="auto"/>
        <w:ind w:firstLine="540"/>
        <w:jc w:val="both"/>
      </w:pPr>
      <w:r>
        <w:rPr>
          <w:sz w:val="20"/>
        </w:rPr>
        <w:t xml:space="preserve">Пороговые значения выбросов в воду считаются соблюденными, если:</w:t>
      </w:r>
    </w:p>
    <w:p>
      <w:pPr>
        <w:pStyle w:val="0"/>
        <w:spacing w:before="200" w:line-rule="auto"/>
        <w:ind w:firstLine="540"/>
        <w:jc w:val="both"/>
      </w:pPr>
      <w:r>
        <w:rPr>
          <w:sz w:val="20"/>
        </w:rPr>
        <w:t xml:space="preserve">a) для общего количества взвешенных твердых частиц 95% и 100% измеренных значений не превышают соответствующие пороговые значения выбросов, как установлено в </w:t>
      </w:r>
      <w:hyperlink w:history="0" w:anchor="P2620" w:tooltip="Часть 5">
        <w:r>
          <w:rPr>
            <w:sz w:val="20"/>
            <w:color w:val="0000ff"/>
          </w:rPr>
          <w:t xml:space="preserve">части 5</w:t>
        </w:r>
      </w:hyperlink>
      <w:r>
        <w:rPr>
          <w:sz w:val="20"/>
        </w:rPr>
        <w:t xml:space="preserve"> настоящего Приложения;</w:t>
      </w:r>
    </w:p>
    <w:p>
      <w:pPr>
        <w:pStyle w:val="0"/>
        <w:spacing w:before="200" w:line-rule="auto"/>
        <w:ind w:firstLine="540"/>
        <w:jc w:val="both"/>
      </w:pPr>
      <w:r>
        <w:rPr>
          <w:sz w:val="20"/>
        </w:rPr>
        <w:t xml:space="preserve">b) для тяжелых металлов (Hg, Cd, TI, As, Pb, Cr, Cu, Ni и Zn) результаты не более одного измерения в год превышают пороговые значения выбросов, установленные в части 5 настоящего Приложения; или, если государства-члены ЕС предусматривают взятие более 20 проб в год, - результаты не более 5% от числа этих проб превышают пороговые значения выбросов, установленные в части 5 настоящего Приложения;</w:t>
      </w:r>
    </w:p>
    <w:p>
      <w:pPr>
        <w:pStyle w:val="0"/>
        <w:spacing w:before="200" w:line-rule="auto"/>
        <w:ind w:firstLine="540"/>
        <w:jc w:val="both"/>
      </w:pPr>
      <w:r>
        <w:rPr>
          <w:sz w:val="20"/>
        </w:rPr>
        <w:t xml:space="preserve">c) для диоксинов и фуранов результаты измерений не превышают пороговые значения выбросов, установленные в </w:t>
      </w:r>
      <w:hyperlink w:history="0" w:anchor="P2620" w:tooltip="Часть 5">
        <w:r>
          <w:rPr>
            <w:sz w:val="20"/>
            <w:color w:val="0000ff"/>
          </w:rPr>
          <w:t xml:space="preserve">части 5</w:t>
        </w:r>
      </w:hyperlink>
      <w:r>
        <w:rPr>
          <w:sz w:val="20"/>
        </w:rPr>
        <w:t xml:space="preserve"> настоящего Приложения.</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 VII</w:t>
      </w:r>
    </w:p>
    <w:p>
      <w:pPr>
        <w:pStyle w:val="0"/>
        <w:jc w:val="right"/>
      </w:pPr>
      <w:r>
        <w:rPr>
          <w:sz w:val="20"/>
        </w:rPr>
      </w:r>
    </w:p>
    <w:bookmarkStart w:id="2795" w:name="P2795"/>
    <w:bookmarkEnd w:id="2795"/>
    <w:p>
      <w:pPr>
        <w:pStyle w:val="2"/>
        <w:jc w:val="center"/>
      </w:pPr>
      <w:r>
        <w:rPr>
          <w:sz w:val="20"/>
        </w:rPr>
        <w:t xml:space="preserve">ТЕХНИЧЕСКИЕ ПОЛОЖЕНИЯ</w:t>
      </w:r>
    </w:p>
    <w:p>
      <w:pPr>
        <w:pStyle w:val="2"/>
        <w:jc w:val="center"/>
      </w:pPr>
      <w:r>
        <w:rPr>
          <w:sz w:val="20"/>
        </w:rPr>
        <w:t xml:space="preserve">ДЛЯ УСТАНОВОК И ВИДОВ ДЕЯТЕЛЬНОСТИ, В КОТОРЫХ</w:t>
      </w:r>
    </w:p>
    <w:p>
      <w:pPr>
        <w:pStyle w:val="2"/>
        <w:jc w:val="center"/>
      </w:pPr>
      <w:r>
        <w:rPr>
          <w:sz w:val="20"/>
        </w:rPr>
        <w:t xml:space="preserve">ИСПОЛЬЗУЮТСЯ ОРГАНИЧЕСКИЕ РАСТВОРИТЕЛИ</w:t>
      </w:r>
    </w:p>
    <w:p>
      <w:pPr>
        <w:pStyle w:val="0"/>
        <w:jc w:val="center"/>
      </w:pPr>
      <w:r>
        <w:rPr>
          <w:sz w:val="20"/>
        </w:rPr>
      </w:r>
    </w:p>
    <w:bookmarkStart w:id="2799" w:name="P2799"/>
    <w:bookmarkEnd w:id="2799"/>
    <w:p>
      <w:pPr>
        <w:pStyle w:val="0"/>
        <w:outlineLvl w:val="1"/>
        <w:jc w:val="center"/>
      </w:pPr>
      <w:r>
        <w:rPr>
          <w:sz w:val="20"/>
        </w:rPr>
        <w:t xml:space="preserve">Часть 1</w:t>
      </w:r>
    </w:p>
    <w:p>
      <w:pPr>
        <w:pStyle w:val="0"/>
        <w:jc w:val="center"/>
      </w:pPr>
      <w:r>
        <w:rPr>
          <w:sz w:val="20"/>
        </w:rPr>
      </w:r>
    </w:p>
    <w:p>
      <w:pPr>
        <w:pStyle w:val="0"/>
        <w:jc w:val="center"/>
      </w:pPr>
      <w:r>
        <w:rPr>
          <w:sz w:val="20"/>
        </w:rPr>
        <w:t xml:space="preserve">Виды деятельности</w:t>
      </w:r>
    </w:p>
    <w:p>
      <w:pPr>
        <w:pStyle w:val="0"/>
        <w:jc w:val="center"/>
      </w:pPr>
      <w:r>
        <w:rPr>
          <w:sz w:val="20"/>
        </w:rPr>
      </w:r>
    </w:p>
    <w:p>
      <w:pPr>
        <w:pStyle w:val="0"/>
        <w:ind w:firstLine="540"/>
        <w:jc w:val="both"/>
      </w:pPr>
      <w:r>
        <w:rPr>
          <w:sz w:val="20"/>
        </w:rPr>
        <w:t xml:space="preserve">1. В каждом последующем пункте вид деятельности включает очистку оборудования, но не очистку продукции, если не предусмотрено иное.</w:t>
      </w:r>
    </w:p>
    <w:p>
      <w:pPr>
        <w:pStyle w:val="0"/>
        <w:spacing w:before="200" w:line-rule="auto"/>
        <w:ind w:firstLine="540"/>
        <w:jc w:val="both"/>
      </w:pPr>
      <w:r>
        <w:rPr>
          <w:sz w:val="20"/>
        </w:rPr>
        <w:t xml:space="preserve">2. Адгезивное покрытие</w:t>
      </w:r>
    </w:p>
    <w:p>
      <w:pPr>
        <w:pStyle w:val="0"/>
        <w:spacing w:before="200" w:line-rule="auto"/>
        <w:ind w:firstLine="540"/>
        <w:jc w:val="both"/>
      </w:pPr>
      <w:r>
        <w:rPr>
          <w:sz w:val="20"/>
        </w:rPr>
        <w:t xml:space="preserve">Адгезивное покрытие - это любая деятельность, в ходе которой адгезив применяется к поверхности предмета, за исключением адгезивного покрытия и ламинирования, связанного с печатной деятельностью.</w:t>
      </w:r>
    </w:p>
    <w:p>
      <w:pPr>
        <w:pStyle w:val="0"/>
        <w:spacing w:before="200" w:line-rule="auto"/>
        <w:ind w:firstLine="540"/>
        <w:jc w:val="both"/>
      </w:pPr>
      <w:r>
        <w:rPr>
          <w:sz w:val="20"/>
        </w:rPr>
        <w:t xml:space="preserve">3. Покрытие</w:t>
      </w:r>
    </w:p>
    <w:p>
      <w:pPr>
        <w:pStyle w:val="0"/>
        <w:spacing w:before="200" w:line-rule="auto"/>
        <w:ind w:firstLine="540"/>
        <w:jc w:val="both"/>
      </w:pPr>
      <w:r>
        <w:rPr>
          <w:sz w:val="20"/>
        </w:rPr>
        <w:t xml:space="preserve">Покрытие - это любая деятельность, в ходе которой непрерывная пленка однократного или многократного использования применяется к:</w:t>
      </w:r>
    </w:p>
    <w:p>
      <w:pPr>
        <w:pStyle w:val="0"/>
        <w:spacing w:before="200" w:line-rule="auto"/>
        <w:ind w:firstLine="540"/>
        <w:jc w:val="both"/>
      </w:pPr>
      <w:r>
        <w:rPr>
          <w:sz w:val="20"/>
        </w:rPr>
        <w:t xml:space="preserve">a) любому из следующих транспортных средств:</w:t>
      </w:r>
    </w:p>
    <w:p>
      <w:pPr>
        <w:pStyle w:val="0"/>
        <w:spacing w:before="200" w:line-rule="auto"/>
        <w:ind w:firstLine="540"/>
        <w:jc w:val="both"/>
      </w:pPr>
      <w:r>
        <w:rPr>
          <w:sz w:val="20"/>
        </w:rPr>
        <w:t xml:space="preserve">i) новым автомобилям, определенным как транспортные средства категории M1 в </w:t>
      </w:r>
      <w:hyperlink w:history="0" r:id="rId93" w:tooltip="Директива N 2007/46/ЕС Европейского парламента и Совета Европейского Союза &quot;Об установлении правовых основ для одобрения моторных транспортных средств и их прицепов, а также систем, компонентов и технических узлов, предназначенных для таких транспортных средств (Рамочная Директива)&quot; [рус., англ.] (Вместе с Приложениями 1 - 21) (Принята в г. Брюсселе 05.09.2007) (с изм. и доп. от 12.12.2017) ------------ Утратил силу или отменен {КонсультантПлюс}">
        <w:r>
          <w:rPr>
            <w:sz w:val="20"/>
            <w:color w:val="0000ff"/>
          </w:rPr>
          <w:t xml:space="preserve">Директиве</w:t>
        </w:r>
      </w:hyperlink>
      <w:r>
        <w:rPr>
          <w:sz w:val="20"/>
        </w:rPr>
        <w:t xml:space="preserve"> 2007/46/ЕС Европейского парламента и Совета ЕС от 5 сентября 2007 г., устанавливающая правовые основы для одобрения моторных транспортных средств и их прицепов, а также систем, компонентов и отдельных технических узлов, предназначенных для таких транспортных средств &lt;*&gt;, а также категории N1, если их покрытие осуществляется на тех же установках, что и транспортные средства категории M1;</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ОЖ N L 263, 9.10.2007, стр. 1.</w:t>
      </w:r>
    </w:p>
    <w:p>
      <w:pPr>
        <w:pStyle w:val="0"/>
        <w:ind w:firstLine="540"/>
        <w:jc w:val="both"/>
      </w:pPr>
      <w:r>
        <w:rPr>
          <w:sz w:val="20"/>
        </w:rPr>
      </w:r>
    </w:p>
    <w:p>
      <w:pPr>
        <w:pStyle w:val="0"/>
        <w:ind w:firstLine="540"/>
        <w:jc w:val="both"/>
      </w:pPr>
      <w:r>
        <w:rPr>
          <w:sz w:val="20"/>
        </w:rPr>
        <w:t xml:space="preserve">ii) кабинам грузовиков, определенных в качестве жилого помещения для водителей, а также помещения для технического оборудования, транспортных средств категорий N2 и N3 в </w:t>
      </w:r>
      <w:hyperlink w:history="0" r:id="rId94" w:tooltip="Директива N 2007/46/ЕС Европейского парламента и Совета Европейского Союза &quot;Об установлении правовых основ для одобрения моторных транспортных средств и их прицепов, а также систем, компонентов и технических узлов, предназначенных для таких транспортных средств (Рамочная Директива)&quot; [рус., англ.] (Вместе с Приложениями 1 - 21) (Принята в г. Брюсселе 05.09.2007) (с изм. и доп. от 12.12.2017) ------------ Утратил силу или отменен {КонсультантПлюс}">
        <w:r>
          <w:rPr>
            <w:sz w:val="20"/>
            <w:color w:val="0000ff"/>
          </w:rPr>
          <w:t xml:space="preserve">Директиве</w:t>
        </w:r>
      </w:hyperlink>
      <w:r>
        <w:rPr>
          <w:sz w:val="20"/>
        </w:rPr>
        <w:t xml:space="preserve"> 2007/46/ЕС;</w:t>
      </w:r>
    </w:p>
    <w:p>
      <w:pPr>
        <w:pStyle w:val="0"/>
        <w:spacing w:before="200" w:line-rule="auto"/>
        <w:ind w:firstLine="540"/>
        <w:jc w:val="both"/>
      </w:pPr>
      <w:r>
        <w:rPr>
          <w:sz w:val="20"/>
        </w:rPr>
        <w:t xml:space="preserve">iii) фургонам и грузовикам, определенным как транспортные средства категорий N1, N2 и N3 в </w:t>
      </w:r>
      <w:hyperlink w:history="0" r:id="rId95" w:tooltip="Директива N 2007/46/ЕС Европейского парламента и Совета Европейского Союза &quot;Об установлении правовых основ для одобрения моторных транспортных средств и их прицепов, а также систем, компонентов и технических узлов, предназначенных для таких транспортных средств (Рамочная Директива)&quot; [рус., англ.] (Вместе с Приложениями 1 - 21) (Принята в г. Брюсселе 05.09.2007) (с изм. и доп. от 12.12.2017) ------------ Утратил силу или отменен {КонсультантПлюс}">
        <w:r>
          <w:rPr>
            <w:sz w:val="20"/>
            <w:color w:val="0000ff"/>
          </w:rPr>
          <w:t xml:space="preserve">Директиве</w:t>
        </w:r>
      </w:hyperlink>
      <w:r>
        <w:rPr>
          <w:sz w:val="20"/>
        </w:rPr>
        <w:t xml:space="preserve"> 2007/46/ЕС, за исключением кабин грузовиков;</w:t>
      </w:r>
    </w:p>
    <w:p>
      <w:pPr>
        <w:pStyle w:val="0"/>
        <w:spacing w:before="200" w:line-rule="auto"/>
        <w:ind w:firstLine="540"/>
        <w:jc w:val="both"/>
      </w:pPr>
      <w:r>
        <w:rPr>
          <w:sz w:val="20"/>
        </w:rPr>
        <w:t xml:space="preserve">iv) автобусам, определенным как транспортные средства категорий M2 и M3 в </w:t>
      </w:r>
      <w:hyperlink w:history="0" r:id="rId96" w:tooltip="Директива N 2007/46/ЕС Европейского парламента и Совета Европейского Союза &quot;Об установлении правовых основ для одобрения моторных транспортных средств и их прицепов, а также систем, компонентов и технических узлов, предназначенных для таких транспортных средств (Рамочная Директива)&quot; [рус., англ.] (Вместе с Приложениями 1 - 21) (Принята в г. Брюсселе 05.09.2007) (с изм. и доп. от 12.12.2017) ------------ Утратил силу или отменен {КонсультантПлюс}">
        <w:r>
          <w:rPr>
            <w:sz w:val="20"/>
            <w:color w:val="0000ff"/>
          </w:rPr>
          <w:t xml:space="preserve">Директиве</w:t>
        </w:r>
      </w:hyperlink>
      <w:r>
        <w:rPr>
          <w:sz w:val="20"/>
        </w:rPr>
        <w:t xml:space="preserve"> 2007/46/ЕС;</w:t>
      </w:r>
    </w:p>
    <w:p>
      <w:pPr>
        <w:pStyle w:val="0"/>
        <w:spacing w:before="200" w:line-rule="auto"/>
        <w:ind w:firstLine="540"/>
        <w:jc w:val="both"/>
      </w:pPr>
      <w:r>
        <w:rPr>
          <w:sz w:val="20"/>
        </w:rPr>
        <w:t xml:space="preserve">v) прицепам, определенным в категориях O1, O2, O3 и O4 в </w:t>
      </w:r>
      <w:hyperlink w:history="0" r:id="rId97" w:tooltip="Директива N 2007/46/ЕС Европейского парламента и Совета Европейского Союза &quot;Об установлении правовых основ для одобрения моторных транспортных средств и их прицепов, а также систем, компонентов и технических узлов, предназначенных для таких транспортных средств (Рамочная Директива)&quot; [рус., англ.] (Вместе с Приложениями 1 - 21) (Принята в г. Брюсселе 05.09.2007) (с изм. и доп. от 12.12.2017) ------------ Утратил силу или отменен {КонсультантПлюс}">
        <w:r>
          <w:rPr>
            <w:sz w:val="20"/>
            <w:color w:val="0000ff"/>
          </w:rPr>
          <w:t xml:space="preserve">Директиве</w:t>
        </w:r>
      </w:hyperlink>
      <w:r>
        <w:rPr>
          <w:sz w:val="20"/>
        </w:rPr>
        <w:t xml:space="preserve"> 2007/46/ЕС;</w:t>
      </w:r>
    </w:p>
    <w:p>
      <w:pPr>
        <w:pStyle w:val="0"/>
        <w:spacing w:before="200" w:line-rule="auto"/>
        <w:ind w:firstLine="540"/>
        <w:jc w:val="both"/>
      </w:pPr>
      <w:r>
        <w:rPr>
          <w:sz w:val="20"/>
        </w:rPr>
        <w:t xml:space="preserve">b) металлическим и пластиковым поверхностям, в том числе поверхностям аэропланов, кораблей, поездов и т.д.;</w:t>
      </w:r>
    </w:p>
    <w:p>
      <w:pPr>
        <w:pStyle w:val="0"/>
        <w:spacing w:before="200" w:line-rule="auto"/>
        <w:ind w:firstLine="540"/>
        <w:jc w:val="both"/>
      </w:pPr>
      <w:r>
        <w:rPr>
          <w:sz w:val="20"/>
        </w:rPr>
        <w:t xml:space="preserve">c) деревянным поверхностям;</w:t>
      </w:r>
    </w:p>
    <w:p>
      <w:pPr>
        <w:pStyle w:val="0"/>
        <w:spacing w:before="200" w:line-rule="auto"/>
        <w:ind w:firstLine="540"/>
        <w:jc w:val="both"/>
      </w:pPr>
      <w:r>
        <w:rPr>
          <w:sz w:val="20"/>
        </w:rPr>
        <w:t xml:space="preserve">d) текстильным, матерчатым, пленочным и бумажным поверхностям;</w:t>
      </w:r>
    </w:p>
    <w:p>
      <w:pPr>
        <w:pStyle w:val="0"/>
        <w:spacing w:before="200" w:line-rule="auto"/>
        <w:ind w:firstLine="540"/>
        <w:jc w:val="both"/>
      </w:pPr>
      <w:r>
        <w:rPr>
          <w:sz w:val="20"/>
        </w:rPr>
        <w:t xml:space="preserve">e) коже.</w:t>
      </w:r>
    </w:p>
    <w:p>
      <w:pPr>
        <w:pStyle w:val="0"/>
        <w:spacing w:before="200" w:line-rule="auto"/>
        <w:ind w:firstLine="540"/>
        <w:jc w:val="both"/>
      </w:pPr>
      <w:r>
        <w:rPr>
          <w:sz w:val="20"/>
        </w:rPr>
        <w:t xml:space="preserve">Покрытие не включает покрытие субстрата металлом с использованием электрофорезных технологий, а также технологий химического распыления. В случае если процесс покрытия включает этап, где осуществляется печать того же предмета с использованием любых технологий, такая печать считается частью процесса покрытия. При этом печать, осуществляемая как самостоятельный вид деятельности, не включается, но на нее может распространяться </w:t>
      </w:r>
      <w:hyperlink w:history="0" w:anchor="P937" w:tooltip="Глава V. СПЕЦИАЛЬНЫЕ ПОЛОЖЕНИЯ">
        <w:r>
          <w:rPr>
            <w:sz w:val="20"/>
            <w:color w:val="0000ff"/>
          </w:rPr>
          <w:t xml:space="preserve">глава V</w:t>
        </w:r>
      </w:hyperlink>
      <w:r>
        <w:rPr>
          <w:sz w:val="20"/>
        </w:rPr>
        <w:t xml:space="preserve"> настоящей Директивы, если такая деятельность подпадает под действие настоящей Директивы.</w:t>
      </w:r>
    </w:p>
    <w:p>
      <w:pPr>
        <w:pStyle w:val="0"/>
        <w:spacing w:before="200" w:line-rule="auto"/>
        <w:ind w:firstLine="540"/>
        <w:jc w:val="both"/>
      </w:pPr>
      <w:r>
        <w:rPr>
          <w:sz w:val="20"/>
        </w:rPr>
        <w:t xml:space="preserve">4. Рулонное покрытие</w:t>
      </w:r>
    </w:p>
    <w:p>
      <w:pPr>
        <w:pStyle w:val="0"/>
        <w:spacing w:before="200" w:line-rule="auto"/>
        <w:ind w:firstLine="540"/>
        <w:jc w:val="both"/>
      </w:pPr>
      <w:r>
        <w:rPr>
          <w:sz w:val="20"/>
        </w:rPr>
        <w:t xml:space="preserve">Рулонное покрытие - это любая деятельность, в ходе которой рулонная сталь, нержавеющая сталь, сталь с покрытием, медные сплавы или алюминиевые ленты покрываются пленкой или пластиной в качестве непрерывного производства.</w:t>
      </w:r>
    </w:p>
    <w:p>
      <w:pPr>
        <w:pStyle w:val="0"/>
        <w:spacing w:before="200" w:line-rule="auto"/>
        <w:ind w:firstLine="540"/>
        <w:jc w:val="both"/>
      </w:pPr>
      <w:r>
        <w:rPr>
          <w:sz w:val="20"/>
        </w:rPr>
        <w:t xml:space="preserve">5. Сухая очистка</w:t>
      </w:r>
    </w:p>
    <w:p>
      <w:pPr>
        <w:pStyle w:val="0"/>
        <w:spacing w:before="200" w:line-rule="auto"/>
        <w:ind w:firstLine="540"/>
        <w:jc w:val="both"/>
      </w:pPr>
      <w:r>
        <w:rPr>
          <w:sz w:val="20"/>
        </w:rPr>
        <w:t xml:space="preserve">Сухая очистка - это любая промышленная или коммерческая деятельность, в которой используются летучие органические соединения для очистки одежды, мебели и иных аналогичных товаров потребления, за исключением ручного выведения пятен в текстильной и швейной промышленности.</w:t>
      </w:r>
    </w:p>
    <w:p>
      <w:pPr>
        <w:pStyle w:val="0"/>
        <w:spacing w:before="200" w:line-rule="auto"/>
        <w:ind w:firstLine="540"/>
        <w:jc w:val="both"/>
      </w:pPr>
      <w:r>
        <w:rPr>
          <w:sz w:val="20"/>
        </w:rPr>
        <w:t xml:space="preserve">6. Производство обуви</w:t>
      </w:r>
    </w:p>
    <w:p>
      <w:pPr>
        <w:pStyle w:val="0"/>
        <w:spacing w:before="200" w:line-rule="auto"/>
        <w:ind w:firstLine="540"/>
        <w:jc w:val="both"/>
      </w:pPr>
      <w:r>
        <w:rPr>
          <w:sz w:val="20"/>
        </w:rPr>
        <w:t xml:space="preserve">Производство обуви - это любая деятельность по производству обуви или пар обуви.</w:t>
      </w:r>
    </w:p>
    <w:p>
      <w:pPr>
        <w:pStyle w:val="0"/>
        <w:spacing w:before="200" w:line-rule="auto"/>
        <w:ind w:firstLine="540"/>
        <w:jc w:val="both"/>
      </w:pPr>
      <w:r>
        <w:rPr>
          <w:sz w:val="20"/>
        </w:rPr>
        <w:t xml:space="preserve">7. Производство смесей для покрытия, лаков, чернил и адгезивов</w:t>
      </w:r>
    </w:p>
    <w:p>
      <w:pPr>
        <w:pStyle w:val="0"/>
        <w:spacing w:before="200" w:line-rule="auto"/>
        <w:ind w:firstLine="540"/>
        <w:jc w:val="both"/>
      </w:pPr>
      <w:r>
        <w:rPr>
          <w:sz w:val="20"/>
        </w:rPr>
        <w:t xml:space="preserve">К данному пункту относится производство вышеперечисленных конечных продуктов, а также промежуточных продуктов, если оно осуществляется на том же участке путем смешивания пигментов, смол и адгезивных материалов с органическим растворителем или иным средством, в том числе дисперсия и предварительная дисперсия, регулировка вязкости и оттенка, а также погрузка конечного продукта в контейнеры.</w:t>
      </w:r>
    </w:p>
    <w:p>
      <w:pPr>
        <w:pStyle w:val="0"/>
        <w:spacing w:before="200" w:line-rule="auto"/>
        <w:ind w:firstLine="540"/>
        <w:jc w:val="both"/>
      </w:pPr>
      <w:r>
        <w:rPr>
          <w:sz w:val="20"/>
        </w:rPr>
        <w:t xml:space="preserve">8. Производство фармацевтических продуктов</w:t>
      </w:r>
    </w:p>
    <w:p>
      <w:pPr>
        <w:pStyle w:val="0"/>
        <w:spacing w:before="200" w:line-rule="auto"/>
        <w:ind w:firstLine="540"/>
        <w:jc w:val="both"/>
      </w:pPr>
      <w:r>
        <w:rPr>
          <w:sz w:val="20"/>
        </w:rPr>
        <w:t xml:space="preserve">К данному пункту относятся химический синтез, ферментация, извлечение, составление формулы и чистовая обработка фармацевтических продуктов, а также производство промежуточных продуктов, если оно осуществляется на том же участке.</w:t>
      </w:r>
    </w:p>
    <w:p>
      <w:pPr>
        <w:pStyle w:val="0"/>
        <w:spacing w:before="200" w:line-rule="auto"/>
        <w:ind w:firstLine="540"/>
        <w:jc w:val="both"/>
      </w:pPr>
      <w:r>
        <w:rPr>
          <w:sz w:val="20"/>
        </w:rPr>
        <w:t xml:space="preserve">9. Печать</w:t>
      </w:r>
    </w:p>
    <w:p>
      <w:pPr>
        <w:pStyle w:val="0"/>
        <w:spacing w:before="200" w:line-rule="auto"/>
        <w:ind w:firstLine="540"/>
        <w:jc w:val="both"/>
      </w:pPr>
      <w:r>
        <w:rPr>
          <w:sz w:val="20"/>
        </w:rPr>
        <w:t xml:space="preserve">Печать - это любое воспроизводство текста и/или изображения, где чернила с помощью печатной формы переносятся на любой тип поверхности. Печать включает связанные с ней технологии лакировки, покрытия и ламинирования. При этом </w:t>
      </w:r>
      <w:hyperlink w:history="0" w:anchor="P937" w:tooltip="Глава V. СПЕЦИАЛЬНЫЕ ПОЛОЖЕНИЯ">
        <w:r>
          <w:rPr>
            <w:sz w:val="20"/>
            <w:color w:val="0000ff"/>
          </w:rPr>
          <w:t xml:space="preserve">глава V</w:t>
        </w:r>
      </w:hyperlink>
      <w:r>
        <w:rPr>
          <w:sz w:val="20"/>
        </w:rPr>
        <w:t xml:space="preserve"> настоящей Директивы распространяется только на следующие подвиды этой деятельности:</w:t>
      </w:r>
    </w:p>
    <w:p>
      <w:pPr>
        <w:pStyle w:val="0"/>
        <w:spacing w:before="200" w:line-rule="auto"/>
        <w:ind w:firstLine="540"/>
        <w:jc w:val="both"/>
      </w:pPr>
      <w:r>
        <w:rPr>
          <w:sz w:val="20"/>
        </w:rPr>
        <w:t xml:space="preserve">a) флексография - способ печати с использованием печатной формы из резины или эластичных фотополимеров, когда зона печати находится выше непечатаемой зоны; используются жидкие чернила, которые высыхают с испарением;</w:t>
      </w:r>
    </w:p>
    <w:p>
      <w:pPr>
        <w:pStyle w:val="0"/>
        <w:spacing w:before="200" w:line-rule="auto"/>
        <w:ind w:firstLine="540"/>
        <w:jc w:val="both"/>
      </w:pPr>
      <w:r>
        <w:rPr>
          <w:sz w:val="20"/>
        </w:rPr>
        <w:t xml:space="preserve">b) рулонная офсетная печать с термофиксацией - способ рулонной печати с использованием печатной формы, где зона печати и непечатаемая зона находятся на одном уровне; рулонная печать означает, что материал, подлежащий печати, подается в машину с катушки, а не отдельными листами. Непечатаемая зона обрабатывается, чтобы притягивать воду и отталкивать чернила. Зона печати обрабатывается, чтобы притягивать чернила и переносить их на поверхность, которая подлежит печати. Вода испаряется в печи, где горячий воздух используется для подогрева печатаемого материала;</w:t>
      </w:r>
    </w:p>
    <w:p>
      <w:pPr>
        <w:pStyle w:val="0"/>
        <w:spacing w:before="200" w:line-rule="auto"/>
        <w:ind w:firstLine="540"/>
        <w:jc w:val="both"/>
      </w:pPr>
      <w:r>
        <w:rPr>
          <w:sz w:val="20"/>
        </w:rPr>
        <w:t xml:space="preserve">c) ламинирование, связанное с процессом печати, - склеивание двух или нескольких гибких материалов для производства ламината;</w:t>
      </w:r>
    </w:p>
    <w:p>
      <w:pPr>
        <w:pStyle w:val="0"/>
        <w:spacing w:before="200" w:line-rule="auto"/>
        <w:ind w:firstLine="540"/>
        <w:jc w:val="both"/>
      </w:pPr>
      <w:r>
        <w:rPr>
          <w:sz w:val="20"/>
        </w:rPr>
        <w:t xml:space="preserve">d) печатная ротогравюра - способ ротационной печати, который используется при печати бумаги для журналов, брошюр, каталогов или аналогичной продукции; используются чернила, основанные на толуоле;</w:t>
      </w:r>
    </w:p>
    <w:p>
      <w:pPr>
        <w:pStyle w:val="0"/>
        <w:spacing w:before="200" w:line-rule="auto"/>
        <w:ind w:firstLine="540"/>
        <w:jc w:val="both"/>
      </w:pPr>
      <w:r>
        <w:rPr>
          <w:sz w:val="20"/>
        </w:rPr>
        <w:t xml:space="preserve">e) ротогравюра - способ печати с использованием цилиндрической печатной формы, когда зона печати находится ниже непечатаемой зоны; используются жидкие чернила, которые высыхают с испарением. Выемки заполняются чернилами, избыток которых удаляется с непечатаемой зоны до того, как поверхность печати соприкасается с цилиндром, и на нее переносятся чернила из выемки;</w:t>
      </w:r>
    </w:p>
    <w:p>
      <w:pPr>
        <w:pStyle w:val="0"/>
        <w:spacing w:before="200" w:line-rule="auto"/>
        <w:ind w:firstLine="540"/>
        <w:jc w:val="both"/>
      </w:pPr>
      <w:r>
        <w:rPr>
          <w:sz w:val="20"/>
        </w:rPr>
        <w:t xml:space="preserve">f) ротационная трафаретная печать - способ рулонной печати, когда чернила переносятся на поверхность печати путем выдавливания через пористую печатную форму, в которой зона печати открыта, а непечатаемая зона закрыта; используются жидкие чернила, которые высыхают с испарением. Рулонная печать означает, что материал, подлежащий печати, подается в машину с катушки, а не отдельными листами;</w:t>
      </w:r>
    </w:p>
    <w:p>
      <w:pPr>
        <w:pStyle w:val="0"/>
        <w:spacing w:before="200" w:line-rule="auto"/>
        <w:ind w:firstLine="540"/>
        <w:jc w:val="both"/>
      </w:pPr>
      <w:r>
        <w:rPr>
          <w:sz w:val="20"/>
        </w:rPr>
        <w:t xml:space="preserve">g) лакировка - деятельность посредством которой лак или адгезивное покрытие применяется к гибкому материалу для последующего скрепления печатью упакованного материала.</w:t>
      </w:r>
    </w:p>
    <w:p>
      <w:pPr>
        <w:pStyle w:val="0"/>
        <w:spacing w:before="200" w:line-rule="auto"/>
        <w:ind w:firstLine="540"/>
        <w:jc w:val="both"/>
      </w:pPr>
      <w:r>
        <w:rPr>
          <w:sz w:val="20"/>
        </w:rPr>
        <w:t xml:space="preserve">10. Преобразование каучука</w:t>
      </w:r>
    </w:p>
    <w:p>
      <w:pPr>
        <w:pStyle w:val="0"/>
        <w:spacing w:before="200" w:line-rule="auto"/>
        <w:ind w:firstLine="540"/>
        <w:jc w:val="both"/>
      </w:pPr>
      <w:r>
        <w:rPr>
          <w:sz w:val="20"/>
        </w:rPr>
        <w:t xml:space="preserve">Преобразование каучука - это деятельность по перемешиванию, измельчению, смешиванию, каландрование, экструзия и вулканизация натурального и синтетического каучука, а также любые дополнительные операции по преобразованию натурального и синтетического каучука в готовый продукт.</w:t>
      </w:r>
    </w:p>
    <w:p>
      <w:pPr>
        <w:pStyle w:val="0"/>
        <w:spacing w:before="200" w:line-rule="auto"/>
        <w:ind w:firstLine="540"/>
        <w:jc w:val="both"/>
      </w:pPr>
      <w:r>
        <w:rPr>
          <w:sz w:val="20"/>
        </w:rPr>
        <w:t xml:space="preserve">11. Очистка поверхности</w:t>
      </w:r>
    </w:p>
    <w:p>
      <w:pPr>
        <w:pStyle w:val="0"/>
        <w:spacing w:before="200" w:line-rule="auto"/>
        <w:ind w:firstLine="540"/>
        <w:jc w:val="both"/>
      </w:pPr>
      <w:r>
        <w:rPr>
          <w:sz w:val="20"/>
        </w:rPr>
        <w:t xml:space="preserve">Очистка поверхности - это любая деятельность, за исключением сухой очистки, где используются органические растворители для удаления загрязнения с поверхности материала, в том числе обезжиривание. Процесс очистки, состоящий из нескольких этапов и осуществляемый до или после иного вида деятельности, считается единой деятельностью по очистке поверхности. Эта деятельность относится не к очистке оборудования, а к очистке поверхности продукции.</w:t>
      </w:r>
    </w:p>
    <w:p>
      <w:pPr>
        <w:pStyle w:val="0"/>
        <w:spacing w:before="200" w:line-rule="auto"/>
        <w:ind w:firstLine="540"/>
        <w:jc w:val="both"/>
      </w:pPr>
      <w:r>
        <w:rPr>
          <w:sz w:val="20"/>
        </w:rPr>
        <w:t xml:space="preserve">12. Деятельность, связанная с извлечением растительного масла и животного жира, а также с очисткой растительного масла</w:t>
      </w:r>
    </w:p>
    <w:p>
      <w:pPr>
        <w:pStyle w:val="0"/>
        <w:spacing w:before="200" w:line-rule="auto"/>
        <w:ind w:firstLine="540"/>
        <w:jc w:val="both"/>
      </w:pPr>
      <w:r>
        <w:rPr>
          <w:sz w:val="20"/>
        </w:rPr>
        <w:t xml:space="preserve">К этому пункту относится любая деятельность по извлечению растительного масла из семян и иного растительного материала, обработке сухих остатков для производства кормов, очистке жиров и растительных масел, полученных из семян, растительного и/или животного вещества.</w:t>
      </w:r>
    </w:p>
    <w:p>
      <w:pPr>
        <w:pStyle w:val="0"/>
        <w:spacing w:before="200" w:line-rule="auto"/>
        <w:ind w:firstLine="540"/>
        <w:jc w:val="both"/>
      </w:pPr>
      <w:r>
        <w:rPr>
          <w:sz w:val="20"/>
        </w:rPr>
        <w:t xml:space="preserve">13. Повторная чистовая обработка транспортных средств</w:t>
      </w:r>
    </w:p>
    <w:p>
      <w:pPr>
        <w:pStyle w:val="0"/>
        <w:spacing w:before="200" w:line-rule="auto"/>
        <w:ind w:firstLine="540"/>
        <w:jc w:val="both"/>
      </w:pPr>
      <w:r>
        <w:rPr>
          <w:sz w:val="20"/>
        </w:rPr>
        <w:t xml:space="preserve">К данному пункту относится любая промышленная или коммерческая деятельность по покрытию или соответствующая операции по обезжириванию, где выполняется:</w:t>
      </w:r>
    </w:p>
    <w:p>
      <w:pPr>
        <w:pStyle w:val="0"/>
        <w:spacing w:before="200" w:line-rule="auto"/>
        <w:ind w:firstLine="540"/>
        <w:jc w:val="both"/>
      </w:pPr>
      <w:r>
        <w:rPr>
          <w:sz w:val="20"/>
        </w:rPr>
        <w:t xml:space="preserve">a) первоначальное покрытие дорожных транспортных средств, как определено в </w:t>
      </w:r>
      <w:hyperlink w:history="0" r:id="rId98" w:tooltip="Директива N 2007/46/ЕС Европейского парламента и Совета Европейского Союза &quot;Об установлении правовых основ для одобрения моторных транспортных средств и их прицепов, а также систем, компонентов и технических узлов, предназначенных для таких транспортных средств (Рамочная Директива)&quot; [рус., англ.] (Вместе с Приложениями 1 - 21) (Принята в г. Брюсселе 05.09.2007) (с изм. и доп. от 12.12.2017) ------------ Утратил силу или отменен {КонсультантПлюс}">
        <w:r>
          <w:rPr>
            <w:sz w:val="20"/>
            <w:color w:val="0000ff"/>
          </w:rPr>
          <w:t xml:space="preserve">Директиве</w:t>
        </w:r>
      </w:hyperlink>
      <w:r>
        <w:rPr>
          <w:sz w:val="20"/>
        </w:rPr>
        <w:t xml:space="preserve"> 2007/46/ЕС, или их частей материалами для повторной обработки, если этот процесс осуществляется за пределами первоначальной производственной линии;</w:t>
      </w:r>
    </w:p>
    <w:p>
      <w:pPr>
        <w:pStyle w:val="0"/>
        <w:spacing w:before="200" w:line-rule="auto"/>
        <w:ind w:firstLine="540"/>
        <w:jc w:val="both"/>
      </w:pPr>
      <w:r>
        <w:rPr>
          <w:sz w:val="20"/>
        </w:rPr>
        <w:t xml:space="preserve">b) покрытие прицепов (в том числе полуприцепов) (категория O в </w:t>
      </w:r>
      <w:hyperlink w:history="0" r:id="rId99" w:tooltip="Директива N 2007/46/ЕС Европейского парламента и Совета Европейского Союза &quot;Об установлении правовых основ для одобрения моторных транспортных средств и их прицепов, а также систем, компонентов и технических узлов, предназначенных для таких транспортных средств (Рамочная Директива)&quot; [рус., англ.] (Вместе с Приложениями 1 - 21) (Принята в г. Брюсселе 05.09.2007) (с изм. и доп. от 12.12.2017) ------------ Утратил силу или отменен {КонсультантПлюс}">
        <w:r>
          <w:rPr>
            <w:sz w:val="20"/>
            <w:color w:val="0000ff"/>
          </w:rPr>
          <w:t xml:space="preserve">Директиве</w:t>
        </w:r>
      </w:hyperlink>
      <w:r>
        <w:rPr>
          <w:sz w:val="20"/>
        </w:rPr>
        <w:t xml:space="preserve"> 2007/46/ЕС).</w:t>
      </w:r>
    </w:p>
    <w:p>
      <w:pPr>
        <w:pStyle w:val="0"/>
        <w:spacing w:before="200" w:line-rule="auto"/>
        <w:ind w:firstLine="540"/>
        <w:jc w:val="both"/>
      </w:pPr>
      <w:r>
        <w:rPr>
          <w:sz w:val="20"/>
        </w:rPr>
        <w:t xml:space="preserve">14. Покрытие обмоточного провода</w:t>
      </w:r>
    </w:p>
    <w:p>
      <w:pPr>
        <w:pStyle w:val="0"/>
        <w:spacing w:before="200" w:line-rule="auto"/>
        <w:ind w:firstLine="540"/>
        <w:jc w:val="both"/>
      </w:pPr>
      <w:r>
        <w:rPr>
          <w:sz w:val="20"/>
        </w:rPr>
        <w:t xml:space="preserve">Покрытие обмоточного провода - это любое покрытие металлических проводников, используемых для обмотки спиралей в трансформаторах и двигателях и т.д.</w:t>
      </w:r>
    </w:p>
    <w:p>
      <w:pPr>
        <w:pStyle w:val="0"/>
        <w:spacing w:before="200" w:line-rule="auto"/>
        <w:ind w:firstLine="540"/>
        <w:jc w:val="both"/>
      </w:pPr>
      <w:r>
        <w:rPr>
          <w:sz w:val="20"/>
        </w:rPr>
        <w:t xml:space="preserve">15. Пропитка древесины</w:t>
      </w:r>
    </w:p>
    <w:p>
      <w:pPr>
        <w:pStyle w:val="0"/>
        <w:spacing w:before="200" w:line-rule="auto"/>
        <w:ind w:firstLine="540"/>
        <w:jc w:val="both"/>
      </w:pPr>
      <w:r>
        <w:rPr>
          <w:sz w:val="20"/>
        </w:rPr>
        <w:t xml:space="preserve">Пропитка древесины - это деятельность по пропитке древесины антисептиком.</w:t>
      </w:r>
    </w:p>
    <w:p>
      <w:pPr>
        <w:pStyle w:val="0"/>
        <w:spacing w:before="200" w:line-rule="auto"/>
        <w:ind w:firstLine="540"/>
        <w:jc w:val="both"/>
      </w:pPr>
      <w:r>
        <w:rPr>
          <w:sz w:val="20"/>
        </w:rPr>
        <w:t xml:space="preserve">16. Ламинирование дерева и пластика</w:t>
      </w:r>
    </w:p>
    <w:p>
      <w:pPr>
        <w:pStyle w:val="0"/>
        <w:spacing w:before="200" w:line-rule="auto"/>
        <w:ind w:firstLine="540"/>
        <w:jc w:val="both"/>
      </w:pPr>
      <w:r>
        <w:rPr>
          <w:sz w:val="20"/>
        </w:rPr>
        <w:t xml:space="preserve">Ламинирование дерева и пластика - это способ склеивания дерева и/или пластика для производства ламината.</w:t>
      </w:r>
    </w:p>
    <w:p>
      <w:pPr>
        <w:pStyle w:val="0"/>
        <w:ind w:firstLine="540"/>
        <w:jc w:val="both"/>
      </w:pPr>
      <w:r>
        <w:rPr>
          <w:sz w:val="20"/>
        </w:rPr>
      </w:r>
    </w:p>
    <w:bookmarkStart w:id="2858" w:name="P2858"/>
    <w:bookmarkEnd w:id="2858"/>
    <w:p>
      <w:pPr>
        <w:pStyle w:val="0"/>
        <w:outlineLvl w:val="1"/>
        <w:jc w:val="center"/>
      </w:pPr>
      <w:r>
        <w:rPr>
          <w:sz w:val="20"/>
        </w:rPr>
        <w:t xml:space="preserve">Часть 2</w:t>
      </w:r>
    </w:p>
    <w:p>
      <w:pPr>
        <w:pStyle w:val="0"/>
        <w:jc w:val="center"/>
      </w:pPr>
      <w:r>
        <w:rPr>
          <w:sz w:val="20"/>
        </w:rPr>
      </w:r>
    </w:p>
    <w:p>
      <w:pPr>
        <w:pStyle w:val="0"/>
        <w:jc w:val="center"/>
      </w:pPr>
      <w:r>
        <w:rPr>
          <w:sz w:val="20"/>
        </w:rPr>
        <w:t xml:space="preserve">Предельные и пороговые значения выбросов</w:t>
      </w:r>
    </w:p>
    <w:p>
      <w:pPr>
        <w:pStyle w:val="0"/>
        <w:jc w:val="center"/>
      </w:pPr>
      <w:r>
        <w:rPr>
          <w:sz w:val="20"/>
        </w:rPr>
      </w:r>
    </w:p>
    <w:bookmarkStart w:id="2862" w:name="P2862"/>
    <w:bookmarkEnd w:id="2862"/>
    <w:p>
      <w:pPr>
        <w:pStyle w:val="0"/>
        <w:ind w:firstLine="540"/>
        <w:jc w:val="both"/>
      </w:pPr>
      <w:r>
        <w:rPr>
          <w:sz w:val="20"/>
        </w:rPr>
        <w:t xml:space="preserve">Пороговые значения выбросов для отработанных газов исчисляются при температуре 273,15 K, давлении 101,3 kPa.</w:t>
      </w:r>
    </w:p>
    <w:p>
      <w:pPr>
        <w:pStyle w:val="0"/>
        <w:ind w:firstLine="54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p>
      <w:pPr>
        <w:pStyle w:val="3"/>
        <w:jc w:val="both"/>
      </w:pPr>
      <w:r>
        <w:rPr>
          <w:sz w:val="14"/>
        </w:rPr>
        <w:t xml:space="preserve">┌──┬────────────────┬────────────┬────────────┬──────────────────────┬─────────────────────────┬─────────────────┐</w:t>
      </w:r>
    </w:p>
    <w:p>
      <w:pPr>
        <w:pStyle w:val="3"/>
        <w:jc w:val="both"/>
      </w:pPr>
      <w:r>
        <w:rPr>
          <w:sz w:val="14"/>
        </w:rPr>
        <w:t xml:space="preserve">│  │  Деятельность  │ Предельное │  Пороговые │   Неконтролируемые   │Общие пороговые значения │   Специальные   │</w:t>
      </w:r>
    </w:p>
    <w:p>
      <w:pPr>
        <w:pStyle w:val="3"/>
        <w:jc w:val="both"/>
      </w:pPr>
      <w:r>
        <w:rPr>
          <w:sz w:val="14"/>
        </w:rPr>
        <w:t xml:space="preserve">│  │  (предельное   │  значение  │  значения  │  пороговые значения  │        выбросов         │    положения    │</w:t>
      </w:r>
    </w:p>
    <w:p>
      <w:pPr>
        <w:pStyle w:val="3"/>
        <w:jc w:val="both"/>
      </w:pPr>
      <w:r>
        <w:rPr>
          <w:sz w:val="14"/>
        </w:rPr>
        <w:t xml:space="preserve">│  │    значение    │(предельное │выбросов для│  выбросов (процент   │                         │                 │</w:t>
      </w:r>
    </w:p>
    <w:p>
      <w:pPr>
        <w:pStyle w:val="3"/>
        <w:jc w:val="both"/>
      </w:pPr>
      <w:r>
        <w:rPr>
          <w:sz w:val="14"/>
        </w:rPr>
        <w:t xml:space="preserve">│  │  потребления   │  значение  │отработанных│      добавления      │                         │                 │</w:t>
      </w:r>
    </w:p>
    <w:p>
      <w:pPr>
        <w:pStyle w:val="3"/>
        <w:jc w:val="both"/>
      </w:pPr>
      <w:r>
        <w:rPr>
          <w:sz w:val="14"/>
        </w:rPr>
        <w:t xml:space="preserve">│  │ растворителя в │потребления │    газов   │     растворителя)    │                         │                 │</w:t>
      </w:r>
    </w:p>
    <w:p>
      <w:pPr>
        <w:pStyle w:val="3"/>
        <w:jc w:val="both"/>
      </w:pPr>
      <w:r>
        <w:rPr>
          <w:sz w:val="14"/>
        </w:rPr>
        <w:t xml:space="preserve">│  │  тоннах/год)   │растворителя│         3  ├─────────┬────────────┼──────────┬──────────────┤                 │              │                 │</w:t>
      </w:r>
    </w:p>
    <w:p>
      <w:pPr>
        <w:pStyle w:val="3"/>
        <w:jc w:val="both"/>
      </w:pPr>
      <w:r>
        <w:rPr>
          <w:sz w:val="14"/>
        </w:rPr>
        <w:t xml:space="preserve">│  │                │     в      │ (mg C/Nm ) │  Новые  │Существующие│  Новые   │ Существующие │                 │</w:t>
      </w:r>
    </w:p>
    <w:p>
      <w:pPr>
        <w:pStyle w:val="3"/>
        <w:jc w:val="both"/>
      </w:pPr>
      <w:r>
        <w:rPr>
          <w:sz w:val="14"/>
        </w:rPr>
        <w:t xml:space="preserve">│  │                │ тоннах/год)│            │установки│ установки  │ установки│  установки   │                 │</w:t>
      </w:r>
    </w:p>
    <w:p>
      <w:pPr>
        <w:pStyle w:val="3"/>
        <w:jc w:val="both"/>
      </w:pPr>
      <w:r>
        <w:rPr>
          <w:sz w:val="14"/>
        </w:rPr>
        <w:t xml:space="preserve">├──┼────────────────┼────────────┼────────────┼─────────┴────────────┼──────────┴──────────────┼─────────────────┤</w:t>
      </w:r>
    </w:p>
    <w:bookmarkStart w:id="2874" w:name="P2874"/>
    <w:bookmarkEnd w:id="2874"/>
    <w:p>
      <w:pPr>
        <w:pStyle w:val="3"/>
        <w:jc w:val="both"/>
      </w:pPr>
      <w:r>
        <w:rPr>
          <w:sz w:val="14"/>
        </w:rPr>
        <w:t xml:space="preserve">│1 │Рулонная        │ 15 - 25    │100         │30 &lt;1&gt;                │                         │&lt;1&gt; Растворимые  │</w:t>
      </w:r>
    </w:p>
    <w:p>
      <w:pPr>
        <w:pStyle w:val="3"/>
        <w:jc w:val="both"/>
      </w:pPr>
      <w:r>
        <w:rPr>
          <w:sz w:val="14"/>
        </w:rPr>
        <w:t xml:space="preserve">│  │офсетная печать │            │            │                      │                         │остатки в готовом│</w:t>
      </w:r>
    </w:p>
    <w:p>
      <w:pPr>
        <w:pStyle w:val="3"/>
        <w:jc w:val="both"/>
      </w:pPr>
      <w:r>
        <w:rPr>
          <w:sz w:val="14"/>
        </w:rPr>
        <w:t xml:space="preserve">│  │с термофиксацией│    &gt; 25    │20          │30 &lt;1&gt;                │                         │продукте не      │</w:t>
      </w:r>
    </w:p>
    <w:p>
      <w:pPr>
        <w:pStyle w:val="3"/>
        <w:jc w:val="both"/>
      </w:pPr>
      <w:r>
        <w:rPr>
          <w:sz w:val="14"/>
        </w:rPr>
        <w:t xml:space="preserve">│  │(&gt; 15)          │            │            │                      │                         │считаются частью │</w:t>
      </w:r>
    </w:p>
    <w:p>
      <w:pPr>
        <w:pStyle w:val="3"/>
        <w:jc w:val="both"/>
      </w:pPr>
      <w:r>
        <w:rPr>
          <w:sz w:val="14"/>
        </w:rPr>
        <w:t xml:space="preserve">│  │                │            │            │                      │                         │неконтролируемых │</w:t>
      </w:r>
    </w:p>
    <w:p>
      <w:pPr>
        <w:pStyle w:val="3"/>
        <w:jc w:val="both"/>
      </w:pPr>
      <w:r>
        <w:rPr>
          <w:sz w:val="14"/>
        </w:rPr>
        <w:t xml:space="preserve">│  │                │            │            │                      │                         │выбросов         │</w:t>
      </w:r>
    </w:p>
    <w:p>
      <w:pPr>
        <w:pStyle w:val="3"/>
        <w:jc w:val="both"/>
      </w:pPr>
      <w:r>
        <w:rPr>
          <w:sz w:val="14"/>
        </w:rPr>
        <w:t xml:space="preserve">├──┼────────────────┼────────────┼────────────┼─────────┬────────────┼─────────────────────────┼─────────────────┤</w:t>
      </w:r>
    </w:p>
    <w:p>
      <w:pPr>
        <w:pStyle w:val="3"/>
        <w:jc w:val="both"/>
      </w:pPr>
      <w:r>
        <w:rPr>
          <w:sz w:val="14"/>
        </w:rPr>
        <w:t xml:space="preserve">│2 │Печатная        │            │75          │10       │15          │                         │                 │</w:t>
      </w:r>
    </w:p>
    <w:p>
      <w:pPr>
        <w:pStyle w:val="3"/>
        <w:jc w:val="both"/>
      </w:pPr>
      <w:r>
        <w:rPr>
          <w:sz w:val="14"/>
        </w:rPr>
        <w:t xml:space="preserve">│  │ротогравюра     │            │            │         │            │                         │                 │</w:t>
      </w:r>
    </w:p>
    <w:p>
      <w:pPr>
        <w:pStyle w:val="3"/>
        <w:jc w:val="both"/>
      </w:pPr>
      <w:r>
        <w:rPr>
          <w:sz w:val="14"/>
        </w:rPr>
        <w:t xml:space="preserve">│  │(&gt; 25)          │            │            │         │            │                         │                 │</w:t>
      </w:r>
    </w:p>
    <w:p>
      <w:pPr>
        <w:pStyle w:val="3"/>
        <w:jc w:val="both"/>
      </w:pPr>
      <w:r>
        <w:rPr>
          <w:sz w:val="14"/>
        </w:rPr>
        <w:t xml:space="preserve">├──┼────────────────┼────────────┼────────────┼─────────┴────────────┼─────────────────────────┼─────────────────┤</w:t>
      </w:r>
    </w:p>
    <w:bookmarkStart w:id="2885" w:name="P2885"/>
    <w:bookmarkEnd w:id="2885"/>
    <w:p>
      <w:pPr>
        <w:pStyle w:val="3"/>
        <w:jc w:val="both"/>
      </w:pPr>
      <w:r>
        <w:rPr>
          <w:sz w:val="14"/>
        </w:rPr>
        <w:t xml:space="preserve">│3 │Иная            │ 15 - 25    │100         │25                    │                         │&lt;1&gt; Предельное   │</w:t>
      </w:r>
    </w:p>
    <w:p>
      <w:pPr>
        <w:pStyle w:val="3"/>
        <w:jc w:val="both"/>
      </w:pPr>
      <w:r>
        <w:rPr>
          <w:sz w:val="14"/>
        </w:rPr>
        <w:t xml:space="preserve">│  │ротогравюра,    │            │            │                      │                         │значение для     │</w:t>
      </w:r>
    </w:p>
    <w:p>
      <w:pPr>
        <w:pStyle w:val="3"/>
        <w:jc w:val="both"/>
      </w:pPr>
      <w:r>
        <w:rPr>
          <w:sz w:val="14"/>
        </w:rPr>
        <w:t xml:space="preserve">│  │флексография,   │    &gt; 25    │100         │20                    │                         │ротационной      │</w:t>
      </w:r>
    </w:p>
    <w:p>
      <w:pPr>
        <w:pStyle w:val="3"/>
        <w:jc w:val="both"/>
      </w:pPr>
      <w:r>
        <w:rPr>
          <w:sz w:val="14"/>
        </w:rPr>
        <w:t xml:space="preserve">│  │ротационная     │            │            │                      │                         │трафаретной      │</w:t>
      </w:r>
    </w:p>
    <w:p>
      <w:pPr>
        <w:pStyle w:val="3"/>
        <w:jc w:val="both"/>
      </w:pPr>
      <w:r>
        <w:rPr>
          <w:sz w:val="14"/>
        </w:rPr>
        <w:t xml:space="preserve">│  │трафаретная     │    &gt; 30 &lt;1&gt;│100         │20                    │                         │печати на        │</w:t>
      </w:r>
    </w:p>
    <w:p>
      <w:pPr>
        <w:pStyle w:val="3"/>
        <w:jc w:val="both"/>
      </w:pPr>
      <w:r>
        <w:rPr>
          <w:sz w:val="14"/>
        </w:rPr>
        <w:t xml:space="preserve">│  │печать,         │            │            │                      │                         │текстиле/картоне │</w:t>
      </w:r>
    </w:p>
    <w:p>
      <w:pPr>
        <w:pStyle w:val="3"/>
        <w:jc w:val="both"/>
      </w:pPr>
      <w:r>
        <w:rPr>
          <w:sz w:val="14"/>
        </w:rPr>
        <w:t xml:space="preserve">│  │ламинация или   │            │            │                      │                         │                 │</w:t>
      </w:r>
    </w:p>
    <w:p>
      <w:pPr>
        <w:pStyle w:val="3"/>
        <w:jc w:val="both"/>
      </w:pPr>
      <w:r>
        <w:rPr>
          <w:sz w:val="14"/>
        </w:rPr>
        <w:t xml:space="preserve">│  │лакировка       │            │            │                      │                         │                 │</w:t>
      </w:r>
    </w:p>
    <w:p>
      <w:pPr>
        <w:pStyle w:val="3"/>
        <w:jc w:val="both"/>
      </w:pPr>
      <w:r>
        <w:rPr>
          <w:sz w:val="14"/>
        </w:rPr>
        <w:t xml:space="preserve">│  │(&gt; 15),         │            │            │                      │                         │                 │</w:t>
      </w:r>
    </w:p>
    <w:p>
      <w:pPr>
        <w:pStyle w:val="3"/>
        <w:jc w:val="both"/>
      </w:pPr>
      <w:r>
        <w:rPr>
          <w:sz w:val="14"/>
        </w:rPr>
        <w:t xml:space="preserve">│  │ротационная     │            │            │                      │                         │                 │</w:t>
      </w:r>
    </w:p>
    <w:p>
      <w:pPr>
        <w:pStyle w:val="3"/>
        <w:jc w:val="both"/>
      </w:pPr>
      <w:r>
        <w:rPr>
          <w:sz w:val="14"/>
        </w:rPr>
        <w:t xml:space="preserve">│  │трафаретная     │            │            │                      │                         │                 │</w:t>
      </w:r>
    </w:p>
    <w:p>
      <w:pPr>
        <w:pStyle w:val="3"/>
        <w:jc w:val="both"/>
      </w:pPr>
      <w:r>
        <w:rPr>
          <w:sz w:val="14"/>
        </w:rPr>
        <w:t xml:space="preserve">│  │печать на       │            │            │                      │                         │                 │</w:t>
      </w:r>
    </w:p>
    <w:p>
      <w:pPr>
        <w:pStyle w:val="3"/>
        <w:jc w:val="both"/>
      </w:pPr>
      <w:r>
        <w:rPr>
          <w:sz w:val="14"/>
        </w:rPr>
        <w:t xml:space="preserve">│  │текстиле /      │            │            │                      │                         │                 │</w:t>
      </w:r>
    </w:p>
    <w:p>
      <w:pPr>
        <w:pStyle w:val="3"/>
        <w:jc w:val="both"/>
      </w:pPr>
      <w:r>
        <w:rPr>
          <w:sz w:val="14"/>
        </w:rPr>
        <w:t xml:space="preserve">│  │картоне (&gt; 25)  │            │            │                      │                         │                 │</w:t>
      </w:r>
    </w:p>
    <w:p>
      <w:pPr>
        <w:pStyle w:val="3"/>
        <w:jc w:val="both"/>
      </w:pPr>
      <w:r>
        <w:rPr>
          <w:sz w:val="14"/>
        </w:rPr>
        <w:t xml:space="preserve">├──┼────────────────┼────────────┼────────────┼──────────────────────┼─────────────────────────┼─────────────────┤</w:t>
      </w:r>
    </w:p>
    <w:bookmarkStart w:id="2900" w:name="P2900"/>
    <w:bookmarkEnd w:id="2900"/>
    <w:p>
      <w:pPr>
        <w:pStyle w:val="3"/>
        <w:jc w:val="both"/>
      </w:pPr>
      <w:r>
        <w:rPr>
          <w:sz w:val="14"/>
        </w:rPr>
        <w:t xml:space="preserve">│4 │Очистка         │  1 - 5     │20 &lt;1&gt;      │15                    │                         │&lt;1&gt; Пороговые    │</w:t>
      </w:r>
    </w:p>
    <w:p>
      <w:pPr>
        <w:pStyle w:val="3"/>
        <w:jc w:val="both"/>
      </w:pPr>
      <w:r>
        <w:rPr>
          <w:sz w:val="14"/>
        </w:rPr>
        <w:t xml:space="preserve">│  │поверхности с   │            │            │                      │                         │значения         │</w:t>
      </w:r>
    </w:p>
    <w:p>
      <w:pPr>
        <w:pStyle w:val="3"/>
        <w:jc w:val="both"/>
      </w:pPr>
      <w:r>
        <w:rPr>
          <w:sz w:val="14"/>
        </w:rPr>
        <w:t xml:space="preserve">│  │использованием  │    &gt; 5     │20 &lt;1&gt;      │10                    │                         │относятся к массе│</w:t>
      </w:r>
    </w:p>
    <w:p>
      <w:pPr>
        <w:pStyle w:val="3"/>
        <w:jc w:val="both"/>
      </w:pPr>
      <w:r>
        <w:rPr>
          <w:sz w:val="14"/>
        </w:rPr>
        <w:t xml:space="preserve">│  │соединений,     │            │            │                      │                         │соединений в     │</w:t>
      </w:r>
    </w:p>
    <w:p>
      <w:pPr>
        <w:pStyle w:val="3"/>
        <w:jc w:val="both"/>
      </w:pPr>
      <w:r>
        <w:rPr>
          <w:sz w:val="14"/>
        </w:rPr>
        <w:t xml:space="preserve">│  │указанных в     │            │            │                      │                         │     3           │</w:t>
      </w:r>
    </w:p>
    <w:p>
      <w:pPr>
        <w:pStyle w:val="3"/>
        <w:jc w:val="both"/>
      </w:pPr>
      <w:r>
        <w:rPr>
          <w:sz w:val="14"/>
        </w:rPr>
        <w:t xml:space="preserve">│  │</w:t>
      </w:r>
      <w:hyperlink w:history="0" w:anchor="P988" w:tooltip="5. Выбросы летучих органических соединений, которые должны иметь обозначения опасности H340, H350, H350i, H360D или H360F, либо галогенированные летучие органические соединения, которые должны иметь обозначения опасности H341 или H351, осуществляются под контролем при условиях использования, насколько это экономически и технически возможно, в целях охраны общественного здоровья и окружающей среды и не должны превышать соответствующие пороговые значения выбросов, установленные частью 4 Приложения VII к на...">
        <w:r>
          <w:rPr>
            <w:sz w:val="14"/>
            <w:color w:val="0000ff"/>
          </w:rPr>
          <w:t xml:space="preserve">статье 59 (5)</w:t>
        </w:r>
      </w:hyperlink>
      <w:r>
        <w:rPr>
          <w:sz w:val="14"/>
        </w:rPr>
        <w:t xml:space="preserve">   │            │            │                      │                         │мг/Nm , а не к   │</w:t>
      </w:r>
    </w:p>
    <w:p>
      <w:pPr>
        <w:pStyle w:val="3"/>
        <w:jc w:val="both"/>
      </w:pPr>
      <w:r>
        <w:rPr>
          <w:sz w:val="14"/>
        </w:rPr>
        <w:t xml:space="preserve">│  │настоящей       │            │            │                      │                         │общему содержанию│</w:t>
      </w:r>
    </w:p>
    <w:p>
      <w:pPr>
        <w:pStyle w:val="3"/>
        <w:jc w:val="both"/>
      </w:pPr>
      <w:r>
        <w:rPr>
          <w:sz w:val="14"/>
        </w:rPr>
        <w:t xml:space="preserve">│  │Директивы (&gt; 1) │            │            │                      │                         │углерода         │</w:t>
      </w:r>
    </w:p>
    <w:p>
      <w:pPr>
        <w:pStyle w:val="3"/>
        <w:jc w:val="both"/>
      </w:pPr>
      <w:r>
        <w:rPr>
          <w:sz w:val="14"/>
        </w:rPr>
        <w:t xml:space="preserve">├──┼────────────────┼────────────┼────────────┼──────────────────────┼─────────────────────────┼─────────────────┤</w:t>
      </w:r>
    </w:p>
    <w:bookmarkStart w:id="2909" w:name="P2909"/>
    <w:bookmarkEnd w:id="2909"/>
    <w:p>
      <w:pPr>
        <w:pStyle w:val="3"/>
        <w:jc w:val="both"/>
      </w:pPr>
      <w:r>
        <w:rPr>
          <w:sz w:val="14"/>
        </w:rPr>
        <w:t xml:space="preserve">│5 │Иная очистка    │  2 - 10    │75 &lt;1&gt;      │20 &lt;1&gt;                │                         │&lt;1&gt; Настоящие    │</w:t>
      </w:r>
    </w:p>
    <w:p>
      <w:pPr>
        <w:pStyle w:val="3"/>
        <w:jc w:val="both"/>
      </w:pPr>
      <w:r>
        <w:rPr>
          <w:sz w:val="14"/>
        </w:rPr>
        <w:t xml:space="preserve">│  │поверхности     │            │            │                      │                         │значения не      │</w:t>
      </w:r>
    </w:p>
    <w:p>
      <w:pPr>
        <w:pStyle w:val="3"/>
        <w:jc w:val="both"/>
      </w:pPr>
      <w:r>
        <w:rPr>
          <w:sz w:val="14"/>
        </w:rPr>
        <w:t xml:space="preserve">│  │(&gt; 2)           │    &gt; 10    │75 &lt;1&gt;      │15 &lt;1&gt;                │                         │применяются к    │</w:t>
      </w:r>
    </w:p>
    <w:p>
      <w:pPr>
        <w:pStyle w:val="3"/>
        <w:jc w:val="both"/>
      </w:pPr>
      <w:r>
        <w:rPr>
          <w:sz w:val="14"/>
        </w:rPr>
        <w:t xml:space="preserve">│  │                │            │            │                      │                         │установкам,      │</w:t>
      </w:r>
    </w:p>
    <w:p>
      <w:pPr>
        <w:pStyle w:val="3"/>
        <w:jc w:val="both"/>
      </w:pPr>
      <w:r>
        <w:rPr>
          <w:sz w:val="14"/>
        </w:rPr>
        <w:t xml:space="preserve">│  │                │            │            │                      │                         │которые          │</w:t>
      </w:r>
    </w:p>
    <w:p>
      <w:pPr>
        <w:pStyle w:val="3"/>
        <w:jc w:val="both"/>
      </w:pPr>
      <w:r>
        <w:rPr>
          <w:sz w:val="14"/>
        </w:rPr>
        <w:t xml:space="preserve">│  │                │            │            │                      │                         │демонстрируют    │</w:t>
      </w:r>
    </w:p>
    <w:p>
      <w:pPr>
        <w:pStyle w:val="3"/>
        <w:jc w:val="both"/>
      </w:pPr>
      <w:r>
        <w:rPr>
          <w:sz w:val="14"/>
        </w:rPr>
        <w:t xml:space="preserve">│  │                │            │            │                      │                         │компетентному    │</w:t>
      </w:r>
    </w:p>
    <w:p>
      <w:pPr>
        <w:pStyle w:val="3"/>
        <w:jc w:val="both"/>
      </w:pPr>
      <w:r>
        <w:rPr>
          <w:sz w:val="14"/>
        </w:rPr>
        <w:t xml:space="preserve">│  │                │            │            │                      │                         │органу, что      │</w:t>
      </w:r>
    </w:p>
    <w:p>
      <w:pPr>
        <w:pStyle w:val="3"/>
        <w:jc w:val="both"/>
      </w:pPr>
      <w:r>
        <w:rPr>
          <w:sz w:val="14"/>
        </w:rPr>
        <w:t xml:space="preserve">│  │                │            │            │                      │                         │среднее          │</w:t>
      </w:r>
    </w:p>
    <w:p>
      <w:pPr>
        <w:pStyle w:val="3"/>
        <w:jc w:val="both"/>
      </w:pPr>
      <w:r>
        <w:rPr>
          <w:sz w:val="14"/>
        </w:rPr>
        <w:t xml:space="preserve">│  │                │            │            │                      │                         │содержание       │</w:t>
      </w:r>
    </w:p>
    <w:p>
      <w:pPr>
        <w:pStyle w:val="3"/>
        <w:jc w:val="both"/>
      </w:pPr>
      <w:r>
        <w:rPr>
          <w:sz w:val="14"/>
        </w:rPr>
        <w:t xml:space="preserve">│  │                │            │            │                      │                         │органического    │</w:t>
      </w:r>
    </w:p>
    <w:p>
      <w:pPr>
        <w:pStyle w:val="3"/>
        <w:jc w:val="both"/>
      </w:pPr>
      <w:r>
        <w:rPr>
          <w:sz w:val="14"/>
        </w:rPr>
        <w:t xml:space="preserve">│  │                │            │            │                      │                         │растворителя в   │</w:t>
      </w:r>
    </w:p>
    <w:p>
      <w:pPr>
        <w:pStyle w:val="3"/>
        <w:jc w:val="both"/>
      </w:pPr>
      <w:r>
        <w:rPr>
          <w:sz w:val="14"/>
        </w:rPr>
        <w:t xml:space="preserve">│  │                │            │            │                      │                         │используемом     │</w:t>
      </w:r>
    </w:p>
    <w:p>
      <w:pPr>
        <w:pStyle w:val="3"/>
        <w:jc w:val="both"/>
      </w:pPr>
      <w:r>
        <w:rPr>
          <w:sz w:val="14"/>
        </w:rPr>
        <w:t xml:space="preserve">│  │                │            │            │                      │                         │чистящем         │</w:t>
      </w:r>
    </w:p>
    <w:p>
      <w:pPr>
        <w:pStyle w:val="3"/>
        <w:jc w:val="both"/>
      </w:pPr>
      <w:r>
        <w:rPr>
          <w:sz w:val="14"/>
        </w:rPr>
        <w:t xml:space="preserve">│  │                │            │            │                      │                         │материале не     │</w:t>
      </w:r>
    </w:p>
    <w:p>
      <w:pPr>
        <w:pStyle w:val="3"/>
        <w:jc w:val="both"/>
      </w:pPr>
      <w:r>
        <w:rPr>
          <w:sz w:val="14"/>
        </w:rPr>
        <w:t xml:space="preserve">│  │                │            │            │                      │                         │превышает 30% по │</w:t>
      </w:r>
    </w:p>
    <w:p>
      <w:pPr>
        <w:pStyle w:val="3"/>
        <w:jc w:val="both"/>
      </w:pPr>
      <w:r>
        <w:rPr>
          <w:sz w:val="14"/>
        </w:rPr>
        <w:t xml:space="preserve">│  │                │            │            │                      │                         │весу.            │</w:t>
      </w:r>
    </w:p>
    <w:p>
      <w:pPr>
        <w:pStyle w:val="3"/>
        <w:jc w:val="both"/>
      </w:pPr>
      <w:r>
        <w:rPr>
          <w:sz w:val="14"/>
        </w:rPr>
        <w:t xml:space="preserve">├──┼────────────────┼────────────┼────────────┼──────────────────────┼─────────────────────────┼─────────────────┤</w:t>
      </w:r>
    </w:p>
    <w:bookmarkStart w:id="2927" w:name="P2927"/>
    <w:bookmarkEnd w:id="2927"/>
    <w:p>
      <w:pPr>
        <w:pStyle w:val="3"/>
        <w:jc w:val="both"/>
      </w:pPr>
      <w:r>
        <w:rPr>
          <w:sz w:val="14"/>
        </w:rPr>
        <w:t xml:space="preserve">│6 │Покрытие        │    &gt; 0,5   │50 &lt;1&gt;      │25                    │                         │&lt;1&gt; Согласно     │</w:t>
      </w:r>
    </w:p>
    <w:p>
      <w:pPr>
        <w:pStyle w:val="3"/>
        <w:jc w:val="both"/>
      </w:pPr>
      <w:r>
        <w:rPr>
          <w:sz w:val="14"/>
        </w:rPr>
        <w:t xml:space="preserve">│  │транспортных    │            │            │                      │                         │</w:t>
      </w:r>
      <w:hyperlink w:history="0" w:anchor="P3379" w:tooltip="2. При проведении периодических измерений пороговые значения выбросов считаются соблюденными, если в течение одного измерительного мероприятия:">
        <w:r>
          <w:rPr>
            <w:sz w:val="14"/>
            <w:color w:val="0000ff"/>
          </w:rPr>
          <w:t xml:space="preserve">пункту 2 части 8</w:t>
        </w:r>
      </w:hyperlink>
      <w:r>
        <w:rPr>
          <w:sz w:val="14"/>
        </w:rPr>
        <w:t xml:space="preserve"> │</w:t>
      </w:r>
    </w:p>
    <w:p>
      <w:pPr>
        <w:pStyle w:val="3"/>
        <w:jc w:val="both"/>
      </w:pPr>
      <w:r>
        <w:rPr>
          <w:sz w:val="14"/>
        </w:rPr>
        <w:t xml:space="preserve">│  │средств (&lt; 15) и│            │            │                      │                         │соблюдение       │</w:t>
      </w:r>
    </w:p>
    <w:p>
      <w:pPr>
        <w:pStyle w:val="3"/>
        <w:jc w:val="both"/>
      </w:pPr>
      <w:r>
        <w:rPr>
          <w:sz w:val="14"/>
        </w:rPr>
        <w:t xml:space="preserve">│  │повторная       │            │            │                      │                         │доказывается     │</w:t>
      </w:r>
    </w:p>
    <w:p>
      <w:pPr>
        <w:pStyle w:val="3"/>
        <w:jc w:val="both"/>
      </w:pPr>
      <w:r>
        <w:rPr>
          <w:sz w:val="14"/>
        </w:rPr>
        <w:t xml:space="preserve">│  │чистовая        │            │            │                      │                         │исходя из средних│</w:t>
      </w:r>
    </w:p>
    <w:p>
      <w:pPr>
        <w:pStyle w:val="3"/>
        <w:jc w:val="both"/>
      </w:pPr>
      <w:r>
        <w:rPr>
          <w:sz w:val="14"/>
        </w:rPr>
        <w:t xml:space="preserve">│  │обработка       │            │            │                      │                         │15-минутных      │</w:t>
      </w:r>
    </w:p>
    <w:p>
      <w:pPr>
        <w:pStyle w:val="3"/>
        <w:jc w:val="both"/>
      </w:pPr>
      <w:r>
        <w:rPr>
          <w:sz w:val="14"/>
        </w:rPr>
        <w:t xml:space="preserve">│  │транспортных    │            │            │                      │                         │измерений.       │</w:t>
      </w:r>
    </w:p>
    <w:p>
      <w:pPr>
        <w:pStyle w:val="3"/>
        <w:jc w:val="both"/>
      </w:pPr>
      <w:r>
        <w:rPr>
          <w:sz w:val="14"/>
        </w:rPr>
        <w:t xml:space="preserve">│  │средств         │            │            │                      │                         │                 │</w:t>
      </w:r>
    </w:p>
    <w:p>
      <w:pPr>
        <w:pStyle w:val="3"/>
        <w:jc w:val="both"/>
      </w:pPr>
      <w:r>
        <w:rPr>
          <w:sz w:val="14"/>
        </w:rPr>
        <w:t xml:space="preserve">├──┼────────────────┼────────────┼────────────┼─────────┬────────────┼─────────────────────────┼─────────────────┤</w:t>
      </w:r>
    </w:p>
    <w:p>
      <w:pPr>
        <w:pStyle w:val="3"/>
        <w:jc w:val="both"/>
      </w:pPr>
      <w:r>
        <w:rPr>
          <w:sz w:val="14"/>
        </w:rPr>
        <w:t xml:space="preserve">│7 │Рулонное        │            │50 &lt;1&gt;      │5        │10          │                         │&lt;1&gt; Для          │</w:t>
      </w:r>
    </w:p>
    <w:p>
      <w:pPr>
        <w:pStyle w:val="3"/>
        <w:jc w:val="both"/>
      </w:pPr>
      <w:r>
        <w:rPr>
          <w:sz w:val="14"/>
        </w:rPr>
        <w:t xml:space="preserve">│  │покрытие        │            │            │         │            │                         │установок,       │</w:t>
      </w:r>
    </w:p>
    <w:p>
      <w:pPr>
        <w:pStyle w:val="3"/>
        <w:jc w:val="both"/>
      </w:pPr>
      <w:r>
        <w:rPr>
          <w:sz w:val="14"/>
        </w:rPr>
        <w:t xml:space="preserve">│  │                │            │            │         │            │                         │которые          │</w:t>
      </w:r>
    </w:p>
    <w:p>
      <w:pPr>
        <w:pStyle w:val="3"/>
        <w:jc w:val="both"/>
      </w:pPr>
      <w:r>
        <w:rPr>
          <w:sz w:val="14"/>
        </w:rPr>
        <w:t xml:space="preserve">│  │                │            │            │         │            │                         │используют       │</w:t>
      </w:r>
    </w:p>
    <w:p>
      <w:pPr>
        <w:pStyle w:val="3"/>
        <w:jc w:val="both"/>
      </w:pPr>
      <w:r>
        <w:rPr>
          <w:sz w:val="14"/>
        </w:rPr>
        <w:t xml:space="preserve">│  │                │            │            │         │            │                         │технологии,      │</w:t>
      </w:r>
    </w:p>
    <w:p>
      <w:pPr>
        <w:pStyle w:val="3"/>
        <w:jc w:val="both"/>
      </w:pPr>
      <w:r>
        <w:rPr>
          <w:sz w:val="14"/>
        </w:rPr>
        <w:t xml:space="preserve">│  │                │            │            │         │            │                         │допускающие      │</w:t>
      </w:r>
    </w:p>
    <w:p>
      <w:pPr>
        <w:pStyle w:val="3"/>
        <w:jc w:val="both"/>
      </w:pPr>
      <w:r>
        <w:rPr>
          <w:sz w:val="14"/>
        </w:rPr>
        <w:t xml:space="preserve">│  │                │            │            │         │            │                         │повторное        │</w:t>
      </w:r>
    </w:p>
    <w:p>
      <w:pPr>
        <w:pStyle w:val="3"/>
        <w:jc w:val="both"/>
      </w:pPr>
      <w:r>
        <w:rPr>
          <w:sz w:val="14"/>
        </w:rPr>
        <w:t xml:space="preserve">│  │                │            │            │         │            │                         │использование    │</w:t>
      </w:r>
    </w:p>
    <w:p>
      <w:pPr>
        <w:pStyle w:val="3"/>
        <w:jc w:val="both"/>
      </w:pPr>
      <w:r>
        <w:rPr>
          <w:sz w:val="14"/>
        </w:rPr>
        <w:t xml:space="preserve">│  │                │            │            │         │            │                         │рекуперированных │</w:t>
      </w:r>
    </w:p>
    <w:p>
      <w:pPr>
        <w:pStyle w:val="3"/>
        <w:jc w:val="both"/>
      </w:pPr>
      <w:r>
        <w:rPr>
          <w:sz w:val="14"/>
        </w:rPr>
        <w:t xml:space="preserve">│  │                │            │            │         │            │                         │растворителей,   │</w:t>
      </w:r>
    </w:p>
    <w:p>
      <w:pPr>
        <w:pStyle w:val="3"/>
        <w:jc w:val="both"/>
      </w:pPr>
      <w:r>
        <w:rPr>
          <w:sz w:val="14"/>
        </w:rPr>
        <w:t xml:space="preserve">│  │                │            │            │         │            │                         │пороговое        │</w:t>
      </w:r>
    </w:p>
    <w:p>
      <w:pPr>
        <w:pStyle w:val="3"/>
        <w:jc w:val="both"/>
      </w:pPr>
      <w:r>
        <w:rPr>
          <w:sz w:val="14"/>
        </w:rPr>
        <w:t xml:space="preserve">│  │                │            │            │         │            │                         │значение выбросов│</w:t>
      </w:r>
    </w:p>
    <w:p>
      <w:pPr>
        <w:pStyle w:val="3"/>
        <w:jc w:val="both"/>
      </w:pPr>
      <w:r>
        <w:rPr>
          <w:sz w:val="14"/>
        </w:rPr>
        <w:t xml:space="preserve">│  │                │            │            │         │            │                         │равно 150        │</w:t>
      </w:r>
    </w:p>
    <w:p>
      <w:pPr>
        <w:pStyle w:val="3"/>
        <w:jc w:val="both"/>
      </w:pPr>
      <w:r>
        <w:rPr>
          <w:sz w:val="14"/>
        </w:rPr>
        <w:t xml:space="preserve">├──┼────────────────┼────────────┼────────────┼─────────┴────────────┼─────────────────────────┼─────────────────┤</w:t>
      </w:r>
    </w:p>
    <w:bookmarkStart w:id="2950" w:name="P2950"/>
    <w:bookmarkEnd w:id="2950"/>
    <w:p>
      <w:pPr>
        <w:pStyle w:val="3"/>
        <w:jc w:val="both"/>
      </w:pPr>
      <w:r>
        <w:rPr>
          <w:sz w:val="14"/>
        </w:rPr>
        <w:t xml:space="preserve">│8 │Иное покрытие, в│  5 - 15    │100 &lt;1&gt; </w:t>
      </w:r>
      <w:hyperlink w:history="0" w:anchor="P2986" w:tooltip="│  │                │            │            │                      │                         │&lt;4&gt; К способам   │">
        <w:r>
          <w:rPr>
            <w:sz w:val="14"/>
            <w:color w:val="0000ff"/>
          </w:rPr>
          <w:t xml:space="preserve">&lt;4&gt;</w:t>
        </w:r>
      </w:hyperlink>
      <w:r>
        <w:rPr>
          <w:sz w:val="14"/>
        </w:rPr>
        <w:t xml:space="preserve"> │25 &lt;4&gt;                │                         │&lt;1&gt; Пороговое    │</w:t>
      </w:r>
    </w:p>
    <w:p>
      <w:pPr>
        <w:pStyle w:val="3"/>
        <w:jc w:val="both"/>
      </w:pPr>
      <w:r>
        <w:rPr>
          <w:sz w:val="14"/>
        </w:rPr>
        <w:t xml:space="preserve">│  │том числе       │            │            │                      │                         │значение выбросов│</w:t>
      </w:r>
    </w:p>
    <w:p>
      <w:pPr>
        <w:pStyle w:val="3"/>
        <w:jc w:val="both"/>
      </w:pPr>
      <w:r>
        <w:rPr>
          <w:sz w:val="14"/>
        </w:rPr>
        <w:t xml:space="preserve">│  │металлическое,  │    &gt; 15    │50/75 </w:t>
      </w:r>
      <w:hyperlink w:history="0" w:anchor="P2959" w:tooltip="│  │                │            │            │                      │                         │&lt;2&gt; Первое       │">
        <w:r>
          <w:rPr>
            <w:sz w:val="14"/>
            <w:color w:val="0000ff"/>
          </w:rPr>
          <w:t xml:space="preserve">&lt;2&gt;</w:t>
        </w:r>
      </w:hyperlink>
      <w:r>
        <w:rPr>
          <w:sz w:val="14"/>
        </w:rPr>
        <w:t xml:space="preserve">   │20 &lt;4&gt;                │                         │применяется к    │</w:t>
      </w:r>
    </w:p>
    <w:p>
      <w:pPr>
        <w:pStyle w:val="3"/>
        <w:jc w:val="both"/>
      </w:pPr>
      <w:r>
        <w:rPr>
          <w:sz w:val="14"/>
        </w:rPr>
        <w:t xml:space="preserve">│  │пластиковое,    │            │</w:t>
      </w:r>
      <w:hyperlink w:history="0" w:anchor="P2967" w:tooltip="│  │                │            │            │                      │                         │&lt;3&gt; Для установок│">
        <w:r>
          <w:rPr>
            <w:sz w:val="14"/>
            <w:color w:val="0000ff"/>
          </w:rPr>
          <w:t xml:space="preserve">&lt;3&gt;</w:t>
        </w:r>
      </w:hyperlink>
      <w:r>
        <w:rPr>
          <w:sz w:val="14"/>
        </w:rPr>
        <w:t xml:space="preserve"> &lt;4&gt;     │                      │                         │процессам        │</w:t>
      </w:r>
    </w:p>
    <w:p>
      <w:pPr>
        <w:pStyle w:val="3"/>
        <w:jc w:val="both"/>
      </w:pPr>
      <w:r>
        <w:rPr>
          <w:sz w:val="14"/>
        </w:rPr>
        <w:t xml:space="preserve">│  │текстильное </w:t>
      </w:r>
      <w:hyperlink w:history="0" w:anchor="P3000" w:tooltip="│  │                │            │            │                      │                         │&lt;5&gt; На           │">
        <w:r>
          <w:rPr>
            <w:sz w:val="14"/>
            <w:color w:val="0000ff"/>
          </w:rPr>
          <w:t xml:space="preserve">&lt;5&gt;</w:t>
        </w:r>
      </w:hyperlink>
      <w:r>
        <w:rPr>
          <w:sz w:val="14"/>
        </w:rPr>
        <w:t xml:space="preserve">,│            │            │                      │                         │покрытия и сушки,│</w:t>
      </w:r>
    </w:p>
    <w:p>
      <w:pPr>
        <w:pStyle w:val="3"/>
        <w:jc w:val="both"/>
      </w:pPr>
      <w:r>
        <w:rPr>
          <w:sz w:val="14"/>
        </w:rPr>
        <w:t xml:space="preserve">│  │матерчатое,     │            │            │                      │                         │которые          │</w:t>
      </w:r>
    </w:p>
    <w:p>
      <w:pPr>
        <w:pStyle w:val="3"/>
        <w:jc w:val="both"/>
      </w:pPr>
      <w:r>
        <w:rPr>
          <w:sz w:val="14"/>
        </w:rPr>
        <w:t xml:space="preserve">│  │пленочное и     │            │            │                      │                         │осуществляются   │</w:t>
      </w:r>
    </w:p>
    <w:p>
      <w:pPr>
        <w:pStyle w:val="3"/>
        <w:jc w:val="both"/>
      </w:pPr>
      <w:r>
        <w:rPr>
          <w:sz w:val="14"/>
        </w:rPr>
        <w:t xml:space="preserve">│  │бумажное        │            │            │                      │                         │при имеющихся    │</w:t>
      </w:r>
    </w:p>
    <w:p>
      <w:pPr>
        <w:pStyle w:val="3"/>
        <w:jc w:val="both"/>
      </w:pPr>
      <w:r>
        <w:rPr>
          <w:sz w:val="14"/>
        </w:rPr>
        <w:t xml:space="preserve">│  │покрытие (&gt; 5)  │            │            │                      │                         │условиях.        │</w:t>
      </w:r>
    </w:p>
    <w:bookmarkStart w:id="2959" w:name="P2959"/>
    <w:bookmarkEnd w:id="2959"/>
    <w:p>
      <w:pPr>
        <w:pStyle w:val="3"/>
        <w:jc w:val="both"/>
      </w:pPr>
      <w:r>
        <w:rPr>
          <w:sz w:val="14"/>
        </w:rPr>
        <w:t xml:space="preserve">│  │                │            │            │                      │                         │&lt;2&gt; Первое       │</w:t>
      </w:r>
    </w:p>
    <w:p>
      <w:pPr>
        <w:pStyle w:val="3"/>
        <w:jc w:val="both"/>
      </w:pPr>
      <w:r>
        <w:rPr>
          <w:sz w:val="14"/>
        </w:rPr>
        <w:t xml:space="preserve">│  │                │            │            │                      │                         │пороговое        │</w:t>
      </w:r>
    </w:p>
    <w:p>
      <w:pPr>
        <w:pStyle w:val="3"/>
        <w:jc w:val="both"/>
      </w:pPr>
      <w:r>
        <w:rPr>
          <w:sz w:val="14"/>
        </w:rPr>
        <w:t xml:space="preserve">│  │                │            │            │                      │                         │значение выбросов│</w:t>
      </w:r>
    </w:p>
    <w:p>
      <w:pPr>
        <w:pStyle w:val="3"/>
        <w:jc w:val="both"/>
      </w:pPr>
      <w:r>
        <w:rPr>
          <w:sz w:val="14"/>
        </w:rPr>
        <w:t xml:space="preserve">│  │                │            │            │                      │                         │применяется к    │</w:t>
      </w:r>
    </w:p>
    <w:p>
      <w:pPr>
        <w:pStyle w:val="3"/>
        <w:jc w:val="both"/>
      </w:pPr>
      <w:r>
        <w:rPr>
          <w:sz w:val="14"/>
        </w:rPr>
        <w:t xml:space="preserve">│  │                │            │            │                      │                         │процессу сушки,  │</w:t>
      </w:r>
    </w:p>
    <w:p>
      <w:pPr>
        <w:pStyle w:val="3"/>
        <w:jc w:val="both"/>
      </w:pPr>
      <w:r>
        <w:rPr>
          <w:sz w:val="14"/>
        </w:rPr>
        <w:t xml:space="preserve">│  │                │            │            │                      │                         │второе - к       │</w:t>
      </w:r>
    </w:p>
    <w:p>
      <w:pPr>
        <w:pStyle w:val="3"/>
        <w:jc w:val="both"/>
      </w:pPr>
      <w:r>
        <w:rPr>
          <w:sz w:val="14"/>
        </w:rPr>
        <w:t xml:space="preserve">│  │                │            │            │                      │                         │процессу         │</w:t>
      </w:r>
    </w:p>
    <w:p>
      <w:pPr>
        <w:pStyle w:val="3"/>
        <w:jc w:val="both"/>
      </w:pPr>
      <w:r>
        <w:rPr>
          <w:sz w:val="14"/>
        </w:rPr>
        <w:t xml:space="preserve">│  │                │            │            │                      │                         │покрытия.        │</w:t>
      </w:r>
    </w:p>
    <w:bookmarkStart w:id="2967" w:name="P2967"/>
    <w:bookmarkEnd w:id="2967"/>
    <w:p>
      <w:pPr>
        <w:pStyle w:val="3"/>
        <w:jc w:val="both"/>
      </w:pPr>
      <w:r>
        <w:rPr>
          <w:sz w:val="14"/>
        </w:rPr>
        <w:t xml:space="preserve">│  │                │            │            │                      │                         │&lt;3&gt; Для установок│</w:t>
      </w:r>
    </w:p>
    <w:p>
      <w:pPr>
        <w:pStyle w:val="3"/>
        <w:jc w:val="both"/>
      </w:pPr>
      <w:r>
        <w:rPr>
          <w:sz w:val="14"/>
        </w:rPr>
        <w:t xml:space="preserve">│  │                │            │            │                      │                         │текстильного     │</w:t>
      </w:r>
    </w:p>
    <w:p>
      <w:pPr>
        <w:pStyle w:val="3"/>
        <w:jc w:val="both"/>
      </w:pPr>
      <w:r>
        <w:rPr>
          <w:sz w:val="14"/>
        </w:rPr>
        <w:t xml:space="preserve">│  │                │            │            │                      │                         │покрытия, которые│</w:t>
      </w:r>
    </w:p>
    <w:p>
      <w:pPr>
        <w:pStyle w:val="3"/>
        <w:jc w:val="both"/>
      </w:pPr>
      <w:r>
        <w:rPr>
          <w:sz w:val="14"/>
        </w:rPr>
        <w:t xml:space="preserve">│  │                │            │            │                      │                         │используют       │</w:t>
      </w:r>
    </w:p>
    <w:p>
      <w:pPr>
        <w:pStyle w:val="3"/>
        <w:jc w:val="both"/>
      </w:pPr>
      <w:r>
        <w:rPr>
          <w:sz w:val="14"/>
        </w:rPr>
        <w:t xml:space="preserve">│  │                │            │            │                      │                         │технологии,      │</w:t>
      </w:r>
    </w:p>
    <w:p>
      <w:pPr>
        <w:pStyle w:val="3"/>
        <w:jc w:val="both"/>
      </w:pPr>
      <w:r>
        <w:rPr>
          <w:sz w:val="14"/>
        </w:rPr>
        <w:t xml:space="preserve">│  │                │            │            │                      │                         │допускающие      │</w:t>
      </w:r>
    </w:p>
    <w:p>
      <w:pPr>
        <w:pStyle w:val="3"/>
        <w:jc w:val="both"/>
      </w:pPr>
      <w:r>
        <w:rPr>
          <w:sz w:val="14"/>
        </w:rPr>
        <w:t xml:space="preserve">│  │                │            │            │                      │                         │повторное        │</w:t>
      </w:r>
    </w:p>
    <w:p>
      <w:pPr>
        <w:pStyle w:val="3"/>
        <w:jc w:val="both"/>
      </w:pPr>
      <w:r>
        <w:rPr>
          <w:sz w:val="14"/>
        </w:rPr>
        <w:t xml:space="preserve">│  │                │            │            │                      │                         │использование    │</w:t>
      </w:r>
    </w:p>
    <w:p>
      <w:pPr>
        <w:pStyle w:val="3"/>
        <w:jc w:val="both"/>
      </w:pPr>
      <w:r>
        <w:rPr>
          <w:sz w:val="14"/>
        </w:rPr>
        <w:t xml:space="preserve">│  │                │            │            │                      │                         │рекуперированных │</w:t>
      </w:r>
    </w:p>
    <w:p>
      <w:pPr>
        <w:pStyle w:val="3"/>
        <w:jc w:val="both"/>
      </w:pPr>
      <w:r>
        <w:rPr>
          <w:sz w:val="14"/>
        </w:rPr>
        <w:t xml:space="preserve">│  │                │            │            │                      │                         │растворителей,   │</w:t>
      </w:r>
    </w:p>
    <w:p>
      <w:pPr>
        <w:pStyle w:val="3"/>
        <w:jc w:val="both"/>
      </w:pPr>
      <w:r>
        <w:rPr>
          <w:sz w:val="14"/>
        </w:rPr>
        <w:t xml:space="preserve">│  │                │            │            │                      │                         │пороговое        │</w:t>
      </w:r>
    </w:p>
    <w:p>
      <w:pPr>
        <w:pStyle w:val="3"/>
        <w:jc w:val="both"/>
      </w:pPr>
      <w:r>
        <w:rPr>
          <w:sz w:val="14"/>
        </w:rPr>
        <w:t xml:space="preserve">│  │                │            │            │                      │                         │значение         │</w:t>
      </w:r>
    </w:p>
    <w:p>
      <w:pPr>
        <w:pStyle w:val="3"/>
        <w:jc w:val="both"/>
      </w:pPr>
      <w:r>
        <w:rPr>
          <w:sz w:val="14"/>
        </w:rPr>
        <w:t xml:space="preserve">│  │                │            │            │                      │                         │выбросов,        │</w:t>
      </w:r>
    </w:p>
    <w:p>
      <w:pPr>
        <w:pStyle w:val="3"/>
        <w:jc w:val="both"/>
      </w:pPr>
      <w:r>
        <w:rPr>
          <w:sz w:val="14"/>
        </w:rPr>
        <w:t xml:space="preserve">│  │                │            │            │                      │                         │применимое к     │</w:t>
      </w:r>
    </w:p>
    <w:p>
      <w:pPr>
        <w:pStyle w:val="3"/>
        <w:jc w:val="both"/>
      </w:pPr>
      <w:r>
        <w:rPr>
          <w:sz w:val="14"/>
        </w:rPr>
        <w:t xml:space="preserve">│  │                │            │            │                      │                         │процессам        │</w:t>
      </w:r>
    </w:p>
    <w:p>
      <w:pPr>
        <w:pStyle w:val="3"/>
        <w:jc w:val="both"/>
      </w:pPr>
      <w:r>
        <w:rPr>
          <w:sz w:val="14"/>
        </w:rPr>
        <w:t xml:space="preserve">│  │                │            │            │                      │                         │покрытия и сушки,│</w:t>
      </w:r>
    </w:p>
    <w:p>
      <w:pPr>
        <w:pStyle w:val="3"/>
        <w:jc w:val="both"/>
      </w:pPr>
      <w:r>
        <w:rPr>
          <w:sz w:val="14"/>
        </w:rPr>
        <w:t xml:space="preserve">│  │                │            │            │                      │                         │осуществляемым   │</w:t>
      </w:r>
    </w:p>
    <w:p>
      <w:pPr>
        <w:pStyle w:val="3"/>
        <w:jc w:val="both"/>
      </w:pPr>
      <w:r>
        <w:rPr>
          <w:sz w:val="14"/>
        </w:rPr>
        <w:t xml:space="preserve">│  │                │            │            │                      │                         │совместно,       │</w:t>
      </w:r>
    </w:p>
    <w:p>
      <w:pPr>
        <w:pStyle w:val="3"/>
        <w:jc w:val="both"/>
      </w:pPr>
      <w:r>
        <w:rPr>
          <w:sz w:val="14"/>
        </w:rPr>
        <w:t xml:space="preserve">│  │                │            │            │                      │                         │равно 150.       │</w:t>
      </w:r>
    </w:p>
    <w:bookmarkStart w:id="2986" w:name="P2986"/>
    <w:bookmarkEnd w:id="2986"/>
    <w:p>
      <w:pPr>
        <w:pStyle w:val="3"/>
        <w:jc w:val="both"/>
      </w:pPr>
      <w:r>
        <w:rPr>
          <w:sz w:val="14"/>
        </w:rPr>
        <w:t xml:space="preserve">│  │                │            │            │                      │                         │&lt;4&gt; К способам   │</w:t>
      </w:r>
    </w:p>
    <w:p>
      <w:pPr>
        <w:pStyle w:val="3"/>
        <w:jc w:val="both"/>
      </w:pPr>
      <w:r>
        <w:rPr>
          <w:sz w:val="14"/>
        </w:rPr>
        <w:t xml:space="preserve">│  │                │            │            │                      │                         │покрытия, которые│</w:t>
      </w:r>
    </w:p>
    <w:p>
      <w:pPr>
        <w:pStyle w:val="3"/>
        <w:jc w:val="both"/>
      </w:pPr>
      <w:r>
        <w:rPr>
          <w:sz w:val="14"/>
        </w:rPr>
        <w:t xml:space="preserve">│  │                │            │            │                      │                         │нельзя           │</w:t>
      </w:r>
    </w:p>
    <w:p>
      <w:pPr>
        <w:pStyle w:val="3"/>
        <w:jc w:val="both"/>
      </w:pPr>
      <w:r>
        <w:rPr>
          <w:sz w:val="14"/>
        </w:rPr>
        <w:t xml:space="preserve">│  │                │            │            │                      │                         │осуществить при  │</w:t>
      </w:r>
    </w:p>
    <w:p>
      <w:pPr>
        <w:pStyle w:val="3"/>
        <w:jc w:val="both"/>
      </w:pPr>
      <w:r>
        <w:rPr>
          <w:sz w:val="14"/>
        </w:rPr>
        <w:t xml:space="preserve">│  │                │            │            │                      │                         │имеющихся        │</w:t>
      </w:r>
    </w:p>
    <w:p>
      <w:pPr>
        <w:pStyle w:val="3"/>
        <w:jc w:val="both"/>
      </w:pPr>
      <w:r>
        <w:rPr>
          <w:sz w:val="14"/>
        </w:rPr>
        <w:t xml:space="preserve">│  │                │            │            │                      │                         │условиях (такие, │</w:t>
      </w:r>
    </w:p>
    <w:p>
      <w:pPr>
        <w:pStyle w:val="3"/>
        <w:jc w:val="both"/>
      </w:pPr>
      <w:r>
        <w:rPr>
          <w:sz w:val="14"/>
        </w:rPr>
        <w:t xml:space="preserve">│  │                │            │            │                      │                         │как судостроение,│</w:t>
      </w:r>
    </w:p>
    <w:p>
      <w:pPr>
        <w:pStyle w:val="3"/>
        <w:jc w:val="both"/>
      </w:pPr>
      <w:r>
        <w:rPr>
          <w:sz w:val="14"/>
        </w:rPr>
        <w:t xml:space="preserve">│  │                │            │            │                      │                         │покраска         │</w:t>
      </w:r>
    </w:p>
    <w:p>
      <w:pPr>
        <w:pStyle w:val="3"/>
        <w:jc w:val="both"/>
      </w:pPr>
      <w:r>
        <w:rPr>
          <w:sz w:val="14"/>
        </w:rPr>
        <w:t xml:space="preserve">│  │                │            │            │                      │                         │самолета), могут │</w:t>
      </w:r>
    </w:p>
    <w:p>
      <w:pPr>
        <w:pStyle w:val="3"/>
        <w:jc w:val="both"/>
      </w:pPr>
      <w:r>
        <w:rPr>
          <w:sz w:val="14"/>
        </w:rPr>
        <w:t xml:space="preserve">│  │                │            │            │                      │                         │не применяться   │</w:t>
      </w:r>
    </w:p>
    <w:p>
      <w:pPr>
        <w:pStyle w:val="3"/>
        <w:jc w:val="both"/>
      </w:pPr>
      <w:r>
        <w:rPr>
          <w:sz w:val="14"/>
        </w:rPr>
        <w:t xml:space="preserve">│  │                │            │            │                      │                         │данные значения, │</w:t>
      </w:r>
    </w:p>
    <w:p>
      <w:pPr>
        <w:pStyle w:val="3"/>
        <w:jc w:val="both"/>
      </w:pPr>
      <w:r>
        <w:rPr>
          <w:sz w:val="14"/>
        </w:rPr>
        <w:t xml:space="preserve">│  │                │            │            │                      │                         │согласно статье  │</w:t>
      </w:r>
    </w:p>
    <w:p>
      <w:pPr>
        <w:pStyle w:val="3"/>
        <w:jc w:val="both"/>
      </w:pPr>
      <w:r>
        <w:rPr>
          <w:sz w:val="14"/>
        </w:rPr>
        <w:t xml:space="preserve">│  │                │            │            │                      │                         │</w:t>
      </w:r>
      <w:hyperlink w:history="0" w:anchor="P985" w:tooltip="3. В порядке частичного отступления от параграфа 1 настоящей статьи для деятельности, связанной с покрытием, как предусмотрено пунктом 8 таблицы в части 2 Приложения VII к настоящей Директиве, которая не может осуществляться в соответствии с условиями использования, компетентный орган вправе санкционировать несоблюдение установкой требований указанного параграфа, если оператор докажет компетентному органу отсутствие экономической и технической возможности по их соблюдению, а также использование наилучших...">
        <w:r>
          <w:rPr>
            <w:sz w:val="14"/>
            <w:color w:val="0000ff"/>
          </w:rPr>
          <w:t xml:space="preserve">59 (3)</w:t>
        </w:r>
      </w:hyperlink>
      <w:r>
        <w:rPr>
          <w:sz w:val="14"/>
        </w:rPr>
        <w:t xml:space="preserve"> настоящей │</w:t>
      </w:r>
    </w:p>
    <w:p>
      <w:pPr>
        <w:pStyle w:val="3"/>
        <w:jc w:val="both"/>
      </w:pPr>
      <w:r>
        <w:rPr>
          <w:sz w:val="14"/>
        </w:rPr>
        <w:t xml:space="preserve">│  │                │            │            │                      │                         │Директивы.       │</w:t>
      </w:r>
    </w:p>
    <w:bookmarkStart w:id="3000" w:name="P3000"/>
    <w:bookmarkEnd w:id="3000"/>
    <w:p>
      <w:pPr>
        <w:pStyle w:val="3"/>
        <w:jc w:val="both"/>
      </w:pPr>
      <w:r>
        <w:rPr>
          <w:sz w:val="14"/>
        </w:rPr>
        <w:t xml:space="preserve">│  │                │            │            │                      │                         │&lt;5&gt; На           │</w:t>
      </w:r>
    </w:p>
    <w:p>
      <w:pPr>
        <w:pStyle w:val="3"/>
        <w:jc w:val="both"/>
      </w:pPr>
      <w:r>
        <w:rPr>
          <w:sz w:val="14"/>
        </w:rPr>
        <w:t xml:space="preserve">│  │                │            │            │                      │                         │ротационную      │</w:t>
      </w:r>
    </w:p>
    <w:p>
      <w:pPr>
        <w:pStyle w:val="3"/>
        <w:jc w:val="both"/>
      </w:pPr>
      <w:r>
        <w:rPr>
          <w:sz w:val="14"/>
        </w:rPr>
        <w:t xml:space="preserve">│  │                │            │            │                      │                         │трафаретную      │</w:t>
      </w:r>
    </w:p>
    <w:p>
      <w:pPr>
        <w:pStyle w:val="3"/>
        <w:jc w:val="both"/>
      </w:pPr>
      <w:r>
        <w:rPr>
          <w:sz w:val="14"/>
        </w:rPr>
        <w:t xml:space="preserve">│  │                │            │            │                      │                         │печать на        │</w:t>
      </w:r>
    </w:p>
    <w:p>
      <w:pPr>
        <w:pStyle w:val="3"/>
        <w:jc w:val="both"/>
      </w:pPr>
      <w:r>
        <w:rPr>
          <w:sz w:val="14"/>
        </w:rPr>
        <w:t xml:space="preserve">│  │                │            │            │                      │                         │текстиле         │</w:t>
      </w:r>
    </w:p>
    <w:p>
      <w:pPr>
        <w:pStyle w:val="3"/>
        <w:jc w:val="both"/>
      </w:pPr>
      <w:r>
        <w:rPr>
          <w:sz w:val="14"/>
        </w:rPr>
        <w:t xml:space="preserve">│  │                │            │            │                      │                         │распространяется │</w:t>
      </w:r>
    </w:p>
    <w:p>
      <w:pPr>
        <w:pStyle w:val="3"/>
        <w:jc w:val="both"/>
      </w:pPr>
      <w:r>
        <w:rPr>
          <w:sz w:val="14"/>
        </w:rPr>
        <w:t xml:space="preserve">│  │                │            │            │                      │                         │вид деятельности │</w:t>
      </w:r>
    </w:p>
    <w:p>
      <w:pPr>
        <w:pStyle w:val="3"/>
        <w:jc w:val="both"/>
      </w:pPr>
      <w:r>
        <w:rPr>
          <w:sz w:val="14"/>
        </w:rPr>
        <w:t xml:space="preserve">│  │                │            │            │                      │                         │N 3.             │</w:t>
      </w:r>
    </w:p>
    <w:p>
      <w:pPr>
        <w:pStyle w:val="3"/>
        <w:jc w:val="both"/>
      </w:pPr>
      <w:r>
        <w:rPr>
          <w:sz w:val="14"/>
        </w:rPr>
        <w:t xml:space="preserve">├──┼────────────────┼────────────┼────────────┼──────────────────────┼─────────────────────────┼─────────────────┤</w:t>
      </w:r>
    </w:p>
    <w:p>
      <w:pPr>
        <w:pStyle w:val="3"/>
        <w:jc w:val="both"/>
      </w:pPr>
      <w:r>
        <w:rPr>
          <w:sz w:val="14"/>
        </w:rPr>
        <w:t xml:space="preserve">│9 │Покрытие        │            │            │                      │10 г/кг &lt;1&gt;              │&lt;1&gt; Применяется к│</w:t>
      </w:r>
    </w:p>
    <w:p>
      <w:pPr>
        <w:pStyle w:val="3"/>
        <w:jc w:val="both"/>
      </w:pPr>
      <w:r>
        <w:rPr>
          <w:sz w:val="14"/>
        </w:rPr>
        <w:t xml:space="preserve">│  │обмоточного     │            │            │                      │                         │установкам со    │</w:t>
      </w:r>
    </w:p>
    <w:p>
      <w:pPr>
        <w:pStyle w:val="3"/>
        <w:jc w:val="both"/>
      </w:pPr>
      <w:r>
        <w:rPr>
          <w:sz w:val="14"/>
        </w:rPr>
        <w:t xml:space="preserve">│  │провода (&gt; 5)   │            │            │                      │5 г/кг &lt;2&gt;               │средним диаметром│</w:t>
      </w:r>
    </w:p>
    <w:p>
      <w:pPr>
        <w:pStyle w:val="3"/>
        <w:jc w:val="both"/>
      </w:pPr>
      <w:r>
        <w:rPr>
          <w:sz w:val="14"/>
        </w:rPr>
        <w:t xml:space="preserve">│  │                │            │            │                      │                         │провода &lt;= 0,1   │</w:t>
      </w:r>
    </w:p>
    <w:p>
      <w:pPr>
        <w:pStyle w:val="3"/>
        <w:jc w:val="both"/>
      </w:pPr>
      <w:r>
        <w:rPr>
          <w:sz w:val="14"/>
        </w:rPr>
        <w:t xml:space="preserve">│  │                │            │            │                      │                         │мм.              │</w:t>
      </w:r>
    </w:p>
    <w:p>
      <w:pPr>
        <w:pStyle w:val="3"/>
        <w:jc w:val="both"/>
      </w:pPr>
      <w:r>
        <w:rPr>
          <w:sz w:val="14"/>
        </w:rPr>
        <w:t xml:space="preserve">│  │                │            │            │                      │                         │&lt;2&gt; Применяется к│</w:t>
      </w:r>
    </w:p>
    <w:p>
      <w:pPr>
        <w:pStyle w:val="3"/>
        <w:jc w:val="both"/>
      </w:pPr>
      <w:r>
        <w:rPr>
          <w:sz w:val="14"/>
        </w:rPr>
        <w:t xml:space="preserve">│  │                │            │            │                      │                         │иным установкам. │</w:t>
      </w:r>
    </w:p>
    <w:p>
      <w:pPr>
        <w:pStyle w:val="3"/>
        <w:jc w:val="both"/>
      </w:pPr>
      <w:r>
        <w:rPr>
          <w:sz w:val="14"/>
        </w:rPr>
        <w:t xml:space="preserve">├──┼────────────────┼────────────┼────────────┼──────────────────────┼─────────────────────────┼─────────────────┤</w:t>
      </w:r>
    </w:p>
    <w:bookmarkStart w:id="3017" w:name="P3017"/>
    <w:bookmarkEnd w:id="3017"/>
    <w:p>
      <w:pPr>
        <w:pStyle w:val="3"/>
        <w:jc w:val="both"/>
      </w:pPr>
      <w:r>
        <w:rPr>
          <w:sz w:val="14"/>
        </w:rPr>
        <w:t xml:space="preserve">│10│Покрытие        │ 15 - 25    │100 &lt;1&gt;     │25                    │                         │&lt;1&gt; Пороговое    │</w:t>
      </w:r>
    </w:p>
    <w:p>
      <w:pPr>
        <w:pStyle w:val="3"/>
        <w:jc w:val="both"/>
      </w:pPr>
      <w:r>
        <w:rPr>
          <w:sz w:val="14"/>
        </w:rPr>
        <w:t xml:space="preserve">│  │деревянных      │            │            │                      │                         │значение выбросов│</w:t>
      </w:r>
    </w:p>
    <w:p>
      <w:pPr>
        <w:pStyle w:val="3"/>
        <w:jc w:val="both"/>
      </w:pPr>
      <w:r>
        <w:rPr>
          <w:sz w:val="14"/>
        </w:rPr>
        <w:t xml:space="preserve">│  │поверхностей    │    &gt; 25    │50/75 </w:t>
      </w:r>
      <w:hyperlink w:history="0" w:anchor="P3026" w:tooltip="│  │                │            │            │                      │                         │&lt;2&gt; Первое       │">
        <w:r>
          <w:rPr>
            <w:sz w:val="14"/>
            <w:color w:val="0000ff"/>
          </w:rPr>
          <w:t xml:space="preserve">&lt;2&gt;</w:t>
        </w:r>
      </w:hyperlink>
      <w:r>
        <w:rPr>
          <w:sz w:val="14"/>
        </w:rPr>
        <w:t xml:space="preserve">   │20                    │                         │применяется к    │</w:t>
      </w:r>
    </w:p>
    <w:p>
      <w:pPr>
        <w:pStyle w:val="3"/>
        <w:jc w:val="both"/>
      </w:pPr>
      <w:r>
        <w:rPr>
          <w:sz w:val="14"/>
        </w:rPr>
        <w:t xml:space="preserve">│  │(&gt; 15)          │            │            │                      │                         │процессам        │</w:t>
      </w:r>
    </w:p>
    <w:p>
      <w:pPr>
        <w:pStyle w:val="3"/>
        <w:jc w:val="both"/>
      </w:pPr>
      <w:r>
        <w:rPr>
          <w:sz w:val="14"/>
        </w:rPr>
        <w:t xml:space="preserve">│  │                │            │            │                      │                         │покрытия и сушки,│</w:t>
      </w:r>
    </w:p>
    <w:p>
      <w:pPr>
        <w:pStyle w:val="3"/>
        <w:jc w:val="both"/>
      </w:pPr>
      <w:r>
        <w:rPr>
          <w:sz w:val="14"/>
        </w:rPr>
        <w:t xml:space="preserve">│  │                │            │            │                      │                         │которые          │</w:t>
      </w:r>
    </w:p>
    <w:p>
      <w:pPr>
        <w:pStyle w:val="3"/>
        <w:jc w:val="both"/>
      </w:pPr>
      <w:r>
        <w:rPr>
          <w:sz w:val="14"/>
        </w:rPr>
        <w:t xml:space="preserve">│  │                │            │            │                      │                         │осуществляются   │</w:t>
      </w:r>
    </w:p>
    <w:p>
      <w:pPr>
        <w:pStyle w:val="3"/>
        <w:jc w:val="both"/>
      </w:pPr>
      <w:r>
        <w:rPr>
          <w:sz w:val="14"/>
        </w:rPr>
        <w:t xml:space="preserve">│  │                │            │            │                      │                         │при имеющихся    │</w:t>
      </w:r>
    </w:p>
    <w:p>
      <w:pPr>
        <w:pStyle w:val="3"/>
        <w:jc w:val="both"/>
      </w:pPr>
      <w:r>
        <w:rPr>
          <w:sz w:val="14"/>
        </w:rPr>
        <w:t xml:space="preserve">│  │                │            │            │                      │                         │условиях.        │</w:t>
      </w:r>
    </w:p>
    <w:bookmarkStart w:id="3026" w:name="P3026"/>
    <w:bookmarkEnd w:id="3026"/>
    <w:p>
      <w:pPr>
        <w:pStyle w:val="3"/>
        <w:jc w:val="both"/>
      </w:pPr>
      <w:r>
        <w:rPr>
          <w:sz w:val="14"/>
        </w:rPr>
        <w:t xml:space="preserve">│  │                │            │            │                      │                         │&lt;2&gt; Первое       │</w:t>
      </w:r>
    </w:p>
    <w:p>
      <w:pPr>
        <w:pStyle w:val="3"/>
        <w:jc w:val="both"/>
      </w:pPr>
      <w:r>
        <w:rPr>
          <w:sz w:val="14"/>
        </w:rPr>
        <w:t xml:space="preserve">│  │                │            │            │                      │                         │пороговое        │</w:t>
      </w:r>
    </w:p>
    <w:p>
      <w:pPr>
        <w:pStyle w:val="3"/>
        <w:jc w:val="both"/>
      </w:pPr>
      <w:r>
        <w:rPr>
          <w:sz w:val="14"/>
        </w:rPr>
        <w:t xml:space="preserve">│  │                │            │            │                      │                         │значение выбросов│</w:t>
      </w:r>
    </w:p>
    <w:p>
      <w:pPr>
        <w:pStyle w:val="3"/>
        <w:jc w:val="both"/>
      </w:pPr>
      <w:r>
        <w:rPr>
          <w:sz w:val="14"/>
        </w:rPr>
        <w:t xml:space="preserve">│  │                │            │            │                      │                         │применяется к    │</w:t>
      </w:r>
    </w:p>
    <w:p>
      <w:pPr>
        <w:pStyle w:val="3"/>
        <w:jc w:val="both"/>
      </w:pPr>
      <w:r>
        <w:rPr>
          <w:sz w:val="14"/>
        </w:rPr>
        <w:t xml:space="preserve">│  │                │            │            │                      │                         │процессу сушки,  │</w:t>
      </w:r>
    </w:p>
    <w:p>
      <w:pPr>
        <w:pStyle w:val="3"/>
        <w:jc w:val="both"/>
      </w:pPr>
      <w:r>
        <w:rPr>
          <w:sz w:val="14"/>
        </w:rPr>
        <w:t xml:space="preserve">│  │                │            │            │                      │                         │второе - к       │</w:t>
      </w:r>
    </w:p>
    <w:p>
      <w:pPr>
        <w:pStyle w:val="3"/>
        <w:jc w:val="both"/>
      </w:pPr>
      <w:r>
        <w:rPr>
          <w:sz w:val="14"/>
        </w:rPr>
        <w:t xml:space="preserve">│  │                │            │            │                      │                         │процессу         │</w:t>
      </w:r>
    </w:p>
    <w:p>
      <w:pPr>
        <w:pStyle w:val="3"/>
        <w:jc w:val="both"/>
      </w:pPr>
      <w:r>
        <w:rPr>
          <w:sz w:val="14"/>
        </w:rPr>
        <w:t xml:space="preserve">│  │                │            │            │                      │                         │покрытия.        │</w:t>
      </w:r>
    </w:p>
    <w:p>
      <w:pPr>
        <w:pStyle w:val="3"/>
        <w:jc w:val="both"/>
      </w:pPr>
      <w:r>
        <w:rPr>
          <w:sz w:val="14"/>
        </w:rPr>
        <w:t xml:space="preserve">├──┼────────────────┼────────────┼────────────┼──────────────────────┼─────────────────────────┼─────────────────┤</w:t>
      </w:r>
    </w:p>
    <w:p>
      <w:pPr>
        <w:pStyle w:val="3"/>
        <w:jc w:val="both"/>
      </w:pPr>
      <w:r>
        <w:rPr>
          <w:sz w:val="14"/>
        </w:rPr>
        <w:t xml:space="preserve">│11│Сухая очистка   │            │            │                      │20 г/кг &lt;1&gt; </w:t>
      </w:r>
      <w:hyperlink w:history="0" w:anchor="P3043" w:tooltip="│  │                │            │            │                      │                         │&lt;2&gt; Пороговое    │">
        <w:r>
          <w:rPr>
            <w:sz w:val="14"/>
            <w:color w:val="0000ff"/>
          </w:rPr>
          <w:t xml:space="preserve">&lt;2&gt;</w:t>
        </w:r>
      </w:hyperlink>
      <w:r>
        <w:rPr>
          <w:sz w:val="14"/>
        </w:rPr>
        <w:t xml:space="preserve">          │&lt;1&gt; Выражено в   │</w:t>
      </w:r>
    </w:p>
    <w:p>
      <w:pPr>
        <w:pStyle w:val="3"/>
        <w:jc w:val="both"/>
      </w:pPr>
      <w:r>
        <w:rPr>
          <w:sz w:val="14"/>
        </w:rPr>
        <w:t xml:space="preserve">│  │                │            │            │                      │                         │массе            │</w:t>
      </w:r>
    </w:p>
    <w:p>
      <w:pPr>
        <w:pStyle w:val="3"/>
        <w:jc w:val="both"/>
      </w:pPr>
      <w:r>
        <w:rPr>
          <w:sz w:val="14"/>
        </w:rPr>
        <w:t xml:space="preserve">│  │                │            │            │                      │                         │растворителя,    │</w:t>
      </w:r>
    </w:p>
    <w:p>
      <w:pPr>
        <w:pStyle w:val="3"/>
        <w:jc w:val="both"/>
      </w:pPr>
      <w:r>
        <w:rPr>
          <w:sz w:val="14"/>
        </w:rPr>
        <w:t xml:space="preserve">│  │                │            │            │                      │                         │выделяемого на   │</w:t>
      </w:r>
    </w:p>
    <w:p>
      <w:pPr>
        <w:pStyle w:val="3"/>
        <w:jc w:val="both"/>
      </w:pPr>
      <w:r>
        <w:rPr>
          <w:sz w:val="14"/>
        </w:rPr>
        <w:t xml:space="preserve">│  │                │            │            │                      │                         │килограмм        │</w:t>
      </w:r>
    </w:p>
    <w:p>
      <w:pPr>
        <w:pStyle w:val="3"/>
        <w:jc w:val="both"/>
      </w:pPr>
      <w:r>
        <w:rPr>
          <w:sz w:val="14"/>
        </w:rPr>
        <w:t xml:space="preserve">│  │                │            │            │                      │                         │очищенного и     │</w:t>
      </w:r>
    </w:p>
    <w:p>
      <w:pPr>
        <w:pStyle w:val="3"/>
        <w:jc w:val="both"/>
      </w:pPr>
      <w:r>
        <w:rPr>
          <w:sz w:val="14"/>
        </w:rPr>
        <w:t xml:space="preserve">│  │                │            │            │                      │                         │высушенного      │</w:t>
      </w:r>
    </w:p>
    <w:p>
      <w:pPr>
        <w:pStyle w:val="3"/>
        <w:jc w:val="both"/>
      </w:pPr>
      <w:r>
        <w:rPr>
          <w:sz w:val="14"/>
        </w:rPr>
        <w:t xml:space="preserve">│  │                │            │            │                      │                         │продукта.        │</w:t>
      </w:r>
    </w:p>
    <w:bookmarkStart w:id="3043" w:name="P3043"/>
    <w:bookmarkEnd w:id="3043"/>
    <w:p>
      <w:pPr>
        <w:pStyle w:val="3"/>
        <w:jc w:val="both"/>
      </w:pPr>
      <w:r>
        <w:rPr>
          <w:sz w:val="14"/>
        </w:rPr>
        <w:t xml:space="preserve">│  │                │            │            │                      │                         │&lt;2&gt; Пороговое    │</w:t>
      </w:r>
    </w:p>
    <w:p>
      <w:pPr>
        <w:pStyle w:val="3"/>
        <w:jc w:val="both"/>
      </w:pPr>
      <w:r>
        <w:rPr>
          <w:sz w:val="14"/>
        </w:rPr>
        <w:t xml:space="preserve">│  │                │            │            │                      │                         │значение         │</w:t>
      </w:r>
    </w:p>
    <w:p>
      <w:pPr>
        <w:pStyle w:val="3"/>
        <w:jc w:val="both"/>
      </w:pPr>
      <w:r>
        <w:rPr>
          <w:sz w:val="14"/>
        </w:rPr>
        <w:t xml:space="preserve">│  │                │            │            │                      │                         │выбросов,        │</w:t>
      </w:r>
    </w:p>
    <w:p>
      <w:pPr>
        <w:pStyle w:val="3"/>
        <w:jc w:val="both"/>
      </w:pPr>
      <w:r>
        <w:rPr>
          <w:sz w:val="14"/>
        </w:rPr>
        <w:t xml:space="preserve">│  │                │            │            │                      │                         │указанное в      │</w:t>
      </w:r>
    </w:p>
    <w:p>
      <w:pPr>
        <w:pStyle w:val="3"/>
        <w:jc w:val="both"/>
      </w:pPr>
      <w:r>
        <w:rPr>
          <w:sz w:val="14"/>
        </w:rPr>
        <w:t xml:space="preserve">│  │                │            │            │                      │                         │</w:t>
      </w:r>
      <w:hyperlink w:history="0" w:anchor="P3261" w:tooltip="    2.  Для  выбросов  галогенированных  летучих  органических  соединений,">
        <w:r>
          <w:rPr>
            <w:sz w:val="14"/>
            <w:color w:val="0000ff"/>
          </w:rPr>
          <w:t xml:space="preserve">пункте 2 части 4</w:t>
        </w:r>
      </w:hyperlink>
      <w:r>
        <w:rPr>
          <w:sz w:val="14"/>
        </w:rPr>
        <w:t xml:space="preserve">,│</w:t>
      </w:r>
    </w:p>
    <w:p>
      <w:pPr>
        <w:pStyle w:val="3"/>
        <w:jc w:val="both"/>
      </w:pPr>
      <w:r>
        <w:rPr>
          <w:sz w:val="14"/>
        </w:rPr>
        <w:t xml:space="preserve">│  │                │            │            │                      │                         │не применяется к │</w:t>
      </w:r>
    </w:p>
    <w:p>
      <w:pPr>
        <w:pStyle w:val="3"/>
        <w:jc w:val="both"/>
      </w:pPr>
      <w:r>
        <w:rPr>
          <w:sz w:val="14"/>
        </w:rPr>
        <w:t xml:space="preserve">│  │                │            │            │                      │                         │этому виду       │</w:t>
      </w:r>
    </w:p>
    <w:p>
      <w:pPr>
        <w:pStyle w:val="3"/>
        <w:jc w:val="both"/>
      </w:pPr>
      <w:r>
        <w:rPr>
          <w:sz w:val="14"/>
        </w:rPr>
        <w:t xml:space="preserve">│  │                │            │            │                      │                         │деятельности.    │</w:t>
      </w:r>
    </w:p>
    <w:p>
      <w:pPr>
        <w:pStyle w:val="3"/>
        <w:jc w:val="both"/>
      </w:pPr>
      <w:r>
        <w:rPr>
          <w:sz w:val="14"/>
        </w:rPr>
        <w:t xml:space="preserve">├──┼────────────────┼────────────┼────────────┼──────────────────────┼─────────────────────────┼─────────────────┤</w:t>
      </w:r>
    </w:p>
    <w:p>
      <w:pPr>
        <w:pStyle w:val="3"/>
        <w:jc w:val="both"/>
      </w:pPr>
      <w:r>
        <w:rPr>
          <w:sz w:val="14"/>
        </w:rPr>
        <w:t xml:space="preserve">│12│Пропитка        │            │100 &lt;1&gt;     │45                    │11 кг/куб. м             │&lt;1&gt; Пороговое    │</w:t>
      </w:r>
    </w:p>
    <w:p>
      <w:pPr>
        <w:pStyle w:val="3"/>
        <w:jc w:val="both"/>
      </w:pPr>
      <w:r>
        <w:rPr>
          <w:sz w:val="14"/>
        </w:rPr>
        <w:t xml:space="preserve">│  │древесины (&gt; 25)│            │            │                      │                         │значение выбросов│</w:t>
      </w:r>
    </w:p>
    <w:p>
      <w:pPr>
        <w:pStyle w:val="3"/>
        <w:jc w:val="both"/>
      </w:pPr>
      <w:r>
        <w:rPr>
          <w:sz w:val="14"/>
        </w:rPr>
        <w:t xml:space="preserve">│  │                │            │            │                      │                         │не применяется к │</w:t>
      </w:r>
    </w:p>
    <w:p>
      <w:pPr>
        <w:pStyle w:val="3"/>
        <w:jc w:val="both"/>
      </w:pPr>
      <w:r>
        <w:rPr>
          <w:sz w:val="14"/>
        </w:rPr>
        <w:t xml:space="preserve">│  │                │            │            │                      │                         │пропитке         │</w:t>
      </w:r>
    </w:p>
    <w:p>
      <w:pPr>
        <w:pStyle w:val="3"/>
        <w:jc w:val="both"/>
      </w:pPr>
      <w:r>
        <w:rPr>
          <w:sz w:val="14"/>
        </w:rPr>
        <w:t xml:space="preserve">│  │                │            │            │                      │                         │креозотом.       │</w:t>
      </w:r>
    </w:p>
    <w:p>
      <w:pPr>
        <w:pStyle w:val="3"/>
        <w:jc w:val="both"/>
      </w:pPr>
      <w:r>
        <w:rPr>
          <w:sz w:val="14"/>
        </w:rPr>
        <w:t xml:space="preserve">├──┼────────────────┼────────────┼────────────┼──────────────────────┼─────────────────────────┼─────────────────┤</w:t>
      </w:r>
    </w:p>
    <w:bookmarkStart w:id="3058" w:name="P3058"/>
    <w:bookmarkEnd w:id="3058"/>
    <w:p>
      <w:pPr>
        <w:pStyle w:val="3"/>
        <w:jc w:val="both"/>
      </w:pPr>
      <w:r>
        <w:rPr>
          <w:sz w:val="14"/>
        </w:rPr>
        <w:t xml:space="preserve">│13│Покрытие кожи   │ 10 - 25    │            │                      │85 г/кв. м               │Пороговые        │</w:t>
      </w:r>
    </w:p>
    <w:p>
      <w:pPr>
        <w:pStyle w:val="3"/>
        <w:jc w:val="both"/>
      </w:pPr>
      <w:r>
        <w:rPr>
          <w:sz w:val="14"/>
        </w:rPr>
        <w:t xml:space="preserve">│  │(&gt; 10)          │            │            │                      │                         │значения выбросов│</w:t>
      </w:r>
    </w:p>
    <w:p>
      <w:pPr>
        <w:pStyle w:val="3"/>
        <w:jc w:val="both"/>
      </w:pPr>
      <w:r>
        <w:rPr>
          <w:sz w:val="14"/>
        </w:rPr>
        <w:t xml:space="preserve">│  │                │    &gt; 25    │            │                      │75 г/кв. м               │выражены в       │</w:t>
      </w:r>
    </w:p>
    <w:p>
      <w:pPr>
        <w:pStyle w:val="3"/>
        <w:jc w:val="both"/>
      </w:pPr>
      <w:r>
        <w:rPr>
          <w:sz w:val="14"/>
        </w:rPr>
        <w:t xml:space="preserve">│  │                │            │            │                      │                         │граммах          │</w:t>
      </w:r>
    </w:p>
    <w:p>
      <w:pPr>
        <w:pStyle w:val="3"/>
        <w:jc w:val="both"/>
      </w:pPr>
      <w:r>
        <w:rPr>
          <w:sz w:val="14"/>
        </w:rPr>
        <w:t xml:space="preserve">│  │                │    &gt; 10 &lt;1&gt;│            │                      │150 г/кв. м              │растворителя,    │</w:t>
      </w:r>
    </w:p>
    <w:p>
      <w:pPr>
        <w:pStyle w:val="3"/>
        <w:jc w:val="both"/>
      </w:pPr>
      <w:r>
        <w:rPr>
          <w:sz w:val="14"/>
        </w:rPr>
        <w:t xml:space="preserve">│  │                │            │            │                      │                         │выделяемого на   │</w:t>
      </w:r>
    </w:p>
    <w:p>
      <w:pPr>
        <w:pStyle w:val="3"/>
        <w:jc w:val="both"/>
      </w:pPr>
      <w:r>
        <w:rPr>
          <w:sz w:val="14"/>
        </w:rPr>
        <w:t xml:space="preserve">│  │                │            │            │                      │                         │кв. м            │</w:t>
      </w:r>
    </w:p>
    <w:p>
      <w:pPr>
        <w:pStyle w:val="3"/>
        <w:jc w:val="both"/>
      </w:pPr>
      <w:r>
        <w:rPr>
          <w:sz w:val="14"/>
        </w:rPr>
        <w:t xml:space="preserve">│  │                │            │            │                      │                         │произведенного   │</w:t>
      </w:r>
    </w:p>
    <w:p>
      <w:pPr>
        <w:pStyle w:val="3"/>
        <w:jc w:val="both"/>
      </w:pPr>
      <w:r>
        <w:rPr>
          <w:sz w:val="14"/>
        </w:rPr>
        <w:t xml:space="preserve">│  │                │            │            │                      │                         │продукта.        │</w:t>
      </w:r>
    </w:p>
    <w:p>
      <w:pPr>
        <w:pStyle w:val="3"/>
        <w:jc w:val="both"/>
      </w:pPr>
      <w:r>
        <w:rPr>
          <w:sz w:val="14"/>
        </w:rPr>
        <w:t xml:space="preserve">│  │                │            │            │                      │                         │&lt;1&gt; В отношении  │</w:t>
      </w:r>
    </w:p>
    <w:p>
      <w:pPr>
        <w:pStyle w:val="3"/>
        <w:jc w:val="both"/>
      </w:pPr>
      <w:r>
        <w:rPr>
          <w:sz w:val="14"/>
        </w:rPr>
        <w:t xml:space="preserve">│  │                │            │            │                      │                         │покрытия кожи в  │</w:t>
      </w:r>
    </w:p>
    <w:p>
      <w:pPr>
        <w:pStyle w:val="3"/>
        <w:jc w:val="both"/>
      </w:pPr>
      <w:r>
        <w:rPr>
          <w:sz w:val="14"/>
        </w:rPr>
        <w:t xml:space="preserve">│  │                │            │            │                      │                         │меблировке и, в  │</w:t>
      </w:r>
    </w:p>
    <w:p>
      <w:pPr>
        <w:pStyle w:val="3"/>
        <w:jc w:val="both"/>
      </w:pPr>
      <w:r>
        <w:rPr>
          <w:sz w:val="14"/>
        </w:rPr>
        <w:t xml:space="preserve">│  │                │            │            │                      │                         │частности, в     │</w:t>
      </w:r>
    </w:p>
    <w:p>
      <w:pPr>
        <w:pStyle w:val="3"/>
        <w:jc w:val="both"/>
      </w:pPr>
      <w:r>
        <w:rPr>
          <w:sz w:val="14"/>
        </w:rPr>
        <w:t xml:space="preserve">│  │                │            │            │                      │                         │кожаных товарах, │</w:t>
      </w:r>
    </w:p>
    <w:p>
      <w:pPr>
        <w:pStyle w:val="3"/>
        <w:jc w:val="both"/>
      </w:pPr>
      <w:r>
        <w:rPr>
          <w:sz w:val="14"/>
        </w:rPr>
        <w:t xml:space="preserve">│  │                │            │            │                      │                         │используемых в   │</w:t>
      </w:r>
    </w:p>
    <w:p>
      <w:pPr>
        <w:pStyle w:val="3"/>
        <w:jc w:val="both"/>
      </w:pPr>
      <w:r>
        <w:rPr>
          <w:sz w:val="14"/>
        </w:rPr>
        <w:t xml:space="preserve">│  │                │            │            │                      │                         │качестве товаров │</w:t>
      </w:r>
    </w:p>
    <w:p>
      <w:pPr>
        <w:pStyle w:val="3"/>
        <w:jc w:val="both"/>
      </w:pPr>
      <w:r>
        <w:rPr>
          <w:sz w:val="14"/>
        </w:rPr>
        <w:t xml:space="preserve">│  │                │            │            │                      │                         │мелкого          │</w:t>
      </w:r>
    </w:p>
    <w:p>
      <w:pPr>
        <w:pStyle w:val="3"/>
        <w:jc w:val="both"/>
      </w:pPr>
      <w:r>
        <w:rPr>
          <w:sz w:val="14"/>
        </w:rPr>
        <w:t xml:space="preserve">│  │                │            │            │                      │                         │потребления,     │</w:t>
      </w:r>
    </w:p>
    <w:p>
      <w:pPr>
        <w:pStyle w:val="3"/>
        <w:jc w:val="both"/>
      </w:pPr>
      <w:r>
        <w:rPr>
          <w:sz w:val="14"/>
        </w:rPr>
        <w:t xml:space="preserve">│  │                │            │            │                      │                         │таких, как сумки,│</w:t>
      </w:r>
    </w:p>
    <w:p>
      <w:pPr>
        <w:pStyle w:val="3"/>
        <w:jc w:val="both"/>
      </w:pPr>
      <w:r>
        <w:rPr>
          <w:sz w:val="14"/>
        </w:rPr>
        <w:t xml:space="preserve">│  │                │            │            │                      │                         │пояса, бумажники │</w:t>
      </w:r>
    </w:p>
    <w:p>
      <w:pPr>
        <w:pStyle w:val="3"/>
        <w:jc w:val="both"/>
      </w:pPr>
      <w:r>
        <w:rPr>
          <w:sz w:val="14"/>
        </w:rPr>
        <w:t xml:space="preserve">│  │                │            │            │                      │                         │и т.д.           │</w:t>
      </w:r>
    </w:p>
    <w:p>
      <w:pPr>
        <w:pStyle w:val="3"/>
        <w:jc w:val="both"/>
      </w:pPr>
      <w:r>
        <w:rPr>
          <w:sz w:val="14"/>
        </w:rPr>
        <w:t xml:space="preserve">├──┼────────────────┼────────────┼────────────┼──────────────────────┼─────────────────────────┼─────────────────┤</w:t>
      </w:r>
    </w:p>
    <w:p>
      <w:pPr>
        <w:pStyle w:val="3"/>
        <w:jc w:val="both"/>
      </w:pPr>
      <w:r>
        <w:rPr>
          <w:sz w:val="14"/>
        </w:rPr>
        <w:t xml:space="preserve">│14│Производство    │            │            │                      │150 г на пару            │Общее пороговое  │</w:t>
      </w:r>
    </w:p>
    <w:p>
      <w:pPr>
        <w:pStyle w:val="3"/>
        <w:jc w:val="both"/>
      </w:pPr>
      <w:r>
        <w:rPr>
          <w:sz w:val="14"/>
        </w:rPr>
        <w:t xml:space="preserve">│  │обуви (&gt; 5)     │            │            │                      │                         │значение выбросов│</w:t>
      </w:r>
    </w:p>
    <w:p>
      <w:pPr>
        <w:pStyle w:val="3"/>
        <w:jc w:val="both"/>
      </w:pPr>
      <w:r>
        <w:rPr>
          <w:sz w:val="14"/>
        </w:rPr>
        <w:t xml:space="preserve">│  │                │            │            │                      │                         │выражено в       │</w:t>
      </w:r>
    </w:p>
    <w:p>
      <w:pPr>
        <w:pStyle w:val="3"/>
        <w:jc w:val="both"/>
      </w:pPr>
      <w:r>
        <w:rPr>
          <w:sz w:val="14"/>
        </w:rPr>
        <w:t xml:space="preserve">│  │                │            │            │                      │                         │граммах          │</w:t>
      </w:r>
    </w:p>
    <w:p>
      <w:pPr>
        <w:pStyle w:val="3"/>
        <w:jc w:val="both"/>
      </w:pPr>
      <w:r>
        <w:rPr>
          <w:sz w:val="14"/>
        </w:rPr>
        <w:t xml:space="preserve">│  │                │            │            │                      │                         │растворителя,    │</w:t>
      </w:r>
    </w:p>
    <w:p>
      <w:pPr>
        <w:pStyle w:val="3"/>
        <w:jc w:val="both"/>
      </w:pPr>
      <w:r>
        <w:rPr>
          <w:sz w:val="14"/>
        </w:rPr>
        <w:t xml:space="preserve">│  │                │            │            │                      │                         │выделяемого на   │</w:t>
      </w:r>
    </w:p>
    <w:p>
      <w:pPr>
        <w:pStyle w:val="3"/>
        <w:jc w:val="both"/>
      </w:pPr>
      <w:r>
        <w:rPr>
          <w:sz w:val="14"/>
        </w:rPr>
        <w:t xml:space="preserve">│  │                │            │            │                      │                         │пару             │</w:t>
      </w:r>
    </w:p>
    <w:p>
      <w:pPr>
        <w:pStyle w:val="3"/>
        <w:jc w:val="both"/>
      </w:pPr>
      <w:r>
        <w:rPr>
          <w:sz w:val="14"/>
        </w:rPr>
        <w:t xml:space="preserve">│  │                │            │            │                      │                         │произведенной    │</w:t>
      </w:r>
    </w:p>
    <w:p>
      <w:pPr>
        <w:pStyle w:val="3"/>
        <w:jc w:val="both"/>
      </w:pPr>
      <w:r>
        <w:rPr>
          <w:sz w:val="14"/>
        </w:rPr>
        <w:t xml:space="preserve">│  │                │            │            │                      │                         │обуви.           │</w:t>
      </w:r>
    </w:p>
    <w:p>
      <w:pPr>
        <w:pStyle w:val="3"/>
        <w:jc w:val="both"/>
      </w:pPr>
      <w:r>
        <w:rPr>
          <w:sz w:val="14"/>
        </w:rPr>
        <w:t xml:space="preserve">├──┼────────────────┼────────────┼────────────┼──────────────────────┼─────────────────────────┼─────────────────┤</w:t>
      </w:r>
    </w:p>
    <w:p>
      <w:pPr>
        <w:pStyle w:val="3"/>
        <w:jc w:val="both"/>
      </w:pPr>
      <w:r>
        <w:rPr>
          <w:sz w:val="14"/>
        </w:rPr>
        <w:t xml:space="preserve">│15│Ламинирование   │            │            │                      │30 г/кв. м               │                 │</w:t>
      </w:r>
    </w:p>
    <w:p>
      <w:pPr>
        <w:pStyle w:val="3"/>
        <w:jc w:val="both"/>
      </w:pPr>
      <w:r>
        <w:rPr>
          <w:sz w:val="14"/>
        </w:rPr>
        <w:t xml:space="preserve">│  │дерева и        │            │            │                      │                         │                 │</w:t>
      </w:r>
    </w:p>
    <w:p>
      <w:pPr>
        <w:pStyle w:val="3"/>
        <w:jc w:val="both"/>
      </w:pPr>
      <w:r>
        <w:rPr>
          <w:sz w:val="14"/>
        </w:rPr>
        <w:t xml:space="preserve">│  │пластика (&gt; 5)  │            │            │                      │                         │                 │</w:t>
      </w:r>
    </w:p>
    <w:p>
      <w:pPr>
        <w:pStyle w:val="3"/>
        <w:jc w:val="both"/>
      </w:pPr>
      <w:r>
        <w:rPr>
          <w:sz w:val="14"/>
        </w:rPr>
        <w:t xml:space="preserve">├──┼────────────────┼────────────┼────────────┼──────────────────────┼─────────────────────────┼─────────────────┤</w:t>
      </w:r>
    </w:p>
    <w:bookmarkStart w:id="3094" w:name="P3094"/>
    <w:bookmarkEnd w:id="3094"/>
    <w:p>
      <w:pPr>
        <w:pStyle w:val="3"/>
        <w:jc w:val="both"/>
      </w:pPr>
      <w:r>
        <w:rPr>
          <w:sz w:val="14"/>
        </w:rPr>
        <w:t xml:space="preserve">│16│Адгезивное      │  5 - 15    │50 &lt;1&gt;      │25                    │                         │&lt;1&gt; При          │</w:t>
      </w:r>
    </w:p>
    <w:p>
      <w:pPr>
        <w:pStyle w:val="3"/>
        <w:jc w:val="both"/>
      </w:pPr>
      <w:r>
        <w:rPr>
          <w:sz w:val="14"/>
        </w:rPr>
        <w:t xml:space="preserve">│  │покрытие (&gt; 5)  │            │            │                      │                         │использовании    │</w:t>
      </w:r>
    </w:p>
    <w:p>
      <w:pPr>
        <w:pStyle w:val="3"/>
        <w:jc w:val="both"/>
      </w:pPr>
      <w:r>
        <w:rPr>
          <w:sz w:val="14"/>
        </w:rPr>
        <w:t xml:space="preserve">│  │                │    &gt; 15    │50 &lt;1&gt;      │20                    │                         │технологий,      │</w:t>
      </w:r>
    </w:p>
    <w:p>
      <w:pPr>
        <w:pStyle w:val="3"/>
        <w:jc w:val="both"/>
      </w:pPr>
      <w:r>
        <w:rPr>
          <w:sz w:val="14"/>
        </w:rPr>
        <w:t xml:space="preserve">│  │                │            │            │                      │                         │допускающих      │</w:t>
      </w:r>
    </w:p>
    <w:p>
      <w:pPr>
        <w:pStyle w:val="3"/>
        <w:jc w:val="both"/>
      </w:pPr>
      <w:r>
        <w:rPr>
          <w:sz w:val="14"/>
        </w:rPr>
        <w:t xml:space="preserve">│  │                │            │            │                      │                         │повторное        │</w:t>
      </w:r>
    </w:p>
    <w:p>
      <w:pPr>
        <w:pStyle w:val="3"/>
        <w:jc w:val="both"/>
      </w:pPr>
      <w:r>
        <w:rPr>
          <w:sz w:val="14"/>
        </w:rPr>
        <w:t xml:space="preserve">│  │                │            │            │                      │                         │использование    │</w:t>
      </w:r>
    </w:p>
    <w:p>
      <w:pPr>
        <w:pStyle w:val="3"/>
        <w:jc w:val="both"/>
      </w:pPr>
      <w:r>
        <w:rPr>
          <w:sz w:val="14"/>
        </w:rPr>
        <w:t xml:space="preserve">│  │                │            │            │                      │                         │рекуперированных │</w:t>
      </w:r>
    </w:p>
    <w:p>
      <w:pPr>
        <w:pStyle w:val="3"/>
        <w:jc w:val="both"/>
      </w:pPr>
      <w:r>
        <w:rPr>
          <w:sz w:val="14"/>
        </w:rPr>
        <w:t xml:space="preserve">│  │                │            │            │                      │                         │растворителей,   │</w:t>
      </w:r>
    </w:p>
    <w:p>
      <w:pPr>
        <w:pStyle w:val="3"/>
        <w:jc w:val="both"/>
      </w:pPr>
      <w:r>
        <w:rPr>
          <w:sz w:val="14"/>
        </w:rPr>
        <w:t xml:space="preserve">│  │                │            │            │                      │                         │пороговое        │</w:t>
      </w:r>
    </w:p>
    <w:p>
      <w:pPr>
        <w:pStyle w:val="3"/>
        <w:jc w:val="both"/>
      </w:pPr>
      <w:r>
        <w:rPr>
          <w:sz w:val="14"/>
        </w:rPr>
        <w:t xml:space="preserve">│  │                │            │            │                      │                         │значение выбросов│</w:t>
      </w:r>
    </w:p>
    <w:p>
      <w:pPr>
        <w:pStyle w:val="3"/>
        <w:jc w:val="both"/>
      </w:pPr>
      <w:r>
        <w:rPr>
          <w:sz w:val="14"/>
        </w:rPr>
        <w:t xml:space="preserve">│  │                │            │            │                      │                         │отработанных     │</w:t>
      </w:r>
    </w:p>
    <w:p>
      <w:pPr>
        <w:pStyle w:val="3"/>
        <w:jc w:val="both"/>
      </w:pPr>
      <w:r>
        <w:rPr>
          <w:sz w:val="14"/>
        </w:rPr>
        <w:t xml:space="preserve">│  │                │            │            │                      │                         │газов равно 150. │</w:t>
      </w:r>
    </w:p>
    <w:p>
      <w:pPr>
        <w:pStyle w:val="3"/>
        <w:jc w:val="both"/>
      </w:pPr>
      <w:r>
        <w:rPr>
          <w:sz w:val="14"/>
        </w:rPr>
        <w:t xml:space="preserve">├──┼────────────────┼────────────┼────────────┼──────────────────────┼─────────────────────────┼─────────────────┤</w:t>
      </w:r>
    </w:p>
    <w:bookmarkStart w:id="3107" w:name="P3107"/>
    <w:bookmarkEnd w:id="3107"/>
    <w:p>
      <w:pPr>
        <w:pStyle w:val="3"/>
        <w:jc w:val="both"/>
      </w:pPr>
      <w:r>
        <w:rPr>
          <w:sz w:val="14"/>
        </w:rPr>
        <w:t xml:space="preserve">│17│Производство    │100 - 1000  │150         │5                     │5% подачи растворителя   │Неконтролируемое │</w:t>
      </w:r>
    </w:p>
    <w:p>
      <w:pPr>
        <w:pStyle w:val="3"/>
        <w:jc w:val="both"/>
      </w:pPr>
      <w:r>
        <w:rPr>
          <w:sz w:val="14"/>
        </w:rPr>
        <w:t xml:space="preserve">│  │смесей для      │            │            │                      │                         │пороговое        │</w:t>
      </w:r>
    </w:p>
    <w:p>
      <w:pPr>
        <w:pStyle w:val="3"/>
        <w:jc w:val="both"/>
      </w:pPr>
      <w:r>
        <w:rPr>
          <w:sz w:val="14"/>
        </w:rPr>
        <w:t xml:space="preserve">│  │покрытия, лаков,│    &gt; 1000  │150         │3                     │3% подачи растворителя   │значение выбросов│</w:t>
      </w:r>
    </w:p>
    <w:p>
      <w:pPr>
        <w:pStyle w:val="3"/>
        <w:jc w:val="both"/>
      </w:pPr>
      <w:r>
        <w:rPr>
          <w:sz w:val="14"/>
        </w:rPr>
        <w:t xml:space="preserve">│  │чернил и        │            │            │                      │                         │не включает      │</w:t>
      </w:r>
    </w:p>
    <w:p>
      <w:pPr>
        <w:pStyle w:val="3"/>
        <w:jc w:val="both"/>
      </w:pPr>
      <w:r>
        <w:rPr>
          <w:sz w:val="14"/>
        </w:rPr>
        <w:t xml:space="preserve">│  │адгезивов       │            │            │                      │                         │растворитель,    │</w:t>
      </w:r>
    </w:p>
    <w:p>
      <w:pPr>
        <w:pStyle w:val="3"/>
        <w:jc w:val="both"/>
      </w:pPr>
      <w:r>
        <w:rPr>
          <w:sz w:val="14"/>
        </w:rPr>
        <w:t xml:space="preserve">│  │(&gt; 100)         │            │            │                      │                         │который продается│</w:t>
      </w:r>
    </w:p>
    <w:p>
      <w:pPr>
        <w:pStyle w:val="3"/>
        <w:jc w:val="both"/>
      </w:pPr>
      <w:r>
        <w:rPr>
          <w:sz w:val="14"/>
        </w:rPr>
        <w:t xml:space="preserve">│  │                │            │            │                      │                         │в составе смесей │</w:t>
      </w:r>
    </w:p>
    <w:p>
      <w:pPr>
        <w:pStyle w:val="3"/>
        <w:jc w:val="both"/>
      </w:pPr>
      <w:r>
        <w:rPr>
          <w:sz w:val="14"/>
        </w:rPr>
        <w:t xml:space="preserve">│  │                │            │            │                      │                         │для покрытия в   │</w:t>
      </w:r>
    </w:p>
    <w:p>
      <w:pPr>
        <w:pStyle w:val="3"/>
        <w:jc w:val="both"/>
      </w:pPr>
      <w:r>
        <w:rPr>
          <w:sz w:val="14"/>
        </w:rPr>
        <w:t xml:space="preserve">│  │                │            │            │                      │                         │запечатанном     │</w:t>
      </w:r>
    </w:p>
    <w:p>
      <w:pPr>
        <w:pStyle w:val="3"/>
        <w:jc w:val="both"/>
      </w:pPr>
      <w:r>
        <w:rPr>
          <w:sz w:val="14"/>
        </w:rPr>
        <w:t xml:space="preserve">│  │                │            │            │                      │                         │контейнере.      │</w:t>
      </w:r>
    </w:p>
    <w:p>
      <w:pPr>
        <w:pStyle w:val="3"/>
        <w:jc w:val="both"/>
      </w:pPr>
      <w:r>
        <w:rPr>
          <w:sz w:val="14"/>
        </w:rPr>
        <w:t xml:space="preserve">├──┼────────────────┼────────────┼────────────┼──────────────────────┼─────────────────────────┼─────────────────┤</w:t>
      </w:r>
    </w:p>
    <w:p>
      <w:pPr>
        <w:pStyle w:val="3"/>
        <w:jc w:val="both"/>
      </w:pPr>
      <w:r>
        <w:rPr>
          <w:sz w:val="14"/>
        </w:rPr>
        <w:t xml:space="preserve">│18│Преобразование  │            │20 &lt;1&gt;      │25 </w:t>
      </w:r>
      <w:hyperlink w:history="0" w:anchor="P3130" w:tooltip="│  │                │            │            │                      │                         │&lt;2&gt;              │">
        <w:r>
          <w:rPr>
            <w:sz w:val="14"/>
            <w:color w:val="0000ff"/>
          </w:rPr>
          <w:t xml:space="preserve">&lt;2&gt;</w:t>
        </w:r>
      </w:hyperlink>
      <w:r>
        <w:rPr>
          <w:sz w:val="14"/>
        </w:rPr>
        <w:t xml:space="preserve">                │25% подачи               │&lt;1&gt; При          │</w:t>
      </w:r>
    </w:p>
    <w:p>
      <w:pPr>
        <w:pStyle w:val="3"/>
        <w:jc w:val="both"/>
      </w:pPr>
      <w:r>
        <w:rPr>
          <w:sz w:val="14"/>
        </w:rPr>
        <w:t xml:space="preserve">│  │каучука (&gt; 15)  │            │            │                      │растворителя             │использовании    │</w:t>
      </w:r>
    </w:p>
    <w:p>
      <w:pPr>
        <w:pStyle w:val="3"/>
        <w:jc w:val="both"/>
      </w:pPr>
      <w:r>
        <w:rPr>
          <w:sz w:val="14"/>
        </w:rPr>
        <w:t xml:space="preserve">│  │                │            │            │                      │                         │технологий,      │</w:t>
      </w:r>
    </w:p>
    <w:p>
      <w:pPr>
        <w:pStyle w:val="3"/>
        <w:jc w:val="both"/>
      </w:pPr>
      <w:r>
        <w:rPr>
          <w:sz w:val="14"/>
        </w:rPr>
        <w:t xml:space="preserve">│  │                │            │            │                      │                         │допускающих      │</w:t>
      </w:r>
    </w:p>
    <w:p>
      <w:pPr>
        <w:pStyle w:val="3"/>
        <w:jc w:val="both"/>
      </w:pPr>
      <w:r>
        <w:rPr>
          <w:sz w:val="14"/>
        </w:rPr>
        <w:t xml:space="preserve">│  │                │            │            │                      │                         │повторное        │</w:t>
      </w:r>
    </w:p>
    <w:p>
      <w:pPr>
        <w:pStyle w:val="3"/>
        <w:jc w:val="both"/>
      </w:pPr>
      <w:r>
        <w:rPr>
          <w:sz w:val="14"/>
        </w:rPr>
        <w:t xml:space="preserve">│  │                │            │            │                      │                         │использование    │</w:t>
      </w:r>
    </w:p>
    <w:p>
      <w:pPr>
        <w:pStyle w:val="3"/>
        <w:jc w:val="both"/>
      </w:pPr>
      <w:r>
        <w:rPr>
          <w:sz w:val="14"/>
        </w:rPr>
        <w:t xml:space="preserve">│  │                │            │            │                      │                         │рекуперированных │</w:t>
      </w:r>
    </w:p>
    <w:p>
      <w:pPr>
        <w:pStyle w:val="3"/>
        <w:jc w:val="both"/>
      </w:pPr>
      <w:r>
        <w:rPr>
          <w:sz w:val="14"/>
        </w:rPr>
        <w:t xml:space="preserve">│  │                │            │            │                      │                         │растворителей,   │</w:t>
      </w:r>
    </w:p>
    <w:p>
      <w:pPr>
        <w:pStyle w:val="3"/>
        <w:jc w:val="both"/>
      </w:pPr>
      <w:r>
        <w:rPr>
          <w:sz w:val="14"/>
        </w:rPr>
        <w:t xml:space="preserve">│  │                │            │            │                      │                         │пороговое        │</w:t>
      </w:r>
    </w:p>
    <w:p>
      <w:pPr>
        <w:pStyle w:val="3"/>
        <w:jc w:val="both"/>
      </w:pPr>
      <w:r>
        <w:rPr>
          <w:sz w:val="14"/>
        </w:rPr>
        <w:t xml:space="preserve">│  │                │            │            │                      │                         │значение выбросов│</w:t>
      </w:r>
    </w:p>
    <w:p>
      <w:pPr>
        <w:pStyle w:val="3"/>
        <w:jc w:val="both"/>
      </w:pPr>
      <w:r>
        <w:rPr>
          <w:sz w:val="14"/>
        </w:rPr>
        <w:t xml:space="preserve">│  │                │            │            │                      │                         │отработанных     │</w:t>
      </w:r>
    </w:p>
    <w:p>
      <w:pPr>
        <w:pStyle w:val="3"/>
        <w:jc w:val="both"/>
      </w:pPr>
      <w:r>
        <w:rPr>
          <w:sz w:val="14"/>
        </w:rPr>
        <w:t xml:space="preserve">│  │                │            │            │                      │                         │газов равно 150. │</w:t>
      </w:r>
    </w:p>
    <w:bookmarkStart w:id="3130" w:name="P3130"/>
    <w:bookmarkEnd w:id="3130"/>
    <w:p>
      <w:pPr>
        <w:pStyle w:val="3"/>
        <w:jc w:val="both"/>
      </w:pPr>
      <w:r>
        <w:rPr>
          <w:sz w:val="14"/>
        </w:rPr>
        <w:t xml:space="preserve">│  │                │            │            │                      │                         │&lt;2&gt;              │</w:t>
      </w:r>
    </w:p>
    <w:p>
      <w:pPr>
        <w:pStyle w:val="3"/>
        <w:jc w:val="both"/>
      </w:pPr>
      <w:r>
        <w:rPr>
          <w:sz w:val="14"/>
        </w:rPr>
        <w:t xml:space="preserve">│  │                │            │            │                      │                         │Неконтролируемое │</w:t>
      </w:r>
    </w:p>
    <w:p>
      <w:pPr>
        <w:pStyle w:val="3"/>
        <w:jc w:val="both"/>
      </w:pPr>
      <w:r>
        <w:rPr>
          <w:sz w:val="14"/>
        </w:rPr>
        <w:t xml:space="preserve">│  │                │            │            │                      │                         │пороговое        │</w:t>
      </w:r>
    </w:p>
    <w:p>
      <w:pPr>
        <w:pStyle w:val="3"/>
        <w:jc w:val="both"/>
      </w:pPr>
      <w:r>
        <w:rPr>
          <w:sz w:val="14"/>
        </w:rPr>
        <w:t xml:space="preserve">│  │                │            │            │                      │                         │значение выбросов│</w:t>
      </w:r>
    </w:p>
    <w:p>
      <w:pPr>
        <w:pStyle w:val="3"/>
        <w:jc w:val="both"/>
      </w:pPr>
      <w:r>
        <w:rPr>
          <w:sz w:val="14"/>
        </w:rPr>
        <w:t xml:space="preserve">│  │                │            │            │                      │                         │не включает      │</w:t>
      </w:r>
    </w:p>
    <w:p>
      <w:pPr>
        <w:pStyle w:val="3"/>
        <w:jc w:val="both"/>
      </w:pPr>
      <w:r>
        <w:rPr>
          <w:sz w:val="14"/>
        </w:rPr>
        <w:t xml:space="preserve">│  │                │            │            │                      │                         │растворитель,    │</w:t>
      </w:r>
    </w:p>
    <w:p>
      <w:pPr>
        <w:pStyle w:val="3"/>
        <w:jc w:val="both"/>
      </w:pPr>
      <w:r>
        <w:rPr>
          <w:sz w:val="14"/>
        </w:rPr>
        <w:t xml:space="preserve">│  │                │            │            │                      │                         │который продается│</w:t>
      </w:r>
    </w:p>
    <w:p>
      <w:pPr>
        <w:pStyle w:val="3"/>
        <w:jc w:val="both"/>
      </w:pPr>
      <w:r>
        <w:rPr>
          <w:sz w:val="14"/>
        </w:rPr>
        <w:t xml:space="preserve">│  │                │            │            │                      │                         │в составе        │</w:t>
      </w:r>
    </w:p>
    <w:p>
      <w:pPr>
        <w:pStyle w:val="3"/>
        <w:jc w:val="both"/>
      </w:pPr>
      <w:r>
        <w:rPr>
          <w:sz w:val="14"/>
        </w:rPr>
        <w:t xml:space="preserve">│  │                │            │            │                      │                         │продуктов или    │</w:t>
      </w:r>
    </w:p>
    <w:p>
      <w:pPr>
        <w:pStyle w:val="3"/>
        <w:jc w:val="both"/>
      </w:pPr>
      <w:r>
        <w:rPr>
          <w:sz w:val="14"/>
        </w:rPr>
        <w:t xml:space="preserve">│  │                │            │            │                      │                         │смесей в         │</w:t>
      </w:r>
    </w:p>
    <w:p>
      <w:pPr>
        <w:pStyle w:val="3"/>
        <w:jc w:val="both"/>
      </w:pPr>
      <w:r>
        <w:rPr>
          <w:sz w:val="14"/>
        </w:rPr>
        <w:t xml:space="preserve">│  │                │            │            │                      │                         │запечатанном     │</w:t>
      </w:r>
    </w:p>
    <w:p>
      <w:pPr>
        <w:pStyle w:val="3"/>
        <w:jc w:val="both"/>
      </w:pPr>
      <w:r>
        <w:rPr>
          <w:sz w:val="14"/>
        </w:rPr>
        <w:t xml:space="preserve">│  │                │            │            │                      │                         │контейнере.      │</w:t>
      </w:r>
    </w:p>
    <w:p>
      <w:pPr>
        <w:pStyle w:val="3"/>
        <w:jc w:val="both"/>
      </w:pPr>
      <w:r>
        <w:rPr>
          <w:sz w:val="14"/>
        </w:rPr>
        <w:t xml:space="preserve">├──┼────────────────┼────────────┼────────────┼──────────────────────┼─────────────────────────┼─────────────────┤</w:t>
      </w:r>
    </w:p>
    <w:bookmarkStart w:id="3143" w:name="P3143"/>
    <w:bookmarkEnd w:id="3143"/>
    <w:p>
      <w:pPr>
        <w:pStyle w:val="3"/>
        <w:jc w:val="both"/>
      </w:pPr>
      <w:r>
        <w:rPr>
          <w:sz w:val="14"/>
        </w:rPr>
        <w:t xml:space="preserve">│19│Деятельность,   │            │            │                      │Животный жир: 1,5 кг /   │&lt;1&gt; Общие        │</w:t>
      </w:r>
    </w:p>
    <w:p>
      <w:pPr>
        <w:pStyle w:val="3"/>
        <w:jc w:val="both"/>
      </w:pPr>
      <w:r>
        <w:rPr>
          <w:sz w:val="14"/>
        </w:rPr>
        <w:t xml:space="preserve">│  │связанная с     │            │            │                      │тонну                    │пороговые        │</w:t>
      </w:r>
    </w:p>
    <w:p>
      <w:pPr>
        <w:pStyle w:val="3"/>
        <w:jc w:val="both"/>
      </w:pPr>
      <w:r>
        <w:rPr>
          <w:sz w:val="14"/>
        </w:rPr>
        <w:t xml:space="preserve">│  │извлечением     │            │            │                      │Касторовое масло: 3 кг / │значения выбросов│</w:t>
      </w:r>
    </w:p>
    <w:p>
      <w:pPr>
        <w:pStyle w:val="3"/>
        <w:jc w:val="both"/>
      </w:pPr>
      <w:r>
        <w:rPr>
          <w:sz w:val="14"/>
        </w:rPr>
        <w:t xml:space="preserve">│  │растительного   │            │            │                      │тонну                    │для установок,   │</w:t>
      </w:r>
    </w:p>
    <w:p>
      <w:pPr>
        <w:pStyle w:val="3"/>
        <w:jc w:val="both"/>
      </w:pPr>
      <w:r>
        <w:rPr>
          <w:sz w:val="14"/>
        </w:rPr>
        <w:t xml:space="preserve">│  │масла и         │            │            │                      │Семя капусты: 1 кг/тонну │обрабатывающих   │</w:t>
      </w:r>
    </w:p>
    <w:p>
      <w:pPr>
        <w:pStyle w:val="3"/>
        <w:jc w:val="both"/>
      </w:pPr>
      <w:r>
        <w:rPr>
          <w:sz w:val="14"/>
        </w:rPr>
        <w:t xml:space="preserve">│  │животного жира, │            │            │                      │                         │отдельные партии │</w:t>
      </w:r>
    </w:p>
    <w:p>
      <w:pPr>
        <w:pStyle w:val="3"/>
        <w:jc w:val="both"/>
      </w:pPr>
      <w:r>
        <w:rPr>
          <w:sz w:val="14"/>
        </w:rPr>
        <w:t xml:space="preserve">│  │а также с       │            │            │                      │Семя подсолнуха: 1 кг /  │семян и иное     │</w:t>
      </w:r>
    </w:p>
    <w:p>
      <w:pPr>
        <w:pStyle w:val="3"/>
        <w:jc w:val="both"/>
      </w:pPr>
      <w:r>
        <w:rPr>
          <w:sz w:val="14"/>
        </w:rPr>
        <w:t xml:space="preserve">│  │очисткой        │            │            │                      │тонну                    │растительное     │</w:t>
      </w:r>
    </w:p>
    <w:p>
      <w:pPr>
        <w:pStyle w:val="3"/>
        <w:jc w:val="both"/>
      </w:pPr>
      <w:r>
        <w:rPr>
          <w:sz w:val="14"/>
        </w:rPr>
        <w:t xml:space="preserve">│  │растительного   │            │            │                      │Соевые бобы (нормальное  │вещество, должны │</w:t>
      </w:r>
    </w:p>
    <w:p>
      <w:pPr>
        <w:pStyle w:val="3"/>
        <w:jc w:val="both"/>
      </w:pPr>
      <w:r>
        <w:rPr>
          <w:sz w:val="14"/>
        </w:rPr>
        <w:t xml:space="preserve">│  │масла (&gt; 10)    │            │            │                      │измельчение): 0,8 кг /   │устанавливаться  │</w:t>
      </w:r>
    </w:p>
    <w:p>
      <w:pPr>
        <w:pStyle w:val="3"/>
        <w:jc w:val="both"/>
      </w:pPr>
      <w:r>
        <w:rPr>
          <w:sz w:val="14"/>
        </w:rPr>
        <w:t xml:space="preserve">│  │                │            │            │                      │тонну                    │компетентным     │</w:t>
      </w:r>
    </w:p>
    <w:p>
      <w:pPr>
        <w:pStyle w:val="3"/>
        <w:jc w:val="both"/>
      </w:pPr>
      <w:r>
        <w:rPr>
          <w:sz w:val="14"/>
        </w:rPr>
        <w:t xml:space="preserve">│  │                │            │            │                      │Соевые бобы (белые       │органом в каждом │</w:t>
      </w:r>
    </w:p>
    <w:p>
      <w:pPr>
        <w:pStyle w:val="3"/>
        <w:jc w:val="both"/>
      </w:pPr>
      <w:r>
        <w:rPr>
          <w:sz w:val="14"/>
        </w:rPr>
        <w:t xml:space="preserve">│  │                │            │            │                      │хлопья): 1,2 кг/тонну    │конкретном случае│</w:t>
      </w:r>
    </w:p>
    <w:p>
      <w:pPr>
        <w:pStyle w:val="3"/>
        <w:jc w:val="both"/>
      </w:pPr>
      <w:r>
        <w:rPr>
          <w:sz w:val="14"/>
        </w:rPr>
        <w:t xml:space="preserve">│  │                │            │            │                      │Иные семена и иное       │с применением    │</w:t>
      </w:r>
    </w:p>
    <w:p>
      <w:pPr>
        <w:pStyle w:val="3"/>
        <w:jc w:val="both"/>
      </w:pPr>
      <w:r>
        <w:rPr>
          <w:sz w:val="14"/>
        </w:rPr>
        <w:t xml:space="preserve">│  │                │            │            │                      │растительное вещество:   │наилучших        │</w:t>
      </w:r>
    </w:p>
    <w:p>
      <w:pPr>
        <w:pStyle w:val="3"/>
        <w:jc w:val="both"/>
      </w:pPr>
      <w:r>
        <w:rPr>
          <w:sz w:val="14"/>
        </w:rPr>
        <w:t xml:space="preserve">│  │                │            │            │                      │3 кг/тонну </w:t>
      </w:r>
      <w:hyperlink w:history="0" w:anchor="P3143" w:tooltip="│19│Деятельность,   │            │            │                      │Животный жир: 1,5 кг /   │&lt;1&gt; Общие        │">
        <w:r>
          <w:rPr>
            <w:sz w:val="14"/>
            <w:color w:val="0000ff"/>
          </w:rPr>
          <w:t xml:space="preserve">&lt;1&gt;</w:t>
        </w:r>
      </w:hyperlink>
      <w:r>
        <w:rPr>
          <w:sz w:val="14"/>
        </w:rPr>
        <w:t xml:space="preserve">,          │доступных        │</w:t>
      </w:r>
    </w:p>
    <w:p>
      <w:pPr>
        <w:pStyle w:val="3"/>
        <w:jc w:val="both"/>
      </w:pPr>
      <w:r>
        <w:rPr>
          <w:sz w:val="14"/>
        </w:rPr>
        <w:t xml:space="preserve">│  │                │            │            │                      │1,5 кг/тонну &lt;2&gt;,        │технологий.      │</w:t>
      </w:r>
    </w:p>
    <w:p>
      <w:pPr>
        <w:pStyle w:val="3"/>
        <w:jc w:val="both"/>
      </w:pPr>
      <w:r>
        <w:rPr>
          <w:sz w:val="14"/>
        </w:rPr>
        <w:t xml:space="preserve">│  │                │            │            │                      │4 кг/тонну </w:t>
      </w:r>
      <w:hyperlink w:history="0" w:anchor="P3167" w:tooltip="│  │                │            │            │                      │                         │&lt;3&gt; Применяется к│">
        <w:r>
          <w:rPr>
            <w:sz w:val="14"/>
            <w:color w:val="0000ff"/>
          </w:rPr>
          <w:t xml:space="preserve">&lt;3&gt;</w:t>
        </w:r>
      </w:hyperlink>
      <w:r>
        <w:rPr>
          <w:sz w:val="14"/>
        </w:rPr>
        <w:t xml:space="preserve">           │&lt;2&gt; Применяется  │</w:t>
      </w:r>
    </w:p>
    <w:p>
      <w:pPr>
        <w:pStyle w:val="3"/>
        <w:jc w:val="both"/>
      </w:pPr>
      <w:r>
        <w:rPr>
          <w:sz w:val="14"/>
        </w:rPr>
        <w:t xml:space="preserve">│  │                │            │            │                      │                         │ко всем процессам│</w:t>
      </w:r>
    </w:p>
    <w:p>
      <w:pPr>
        <w:pStyle w:val="3"/>
        <w:jc w:val="both"/>
      </w:pPr>
      <w:r>
        <w:rPr>
          <w:sz w:val="14"/>
        </w:rPr>
        <w:t xml:space="preserve">│  │                │            │            │                      │                         │фракционирования,│</w:t>
      </w:r>
    </w:p>
    <w:p>
      <w:pPr>
        <w:pStyle w:val="3"/>
        <w:jc w:val="both"/>
      </w:pPr>
      <w:r>
        <w:rPr>
          <w:sz w:val="14"/>
        </w:rPr>
        <w:t xml:space="preserve">│  │                │            │            │                      │                         │за исключением   │</w:t>
      </w:r>
    </w:p>
    <w:p>
      <w:pPr>
        <w:pStyle w:val="3"/>
        <w:jc w:val="both"/>
      </w:pPr>
      <w:r>
        <w:rPr>
          <w:sz w:val="14"/>
        </w:rPr>
        <w:t xml:space="preserve">│  │                │            │            │                      │                         │обессмоливания   │</w:t>
      </w:r>
    </w:p>
    <w:p>
      <w:pPr>
        <w:pStyle w:val="3"/>
        <w:jc w:val="both"/>
      </w:pPr>
      <w:r>
        <w:rPr>
          <w:sz w:val="14"/>
        </w:rPr>
        <w:t xml:space="preserve">│  │                │            │            │                      │                         │(удаление из     │</w:t>
      </w:r>
    </w:p>
    <w:p>
      <w:pPr>
        <w:pStyle w:val="3"/>
        <w:jc w:val="both"/>
      </w:pPr>
      <w:r>
        <w:rPr>
          <w:sz w:val="14"/>
        </w:rPr>
        <w:t xml:space="preserve">│  │                │            │            │                      │                         │масла смолы).    │</w:t>
      </w:r>
    </w:p>
    <w:bookmarkStart w:id="3167" w:name="P3167"/>
    <w:bookmarkEnd w:id="3167"/>
    <w:p>
      <w:pPr>
        <w:pStyle w:val="3"/>
        <w:jc w:val="both"/>
      </w:pPr>
      <w:r>
        <w:rPr>
          <w:sz w:val="14"/>
        </w:rPr>
        <w:t xml:space="preserve">│  │                │            │            │                      │                         │&lt;3&gt; Применяется к│</w:t>
      </w:r>
    </w:p>
    <w:p>
      <w:pPr>
        <w:pStyle w:val="3"/>
        <w:jc w:val="both"/>
      </w:pPr>
      <w:r>
        <w:rPr>
          <w:sz w:val="14"/>
        </w:rPr>
        <w:t xml:space="preserve">│  │                │            │            │                      │                         │обессмоливанию   │</w:t>
      </w:r>
    </w:p>
    <w:p>
      <w:pPr>
        <w:pStyle w:val="3"/>
        <w:jc w:val="both"/>
      </w:pPr>
      <w:r>
        <w:rPr>
          <w:sz w:val="14"/>
        </w:rPr>
        <w:t xml:space="preserve">├──┼────────────────┼────────────┼────────────┼─────────┬────────────┼────────────┬────────────┼─────────────────┤</w:t>
      </w:r>
    </w:p>
    <w:p>
      <w:pPr>
        <w:pStyle w:val="3"/>
        <w:jc w:val="both"/>
      </w:pPr>
      <w:r>
        <w:rPr>
          <w:sz w:val="14"/>
        </w:rPr>
        <w:t xml:space="preserve">│20│Производство    │            │20 &lt;1&gt;      │5 </w:t>
      </w:r>
      <w:hyperlink w:history="0" w:anchor="P3182" w:tooltip="│  │                │            │            │         │            │            │            │&lt;2&gt;              │">
        <w:r>
          <w:rPr>
            <w:sz w:val="14"/>
            <w:color w:val="0000ff"/>
          </w:rPr>
          <w:t xml:space="preserve">&lt;2&gt;</w:t>
        </w:r>
      </w:hyperlink>
      <w:r>
        <w:rPr>
          <w:sz w:val="14"/>
        </w:rPr>
        <w:t xml:space="preserve">    │15 &lt;2&gt;      │5% подачи   │15% подачи  │&lt;1&gt; При          │</w:t>
      </w:r>
    </w:p>
    <w:p>
      <w:pPr>
        <w:pStyle w:val="3"/>
        <w:jc w:val="both"/>
      </w:pPr>
      <w:r>
        <w:rPr>
          <w:sz w:val="14"/>
        </w:rPr>
        <w:t xml:space="preserve">│  │фармацевтических│            │            │         │            │растворителя│растворителя│использовании    │</w:t>
      </w:r>
    </w:p>
    <w:p>
      <w:pPr>
        <w:pStyle w:val="3"/>
        <w:jc w:val="both"/>
      </w:pPr>
      <w:r>
        <w:rPr>
          <w:sz w:val="14"/>
        </w:rPr>
        <w:t xml:space="preserve">│  │продуктов (&gt; 50)│            │            │         │            │            │            │технологий,      │</w:t>
      </w:r>
    </w:p>
    <w:p>
      <w:pPr>
        <w:pStyle w:val="3"/>
        <w:jc w:val="both"/>
      </w:pPr>
      <w:r>
        <w:rPr>
          <w:sz w:val="14"/>
        </w:rPr>
        <w:t xml:space="preserve">│  │                │            │            │         │            │            │            │допускающих      │</w:t>
      </w:r>
    </w:p>
    <w:p>
      <w:pPr>
        <w:pStyle w:val="3"/>
        <w:jc w:val="both"/>
      </w:pPr>
      <w:r>
        <w:rPr>
          <w:sz w:val="14"/>
        </w:rPr>
        <w:t xml:space="preserve">│  │                │            │            │         │            │            │            │повторное        │</w:t>
      </w:r>
    </w:p>
    <w:p>
      <w:pPr>
        <w:pStyle w:val="3"/>
        <w:jc w:val="both"/>
      </w:pPr>
      <w:r>
        <w:rPr>
          <w:sz w:val="14"/>
        </w:rPr>
        <w:t xml:space="preserve">│  │                │            │            │         │            │            │            │использование    │</w:t>
      </w:r>
    </w:p>
    <w:p>
      <w:pPr>
        <w:pStyle w:val="3"/>
        <w:jc w:val="both"/>
      </w:pPr>
      <w:r>
        <w:rPr>
          <w:sz w:val="14"/>
        </w:rPr>
        <w:t xml:space="preserve">│  │                │            │            │         │            │            │            │рекуперированных │</w:t>
      </w:r>
    </w:p>
    <w:p>
      <w:pPr>
        <w:pStyle w:val="3"/>
        <w:jc w:val="both"/>
      </w:pPr>
      <w:r>
        <w:rPr>
          <w:sz w:val="14"/>
        </w:rPr>
        <w:t xml:space="preserve">│  │                │            │            │         │            │            │            │растворителей,   │</w:t>
      </w:r>
    </w:p>
    <w:p>
      <w:pPr>
        <w:pStyle w:val="3"/>
        <w:jc w:val="both"/>
      </w:pPr>
      <w:r>
        <w:rPr>
          <w:sz w:val="14"/>
        </w:rPr>
        <w:t xml:space="preserve">│  │                │            │            │         │            │            │            │пороговое        │</w:t>
      </w:r>
    </w:p>
    <w:p>
      <w:pPr>
        <w:pStyle w:val="3"/>
        <w:jc w:val="both"/>
      </w:pPr>
      <w:r>
        <w:rPr>
          <w:sz w:val="14"/>
        </w:rPr>
        <w:t xml:space="preserve">│  │                │            │            │         │            │            │            │значение выбросов│</w:t>
      </w:r>
    </w:p>
    <w:p>
      <w:pPr>
        <w:pStyle w:val="3"/>
        <w:jc w:val="both"/>
      </w:pPr>
      <w:r>
        <w:rPr>
          <w:sz w:val="14"/>
        </w:rPr>
        <w:t xml:space="preserve">│  │                │            │            │         │            │            │            │отработанных     │</w:t>
      </w:r>
    </w:p>
    <w:p>
      <w:pPr>
        <w:pStyle w:val="3"/>
        <w:jc w:val="both"/>
      </w:pPr>
      <w:r>
        <w:rPr>
          <w:sz w:val="14"/>
        </w:rPr>
        <w:t xml:space="preserve">│  │                │            │            │         │            │            │            │газов равно 150. │</w:t>
      </w:r>
    </w:p>
    <w:bookmarkStart w:id="3182" w:name="P3182"/>
    <w:bookmarkEnd w:id="3182"/>
    <w:p>
      <w:pPr>
        <w:pStyle w:val="3"/>
        <w:jc w:val="both"/>
      </w:pPr>
      <w:r>
        <w:rPr>
          <w:sz w:val="14"/>
        </w:rPr>
        <w:t xml:space="preserve">│  │                │            │            │         │            │            │            │&lt;2&gt;              │</w:t>
      </w:r>
    </w:p>
    <w:p>
      <w:pPr>
        <w:pStyle w:val="3"/>
        <w:jc w:val="both"/>
      </w:pPr>
      <w:r>
        <w:rPr>
          <w:sz w:val="14"/>
        </w:rPr>
        <w:t xml:space="preserve">│  │                │            │            │         │            │            │            │Неконтролируемое │</w:t>
      </w:r>
    </w:p>
    <w:p>
      <w:pPr>
        <w:pStyle w:val="3"/>
        <w:jc w:val="both"/>
      </w:pPr>
      <w:r>
        <w:rPr>
          <w:sz w:val="14"/>
        </w:rPr>
        <w:t xml:space="preserve">│  │                │            │            │         │            │            │            │пороговое        │</w:t>
      </w:r>
    </w:p>
    <w:p>
      <w:pPr>
        <w:pStyle w:val="3"/>
        <w:jc w:val="both"/>
      </w:pPr>
      <w:r>
        <w:rPr>
          <w:sz w:val="14"/>
        </w:rPr>
        <w:t xml:space="preserve">│  │                │            │            │         │            │            │            │значение выбросов│</w:t>
      </w:r>
    </w:p>
    <w:p>
      <w:pPr>
        <w:pStyle w:val="3"/>
        <w:jc w:val="both"/>
      </w:pPr>
      <w:r>
        <w:rPr>
          <w:sz w:val="14"/>
        </w:rPr>
        <w:t xml:space="preserve">│  │                │            │            │         │            │            │            │не включает      │</w:t>
      </w:r>
    </w:p>
    <w:p>
      <w:pPr>
        <w:pStyle w:val="3"/>
        <w:jc w:val="both"/>
      </w:pPr>
      <w:r>
        <w:rPr>
          <w:sz w:val="14"/>
        </w:rPr>
        <w:t xml:space="preserve">│  │                │            │            │         │            │            │            │растворитель,    │</w:t>
      </w:r>
    </w:p>
    <w:p>
      <w:pPr>
        <w:pStyle w:val="3"/>
        <w:jc w:val="both"/>
      </w:pPr>
      <w:r>
        <w:rPr>
          <w:sz w:val="14"/>
        </w:rPr>
        <w:t xml:space="preserve">│  │                │            │            │         │            │            │            │который продается│</w:t>
      </w:r>
    </w:p>
    <w:p>
      <w:pPr>
        <w:pStyle w:val="3"/>
        <w:jc w:val="both"/>
      </w:pPr>
      <w:r>
        <w:rPr>
          <w:sz w:val="14"/>
        </w:rPr>
        <w:t xml:space="preserve">│  │                │            │            │         │            │            │            │в составе        │</w:t>
      </w:r>
    </w:p>
    <w:p>
      <w:pPr>
        <w:pStyle w:val="3"/>
        <w:jc w:val="both"/>
      </w:pPr>
      <w:r>
        <w:rPr>
          <w:sz w:val="14"/>
        </w:rPr>
        <w:t xml:space="preserve">│  │                │            │            │         │            │            │            │продуктов или    │</w:t>
      </w:r>
    </w:p>
    <w:p>
      <w:pPr>
        <w:pStyle w:val="3"/>
        <w:jc w:val="both"/>
      </w:pPr>
      <w:r>
        <w:rPr>
          <w:sz w:val="14"/>
        </w:rPr>
        <w:t xml:space="preserve">│  │                │            │            │         │            │            │            │смесей в         │</w:t>
      </w:r>
    </w:p>
    <w:p>
      <w:pPr>
        <w:pStyle w:val="3"/>
        <w:jc w:val="both"/>
      </w:pPr>
      <w:r>
        <w:rPr>
          <w:sz w:val="14"/>
        </w:rPr>
        <w:t xml:space="preserve">│  │                │            │            │         │            │            │            │запечатанном     │</w:t>
      </w:r>
    </w:p>
    <w:p>
      <w:pPr>
        <w:pStyle w:val="3"/>
        <w:jc w:val="both"/>
      </w:pPr>
      <w:r>
        <w:rPr>
          <w:sz w:val="14"/>
        </w:rPr>
        <w:t xml:space="preserve">│  │                │            │            │         │            │            │            │контейнере.      │</w:t>
      </w:r>
    </w:p>
    <w:p>
      <w:pPr>
        <w:pStyle w:val="3"/>
        <w:jc w:val="both"/>
      </w:pPr>
      <w:r>
        <w:rPr>
          <w:sz w:val="14"/>
        </w:rPr>
        <w:t xml:space="preserve">└──┴────────────────┴────────────┴────────────┴─────────┴────────────┴────────────┴────────────┴─────────────────┘</w:t>
      </w:r>
    </w:p>
    <w:p>
      <w:pPr>
        <w:pStyle w:val="0"/>
        <w:jc w:val="center"/>
      </w:pPr>
      <w:r>
        <w:rPr>
          <w:sz w:val="20"/>
        </w:rPr>
      </w:r>
    </w:p>
    <w:p>
      <w:pPr>
        <w:sectPr>
          <w:headerReference w:type="default" r:id="rId100"/>
          <w:headerReference w:type="first" r:id="rId100"/>
          <w:footerReference w:type="default" r:id="rId101"/>
          <w:footerReference w:type="first" r:id="rId101"/>
          <w:pgSz w:w="16838" w:h="11906" w:orient="landscape"/>
          <w:pgMar w:top="1133" w:right="1440" w:bottom="566" w:left="1440" w:header="0" w:footer="0" w:gutter="0"/>
          <w:titlePg/>
        </w:sectPr>
      </w:pPr>
    </w:p>
    <w:bookmarkStart w:id="3196" w:name="P3196"/>
    <w:bookmarkEnd w:id="3196"/>
    <w:p>
      <w:pPr>
        <w:pStyle w:val="0"/>
        <w:outlineLvl w:val="1"/>
        <w:jc w:val="center"/>
      </w:pPr>
      <w:r>
        <w:rPr>
          <w:sz w:val="20"/>
        </w:rPr>
        <w:t xml:space="preserve">Часть 3</w:t>
      </w:r>
    </w:p>
    <w:p>
      <w:pPr>
        <w:pStyle w:val="0"/>
        <w:jc w:val="center"/>
      </w:pPr>
      <w:r>
        <w:rPr>
          <w:sz w:val="20"/>
        </w:rPr>
      </w:r>
    </w:p>
    <w:p>
      <w:pPr>
        <w:pStyle w:val="0"/>
        <w:jc w:val="center"/>
      </w:pPr>
      <w:r>
        <w:rPr>
          <w:sz w:val="20"/>
        </w:rPr>
        <w:t xml:space="preserve">Пороговые значения выбросов для установок</w:t>
      </w:r>
    </w:p>
    <w:p>
      <w:pPr>
        <w:pStyle w:val="0"/>
        <w:jc w:val="center"/>
      </w:pPr>
      <w:r>
        <w:rPr>
          <w:sz w:val="20"/>
        </w:rPr>
        <w:t xml:space="preserve">промышленности по покрытию транспортных средств</w:t>
      </w:r>
    </w:p>
    <w:p>
      <w:pPr>
        <w:pStyle w:val="0"/>
        <w:jc w:val="center"/>
      </w:pPr>
      <w:r>
        <w:rPr>
          <w:sz w:val="20"/>
        </w:rPr>
      </w:r>
    </w:p>
    <w:p>
      <w:pPr>
        <w:pStyle w:val="0"/>
        <w:ind w:firstLine="540"/>
        <w:jc w:val="both"/>
      </w:pPr>
      <w:r>
        <w:rPr>
          <w:sz w:val="20"/>
        </w:rPr>
        <w:t xml:space="preserve">1. Общие пороговые значения выбросов выражены в граммах органического растворителя, выделяемого в отношении к площади поверхности продукта в квадратных метрах и в килограммах органического растворителя, выделяемого по отношению к корпусу автомобиля.</w:t>
      </w:r>
    </w:p>
    <w:p>
      <w:pPr>
        <w:pStyle w:val="0"/>
        <w:spacing w:before="200" w:line-rule="auto"/>
        <w:ind w:firstLine="540"/>
        <w:jc w:val="both"/>
      </w:pPr>
      <w:r>
        <w:rPr>
          <w:sz w:val="20"/>
        </w:rPr>
        <w:t xml:space="preserve">2. Площадь поверхности любого продукта, указанного в </w:t>
      </w:r>
      <w:hyperlink w:history="0" w:anchor="P3214" w:tooltip="│      Деятельность     │  Предел производства  │Общее пороговое значение │">
        <w:r>
          <w:rPr>
            <w:sz w:val="20"/>
            <w:color w:val="0000ff"/>
          </w:rPr>
          <w:t xml:space="preserve">таблице пункта 3 настоящей части</w:t>
        </w:r>
      </w:hyperlink>
      <w:r>
        <w:rPr>
          <w:sz w:val="20"/>
        </w:rPr>
        <w:t xml:space="preserve">, определяется как площадь поверхности, рассчитанная как общая площадь электрофоретического покрытия и площадь поверхности любых частей, которые могут быть добавлены на последующих стадиях процесса покрытия и покрываются тем же покрытием, что и соответствующий продукт; площадь поверхности продукта также может определяться как общая площадь поверхности продукта, покрываемого в установке.</w:t>
      </w:r>
    </w:p>
    <w:p>
      <w:pPr>
        <w:pStyle w:val="0"/>
        <w:spacing w:before="200" w:line-rule="auto"/>
        <w:ind w:firstLine="540"/>
        <w:jc w:val="both"/>
      </w:pPr>
      <w:r>
        <w:rPr>
          <w:sz w:val="20"/>
        </w:rPr>
        <w:t xml:space="preserve">Площадь поверхности электрофоретического покрытия исчисляется по следующей формуле:</w:t>
      </w:r>
    </w:p>
    <w:p>
      <w:pPr>
        <w:pStyle w:val="0"/>
        <w:ind w:firstLine="540"/>
        <w:jc w:val="both"/>
      </w:pPr>
      <w:r>
        <w:rPr>
          <w:sz w:val="20"/>
        </w:rPr>
      </w:r>
    </w:p>
    <w:p>
      <w:pPr>
        <w:pStyle w:val="1"/>
        <w:jc w:val="both"/>
      </w:pPr>
      <w:r>
        <w:rPr>
          <w:sz w:val="20"/>
        </w:rPr>
        <w:t xml:space="preserve">                 2 x суммарный вес оболочки продукта</w:t>
      </w:r>
    </w:p>
    <w:p>
      <w:pPr>
        <w:pStyle w:val="1"/>
        <w:jc w:val="both"/>
      </w:pPr>
      <w:r>
        <w:rPr>
          <w:sz w:val="20"/>
        </w:rPr>
        <w:t xml:space="preserve">   ---------------------------------------------------------------------</w:t>
      </w:r>
    </w:p>
    <w:p>
      <w:pPr>
        <w:pStyle w:val="1"/>
        <w:jc w:val="both"/>
      </w:pPr>
      <w:r>
        <w:rPr>
          <w:sz w:val="20"/>
        </w:rPr>
        <w:t xml:space="preserve">   средняя толщина металлического листа x плотность металлического листа</w:t>
      </w:r>
    </w:p>
    <w:p>
      <w:pPr>
        <w:pStyle w:val="0"/>
        <w:ind w:firstLine="540"/>
        <w:jc w:val="both"/>
      </w:pPr>
      <w:r>
        <w:rPr>
          <w:sz w:val="20"/>
        </w:rPr>
      </w:r>
    </w:p>
    <w:p>
      <w:pPr>
        <w:pStyle w:val="0"/>
        <w:ind w:firstLine="540"/>
        <w:jc w:val="both"/>
      </w:pPr>
      <w:r>
        <w:rPr>
          <w:sz w:val="20"/>
        </w:rPr>
        <w:t xml:space="preserve">Данный метод также применяется для других покрытых частей, сделанных из листов.</w:t>
      </w:r>
    </w:p>
    <w:p>
      <w:pPr>
        <w:pStyle w:val="0"/>
        <w:spacing w:before="200" w:line-rule="auto"/>
        <w:ind w:firstLine="540"/>
        <w:jc w:val="both"/>
      </w:pPr>
      <w:r>
        <w:rPr>
          <w:sz w:val="20"/>
        </w:rPr>
        <w:t xml:space="preserve">Необходимо использовать автоматизированное проектирование или иные эквивалентные методы для исчисления площади поверхности добавленных частей или общей площади покрытой поверхности установки.</w:t>
      </w:r>
    </w:p>
    <w:p>
      <w:pPr>
        <w:pStyle w:val="0"/>
        <w:spacing w:before="200" w:line-rule="auto"/>
        <w:ind w:firstLine="540"/>
        <w:jc w:val="both"/>
      </w:pPr>
      <w:r>
        <w:rPr>
          <w:sz w:val="20"/>
        </w:rPr>
        <w:t xml:space="preserve">3. Общие пороговые значения выбросов в нижеприведенной </w:t>
      </w:r>
      <w:hyperlink w:history="0" w:anchor="P3214" w:tooltip="│      Деятельность     │  Предел производства  │Общее пороговое значение │">
        <w:r>
          <w:rPr>
            <w:sz w:val="20"/>
            <w:color w:val="0000ff"/>
          </w:rPr>
          <w:t xml:space="preserve">таблице</w:t>
        </w:r>
      </w:hyperlink>
      <w:r>
        <w:rPr>
          <w:sz w:val="20"/>
        </w:rPr>
        <w:t xml:space="preserve"> относятся ко всем стадиям процесса, осуществляемым в пределах одной и той же установки от электрофоретического покрытия или иного вида процесса покрытия до окончательной обработки воском и полировки верхнего слоя покрытия, а также к растворителю, используемому в процессе очистки оборудования, в том числе окрасочных кабин и иного стационарного оборудования как в течение производственного времени, так и вне его.</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2808"/>
        <w:gridCol w:w="2808"/>
        <w:gridCol w:w="1521"/>
        <w:gridCol w:w="1521"/>
      </w:tblGrid>
      <w:tr>
        <w:trPr>
          <w:trHeight w:val="240" w:hRule="atLeast"/>
        </w:trPr>
        <w:tc>
          <w:tcPr>
            <w:tcW w:w="2925" w:type="dxa"/>
            <w:vMerge w:val="restart"/>
          </w:tcPr>
          <w:bookmarkStart w:id="3214" w:name="P3214"/>
          <w:bookmarkEnd w:id="3214"/>
          <w:p>
            <w:pPr>
              <w:pStyle w:val="1"/>
              <w:jc w:val="both"/>
            </w:pPr>
            <w:r>
              <w:rPr>
                <w:sz w:val="20"/>
              </w:rPr>
              <w:t xml:space="preserve">      Деятельность     </w:t>
            </w:r>
          </w:p>
          <w:p>
            <w:pPr>
              <w:pStyle w:val="1"/>
              <w:jc w:val="both"/>
            </w:pPr>
            <w:r>
              <w:rPr>
                <w:sz w:val="20"/>
              </w:rPr>
              <w:t xml:space="preserve"> (предельное значение  </w:t>
            </w:r>
          </w:p>
          <w:p>
            <w:pPr>
              <w:pStyle w:val="1"/>
              <w:jc w:val="both"/>
            </w:pPr>
            <w:r>
              <w:rPr>
                <w:sz w:val="20"/>
              </w:rPr>
              <w:t xml:space="preserve">     потребления       </w:t>
            </w:r>
          </w:p>
          <w:p>
            <w:pPr>
              <w:pStyle w:val="1"/>
              <w:jc w:val="both"/>
            </w:pPr>
            <w:r>
              <w:rPr>
                <w:sz w:val="20"/>
              </w:rPr>
              <w:t xml:space="preserve">    растворителя в     </w:t>
            </w:r>
          </w:p>
          <w:p>
            <w:pPr>
              <w:pStyle w:val="1"/>
              <w:jc w:val="both"/>
            </w:pPr>
            <w:r>
              <w:rPr>
                <w:sz w:val="20"/>
              </w:rPr>
              <w:t xml:space="preserve">     тоннах/год)       </w:t>
            </w:r>
          </w:p>
        </w:tc>
        <w:tc>
          <w:tcPr>
            <w:tcW w:w="2925" w:type="dxa"/>
            <w:vMerge w:val="restart"/>
          </w:tcPr>
          <w:bookmarkStart w:id="3214" w:name="P3214"/>
          <w:bookmarkEnd w:id="3214"/>
          <w:p>
            <w:pPr>
              <w:pStyle w:val="1"/>
              <w:jc w:val="both"/>
            </w:pPr>
            <w:r>
              <w:rPr>
                <w:sz w:val="20"/>
              </w:rPr>
              <w:t xml:space="preserve">  Предел производства  </w:t>
            </w:r>
          </w:p>
          <w:p>
            <w:pPr>
              <w:pStyle w:val="1"/>
              <w:jc w:val="both"/>
            </w:pPr>
            <w:r>
              <w:rPr>
                <w:sz w:val="20"/>
              </w:rPr>
              <w:t xml:space="preserve">(относится к ежегодному</w:t>
            </w:r>
          </w:p>
          <w:p>
            <w:pPr>
              <w:pStyle w:val="1"/>
              <w:jc w:val="both"/>
            </w:pPr>
            <w:r>
              <w:rPr>
                <w:sz w:val="20"/>
              </w:rPr>
              <w:t xml:space="preserve">производству покрытого </w:t>
            </w:r>
          </w:p>
          <w:p>
            <w:pPr>
              <w:pStyle w:val="1"/>
              <w:jc w:val="both"/>
            </w:pPr>
            <w:r>
              <w:rPr>
                <w:sz w:val="20"/>
              </w:rPr>
              <w:t xml:space="preserve">        изделия)       </w:t>
            </w:r>
          </w:p>
        </w:tc>
        <w:tc>
          <w:tcPr>
            <w:gridSpan w:val="2"/>
            <w:tcW w:w="3276" w:type="dxa"/>
          </w:tcPr>
          <w:bookmarkStart w:id="3214" w:name="P3214"/>
          <w:bookmarkEnd w:id="3214"/>
          <w:p>
            <w:pPr>
              <w:pStyle w:val="1"/>
              <w:jc w:val="both"/>
            </w:pPr>
            <w:r>
              <w:rPr>
                <w:sz w:val="20"/>
              </w:rPr>
              <w:t xml:space="preserve">Общее пороговое значение </w:t>
            </w:r>
          </w:p>
          <w:p>
            <w:pPr>
              <w:pStyle w:val="1"/>
              <w:jc w:val="both"/>
            </w:pPr>
            <w:r>
              <w:rPr>
                <w:sz w:val="20"/>
              </w:rPr>
              <w:t xml:space="preserve">        выбросов         </w:t>
            </w:r>
          </w:p>
        </w:tc>
      </w:tr>
      <w:tr>
        <w:tc>
          <w:tcPr>
            <w:tcBorders>
              <w:top w:val="nil"/>
            </w:tcBorders>
            <w:vMerge w:val="continue"/>
          </w:tcPr>
          <w:p/>
        </w:tc>
        <w:tc>
          <w:tcPr>
            <w:tcBorders>
              <w:top w:val="nil"/>
            </w:tcBorders>
            <w:vMerge w:val="continue"/>
          </w:tcPr>
          <w:p/>
        </w:tc>
        <w:tc>
          <w:tcPr>
            <w:tcW w:w="1638" w:type="dxa"/>
            <w:tcBorders>
              <w:top w:val="nil"/>
            </w:tcBorders>
          </w:tcPr>
          <w:p>
            <w:pPr>
              <w:pStyle w:val="1"/>
              <w:jc w:val="both"/>
            </w:pPr>
            <w:r>
              <w:rPr>
                <w:sz w:val="20"/>
              </w:rPr>
              <w:t xml:space="preserve">   Новые    </w:t>
            </w:r>
          </w:p>
          <w:p>
            <w:pPr>
              <w:pStyle w:val="1"/>
              <w:jc w:val="both"/>
            </w:pPr>
            <w:r>
              <w:rPr>
                <w:sz w:val="20"/>
              </w:rPr>
              <w:t xml:space="preserve">  установки </w:t>
            </w:r>
          </w:p>
        </w:tc>
        <w:tc>
          <w:tcPr>
            <w:tcW w:w="1638" w:type="dxa"/>
            <w:tcBorders>
              <w:top w:val="nil"/>
            </w:tcBorders>
          </w:tcPr>
          <w:p>
            <w:pPr>
              <w:pStyle w:val="1"/>
              <w:jc w:val="both"/>
            </w:pPr>
            <w:r>
              <w:rPr>
                <w:sz w:val="20"/>
              </w:rPr>
              <w:t xml:space="preserve">Существующие</w:t>
            </w:r>
          </w:p>
          <w:p>
            <w:pPr>
              <w:pStyle w:val="1"/>
              <w:jc w:val="both"/>
            </w:pPr>
            <w:r>
              <w:rPr>
                <w:sz w:val="20"/>
              </w:rPr>
              <w:t xml:space="preserve">  установки </w:t>
            </w:r>
          </w:p>
        </w:tc>
      </w:tr>
      <w:tr>
        <w:trPr>
          <w:trHeight w:val="240" w:hRule="atLeast"/>
        </w:trPr>
        <w:tc>
          <w:tcPr>
            <w:tcW w:w="2925" w:type="dxa"/>
            <w:tcBorders>
              <w:top w:val="nil"/>
            </w:tcBorders>
            <w:vMerge w:val="restart"/>
          </w:tcPr>
          <w:p>
            <w:pPr>
              <w:pStyle w:val="1"/>
              <w:jc w:val="both"/>
            </w:pPr>
            <w:r>
              <w:rPr>
                <w:sz w:val="20"/>
              </w:rPr>
              <w:t xml:space="preserve">Покрытие новых         </w:t>
            </w:r>
          </w:p>
          <w:p>
            <w:pPr>
              <w:pStyle w:val="1"/>
              <w:jc w:val="both"/>
            </w:pPr>
            <w:r>
              <w:rPr>
                <w:sz w:val="20"/>
              </w:rPr>
              <w:t xml:space="preserve">автомобилей (&gt; 15)     </w:t>
            </w:r>
          </w:p>
        </w:tc>
        <w:tc>
          <w:tcPr>
            <w:tcW w:w="2925" w:type="dxa"/>
            <w:tcBorders>
              <w:top w:val="nil"/>
            </w:tcBorders>
          </w:tcPr>
          <w:p>
            <w:pPr>
              <w:pStyle w:val="1"/>
              <w:jc w:val="both"/>
            </w:pPr>
            <w:r>
              <w:rPr>
                <w:sz w:val="20"/>
              </w:rPr>
              <w:t xml:space="preserve"> &gt; 5000                </w:t>
            </w:r>
          </w:p>
        </w:tc>
        <w:tc>
          <w:tcPr>
            <w:tcW w:w="1638" w:type="dxa"/>
            <w:tcBorders>
              <w:top w:val="nil"/>
            </w:tcBorders>
          </w:tcPr>
          <w:p>
            <w:pPr>
              <w:pStyle w:val="1"/>
              <w:jc w:val="both"/>
            </w:pPr>
            <w:r>
              <w:rPr>
                <w:sz w:val="20"/>
              </w:rPr>
              <w:t xml:space="preserve">45 г/кв. м  </w:t>
            </w:r>
          </w:p>
          <w:p>
            <w:pPr>
              <w:pStyle w:val="1"/>
              <w:jc w:val="both"/>
            </w:pPr>
            <w:r>
              <w:rPr>
                <w:sz w:val="20"/>
              </w:rPr>
              <w:t xml:space="preserve">или 1,3     </w:t>
            </w:r>
          </w:p>
          <w:p>
            <w:pPr>
              <w:pStyle w:val="1"/>
              <w:jc w:val="both"/>
            </w:pPr>
            <w:r>
              <w:rPr>
                <w:sz w:val="20"/>
              </w:rPr>
              <w:t xml:space="preserve">кг/корпус   </w:t>
            </w:r>
          </w:p>
          <w:p>
            <w:pPr>
              <w:pStyle w:val="1"/>
              <w:jc w:val="both"/>
            </w:pPr>
            <w:r>
              <w:rPr>
                <w:sz w:val="20"/>
              </w:rPr>
              <w:t xml:space="preserve">+ 33 г/кв. м</w:t>
            </w:r>
          </w:p>
        </w:tc>
        <w:tc>
          <w:tcPr>
            <w:tcW w:w="1638" w:type="dxa"/>
            <w:tcBorders>
              <w:top w:val="nil"/>
            </w:tcBorders>
          </w:tcPr>
          <w:p>
            <w:pPr>
              <w:pStyle w:val="1"/>
              <w:jc w:val="both"/>
            </w:pPr>
            <w:r>
              <w:rPr>
                <w:sz w:val="20"/>
              </w:rPr>
              <w:t xml:space="preserve">60 г/кв. м  </w:t>
            </w:r>
          </w:p>
          <w:p>
            <w:pPr>
              <w:pStyle w:val="1"/>
              <w:jc w:val="both"/>
            </w:pPr>
            <w:r>
              <w:rPr>
                <w:sz w:val="20"/>
              </w:rPr>
              <w:t xml:space="preserve">или 1,9     </w:t>
            </w:r>
          </w:p>
          <w:p>
            <w:pPr>
              <w:pStyle w:val="1"/>
              <w:jc w:val="both"/>
            </w:pPr>
            <w:r>
              <w:rPr>
                <w:sz w:val="20"/>
              </w:rPr>
              <w:t xml:space="preserve">кг/корпус   </w:t>
            </w:r>
          </w:p>
          <w:p>
            <w:pPr>
              <w:pStyle w:val="1"/>
              <w:jc w:val="both"/>
            </w:pPr>
            <w:r>
              <w:rPr>
                <w:sz w:val="20"/>
              </w:rPr>
              <w:t xml:space="preserve">+ 41 г/кв. м</w:t>
            </w:r>
          </w:p>
        </w:tc>
      </w:tr>
      <w:tr>
        <w:tc>
          <w:tcPr>
            <w:tcBorders>
              <w:top w:val="nil"/>
            </w:tcBorders>
            <w:vMerge w:val="continue"/>
          </w:tcPr>
          <w:p/>
        </w:tc>
        <w:tc>
          <w:tcPr>
            <w:tcW w:w="2925" w:type="dxa"/>
            <w:tcBorders>
              <w:top w:val="nil"/>
            </w:tcBorders>
          </w:tcPr>
          <w:p>
            <w:pPr>
              <w:pStyle w:val="1"/>
              <w:jc w:val="both"/>
            </w:pPr>
            <w:r>
              <w:rPr>
                <w:sz w:val="20"/>
              </w:rPr>
              <w:t xml:space="preserve">&lt;= 5000 несущий кузов  </w:t>
            </w:r>
          </w:p>
          <w:p>
            <w:pPr>
              <w:pStyle w:val="1"/>
              <w:jc w:val="both"/>
            </w:pPr>
            <w:r>
              <w:rPr>
                <w:sz w:val="20"/>
              </w:rPr>
              <w:t xml:space="preserve">или                    </w:t>
            </w:r>
          </w:p>
          <w:p>
            <w:pPr>
              <w:pStyle w:val="1"/>
              <w:jc w:val="both"/>
            </w:pPr>
            <w:r>
              <w:rPr>
                <w:sz w:val="20"/>
              </w:rPr>
              <w:t xml:space="preserve"> &gt; 3500 шасси          </w:t>
            </w:r>
          </w:p>
        </w:tc>
        <w:tc>
          <w:tcPr>
            <w:tcW w:w="1638" w:type="dxa"/>
            <w:tcBorders>
              <w:top w:val="nil"/>
            </w:tcBorders>
          </w:tcPr>
          <w:p>
            <w:pPr>
              <w:pStyle w:val="1"/>
              <w:jc w:val="both"/>
            </w:pPr>
            <w:r>
              <w:rPr>
                <w:sz w:val="20"/>
              </w:rPr>
              <w:t xml:space="preserve">90 г/кв. м  </w:t>
            </w:r>
          </w:p>
          <w:p>
            <w:pPr>
              <w:pStyle w:val="1"/>
              <w:jc w:val="both"/>
            </w:pPr>
            <w:r>
              <w:rPr>
                <w:sz w:val="20"/>
              </w:rPr>
              <w:t xml:space="preserve">или 1,5     </w:t>
            </w:r>
          </w:p>
          <w:p>
            <w:pPr>
              <w:pStyle w:val="1"/>
              <w:jc w:val="both"/>
            </w:pPr>
            <w:r>
              <w:rPr>
                <w:sz w:val="20"/>
              </w:rPr>
              <w:t xml:space="preserve">кг/корпус   </w:t>
            </w:r>
          </w:p>
          <w:p>
            <w:pPr>
              <w:pStyle w:val="1"/>
              <w:jc w:val="both"/>
            </w:pPr>
            <w:r>
              <w:rPr>
                <w:sz w:val="20"/>
              </w:rPr>
              <w:t xml:space="preserve">+ 70 г/кв. м</w:t>
            </w:r>
          </w:p>
        </w:tc>
        <w:tc>
          <w:tcPr>
            <w:tcW w:w="1638" w:type="dxa"/>
            <w:tcBorders>
              <w:top w:val="nil"/>
            </w:tcBorders>
          </w:tcPr>
          <w:p>
            <w:pPr>
              <w:pStyle w:val="1"/>
              <w:jc w:val="both"/>
            </w:pPr>
            <w:r>
              <w:rPr>
                <w:sz w:val="20"/>
              </w:rPr>
              <w:t xml:space="preserve">90 г/кв. м  </w:t>
            </w:r>
          </w:p>
          <w:p>
            <w:pPr>
              <w:pStyle w:val="1"/>
              <w:jc w:val="both"/>
            </w:pPr>
            <w:r>
              <w:rPr>
                <w:sz w:val="20"/>
              </w:rPr>
              <w:t xml:space="preserve">или 1,5     </w:t>
            </w:r>
          </w:p>
          <w:p>
            <w:pPr>
              <w:pStyle w:val="1"/>
              <w:jc w:val="both"/>
            </w:pPr>
            <w:r>
              <w:rPr>
                <w:sz w:val="20"/>
              </w:rPr>
              <w:t xml:space="preserve">кг/корпус   </w:t>
            </w:r>
          </w:p>
          <w:p>
            <w:pPr>
              <w:pStyle w:val="1"/>
              <w:jc w:val="both"/>
            </w:pPr>
            <w:r>
              <w:rPr>
                <w:sz w:val="20"/>
              </w:rPr>
              <w:t xml:space="preserve">+ 70 г/кв. м</w:t>
            </w:r>
          </w:p>
        </w:tc>
      </w:tr>
      <w:tr>
        <w:trPr>
          <w:trHeight w:val="240" w:hRule="atLeast"/>
        </w:trPr>
        <w:tc>
          <w:tcPr>
            <w:tcW w:w="2925" w:type="dxa"/>
            <w:tcBorders>
              <w:top w:val="nil"/>
            </w:tcBorders>
          </w:tcPr>
          <w:p>
            <w:pPr>
              <w:pStyle w:val="1"/>
              <w:jc w:val="both"/>
            </w:pPr>
            <w:r>
              <w:rPr>
                <w:sz w:val="20"/>
              </w:rPr>
            </w:r>
          </w:p>
        </w:tc>
        <w:tc>
          <w:tcPr>
            <w:tcW w:w="2925" w:type="dxa"/>
            <w:tcBorders>
              <w:top w:val="nil"/>
            </w:tcBorders>
          </w:tcPr>
          <w:p>
            <w:pPr>
              <w:pStyle w:val="1"/>
              <w:jc w:val="both"/>
            </w:pPr>
            <w:r>
              <w:rPr>
                <w:sz w:val="20"/>
              </w:rPr>
            </w:r>
          </w:p>
        </w:tc>
        <w:tc>
          <w:tcPr>
            <w:gridSpan w:val="2"/>
            <w:tcW w:w="3276" w:type="dxa"/>
            <w:tcBorders>
              <w:top w:val="nil"/>
            </w:tcBorders>
          </w:tcPr>
          <w:p>
            <w:pPr>
              <w:pStyle w:val="1"/>
              <w:jc w:val="both"/>
            </w:pPr>
            <w:r>
              <w:rPr>
                <w:sz w:val="20"/>
              </w:rPr>
              <w:t xml:space="preserve">Общее пороговое значение </w:t>
            </w:r>
          </w:p>
          <w:p>
            <w:pPr>
              <w:pStyle w:val="1"/>
              <w:jc w:val="both"/>
            </w:pPr>
            <w:r>
              <w:rPr>
                <w:sz w:val="20"/>
              </w:rPr>
              <w:t xml:space="preserve">    выбросов г/кв. м     </w:t>
            </w:r>
          </w:p>
        </w:tc>
      </w:tr>
      <w:tr>
        <w:trPr>
          <w:trHeight w:val="240" w:hRule="atLeast"/>
        </w:trPr>
        <w:tc>
          <w:tcPr>
            <w:tcW w:w="2925" w:type="dxa"/>
            <w:tcBorders>
              <w:top w:val="nil"/>
            </w:tcBorders>
            <w:vMerge w:val="restart"/>
          </w:tcPr>
          <w:p>
            <w:pPr>
              <w:pStyle w:val="1"/>
              <w:jc w:val="both"/>
            </w:pPr>
            <w:r>
              <w:rPr>
                <w:sz w:val="20"/>
              </w:rPr>
              <w:t xml:space="preserve">Покрытие новых кабин   </w:t>
            </w:r>
          </w:p>
          <w:p>
            <w:pPr>
              <w:pStyle w:val="1"/>
              <w:jc w:val="both"/>
            </w:pPr>
            <w:r>
              <w:rPr>
                <w:sz w:val="20"/>
              </w:rPr>
              <w:t xml:space="preserve">грузовиков (&gt; 15)      </w:t>
            </w:r>
          </w:p>
        </w:tc>
        <w:tc>
          <w:tcPr>
            <w:tcW w:w="2925" w:type="dxa"/>
            <w:tcBorders>
              <w:top w:val="nil"/>
            </w:tcBorders>
          </w:tcPr>
          <w:p>
            <w:pPr>
              <w:pStyle w:val="1"/>
              <w:jc w:val="both"/>
            </w:pPr>
            <w:r>
              <w:rPr>
                <w:sz w:val="20"/>
              </w:rPr>
              <w:t xml:space="preserve">                &lt;= 5000</w:t>
            </w:r>
          </w:p>
        </w:tc>
        <w:tc>
          <w:tcPr>
            <w:tcW w:w="1638" w:type="dxa"/>
            <w:tcBorders>
              <w:top w:val="nil"/>
            </w:tcBorders>
          </w:tcPr>
          <w:p>
            <w:pPr>
              <w:pStyle w:val="1"/>
              <w:jc w:val="both"/>
            </w:pPr>
            <w:r>
              <w:rPr>
                <w:sz w:val="20"/>
              </w:rPr>
              <w:t xml:space="preserve">          65</w:t>
            </w:r>
          </w:p>
        </w:tc>
        <w:tc>
          <w:tcPr>
            <w:tcW w:w="1638" w:type="dxa"/>
            <w:tcBorders>
              <w:top w:val="nil"/>
            </w:tcBorders>
          </w:tcPr>
          <w:p>
            <w:pPr>
              <w:pStyle w:val="1"/>
              <w:jc w:val="both"/>
            </w:pPr>
            <w:r>
              <w:rPr>
                <w:sz w:val="20"/>
              </w:rPr>
              <w:t xml:space="preserve">          85</w:t>
            </w:r>
          </w:p>
        </w:tc>
      </w:tr>
      <w:tr>
        <w:tc>
          <w:tcPr>
            <w:tcBorders>
              <w:top w:val="nil"/>
            </w:tcBorders>
            <w:vMerge w:val="continue"/>
          </w:tcPr>
          <w:p/>
        </w:tc>
        <w:tc>
          <w:tcPr>
            <w:tcW w:w="2925" w:type="dxa"/>
            <w:tcBorders>
              <w:top w:val="nil"/>
            </w:tcBorders>
          </w:tcPr>
          <w:p>
            <w:pPr>
              <w:pStyle w:val="1"/>
              <w:jc w:val="both"/>
            </w:pPr>
            <w:r>
              <w:rPr>
                <w:sz w:val="20"/>
              </w:rPr>
              <w:t xml:space="preserve">                 &gt; 5000</w:t>
            </w:r>
          </w:p>
        </w:tc>
        <w:tc>
          <w:tcPr>
            <w:tcW w:w="1638" w:type="dxa"/>
            <w:tcBorders>
              <w:top w:val="nil"/>
            </w:tcBorders>
          </w:tcPr>
          <w:p>
            <w:pPr>
              <w:pStyle w:val="1"/>
              <w:jc w:val="both"/>
            </w:pPr>
            <w:r>
              <w:rPr>
                <w:sz w:val="20"/>
              </w:rPr>
              <w:t xml:space="preserve">          55</w:t>
            </w:r>
          </w:p>
        </w:tc>
        <w:tc>
          <w:tcPr>
            <w:tcW w:w="1638" w:type="dxa"/>
            <w:tcBorders>
              <w:top w:val="nil"/>
            </w:tcBorders>
          </w:tcPr>
          <w:p>
            <w:pPr>
              <w:pStyle w:val="1"/>
              <w:jc w:val="both"/>
            </w:pPr>
            <w:r>
              <w:rPr>
                <w:sz w:val="20"/>
              </w:rPr>
              <w:t xml:space="preserve">          75</w:t>
            </w:r>
          </w:p>
        </w:tc>
      </w:tr>
      <w:tr>
        <w:trPr>
          <w:trHeight w:val="240" w:hRule="atLeast"/>
        </w:trPr>
        <w:tc>
          <w:tcPr>
            <w:tcW w:w="2925" w:type="dxa"/>
            <w:tcBorders>
              <w:top w:val="nil"/>
            </w:tcBorders>
            <w:vMerge w:val="restart"/>
          </w:tcPr>
          <w:p>
            <w:pPr>
              <w:pStyle w:val="1"/>
              <w:jc w:val="both"/>
            </w:pPr>
            <w:r>
              <w:rPr>
                <w:sz w:val="20"/>
              </w:rPr>
              <w:t xml:space="preserve">Покрытие новых фургонов</w:t>
            </w:r>
          </w:p>
          <w:p>
            <w:pPr>
              <w:pStyle w:val="1"/>
              <w:jc w:val="both"/>
            </w:pPr>
            <w:r>
              <w:rPr>
                <w:sz w:val="20"/>
              </w:rPr>
              <w:t xml:space="preserve">и грузовиков (&gt; 15)    </w:t>
            </w:r>
          </w:p>
        </w:tc>
        <w:tc>
          <w:tcPr>
            <w:tcW w:w="2925" w:type="dxa"/>
            <w:tcBorders>
              <w:top w:val="nil"/>
            </w:tcBorders>
          </w:tcPr>
          <w:p>
            <w:pPr>
              <w:pStyle w:val="1"/>
              <w:jc w:val="both"/>
            </w:pPr>
            <w:r>
              <w:rPr>
                <w:sz w:val="20"/>
              </w:rPr>
              <w:t xml:space="preserve">                &lt;= 2500</w:t>
            </w:r>
          </w:p>
        </w:tc>
        <w:tc>
          <w:tcPr>
            <w:tcW w:w="1638" w:type="dxa"/>
            <w:tcBorders>
              <w:top w:val="nil"/>
            </w:tcBorders>
          </w:tcPr>
          <w:p>
            <w:pPr>
              <w:pStyle w:val="1"/>
              <w:jc w:val="both"/>
            </w:pPr>
            <w:r>
              <w:rPr>
                <w:sz w:val="20"/>
              </w:rPr>
              <w:t xml:space="preserve">          90</w:t>
            </w:r>
          </w:p>
        </w:tc>
        <w:tc>
          <w:tcPr>
            <w:tcW w:w="1638" w:type="dxa"/>
            <w:tcBorders>
              <w:top w:val="nil"/>
            </w:tcBorders>
          </w:tcPr>
          <w:p>
            <w:pPr>
              <w:pStyle w:val="1"/>
              <w:jc w:val="both"/>
            </w:pPr>
            <w:r>
              <w:rPr>
                <w:sz w:val="20"/>
              </w:rPr>
              <w:t xml:space="preserve">         120</w:t>
            </w:r>
          </w:p>
        </w:tc>
      </w:tr>
      <w:tr>
        <w:tc>
          <w:tcPr>
            <w:tcBorders>
              <w:top w:val="nil"/>
            </w:tcBorders>
            <w:vMerge w:val="continue"/>
          </w:tcPr>
          <w:p/>
        </w:tc>
        <w:tc>
          <w:tcPr>
            <w:tcW w:w="2925" w:type="dxa"/>
            <w:tcBorders>
              <w:top w:val="nil"/>
            </w:tcBorders>
          </w:tcPr>
          <w:p>
            <w:pPr>
              <w:pStyle w:val="1"/>
              <w:jc w:val="both"/>
            </w:pPr>
            <w:r>
              <w:rPr>
                <w:sz w:val="20"/>
              </w:rPr>
              <w:t xml:space="preserve">                 &gt; 2500</w:t>
            </w:r>
          </w:p>
        </w:tc>
        <w:tc>
          <w:tcPr>
            <w:tcW w:w="1638" w:type="dxa"/>
            <w:tcBorders>
              <w:top w:val="nil"/>
            </w:tcBorders>
          </w:tcPr>
          <w:p>
            <w:pPr>
              <w:pStyle w:val="1"/>
              <w:jc w:val="both"/>
            </w:pPr>
            <w:r>
              <w:rPr>
                <w:sz w:val="20"/>
              </w:rPr>
              <w:t xml:space="preserve">          70</w:t>
            </w:r>
          </w:p>
        </w:tc>
        <w:tc>
          <w:tcPr>
            <w:tcW w:w="1638" w:type="dxa"/>
            <w:tcBorders>
              <w:top w:val="nil"/>
            </w:tcBorders>
          </w:tcPr>
          <w:p>
            <w:pPr>
              <w:pStyle w:val="1"/>
              <w:jc w:val="both"/>
            </w:pPr>
            <w:r>
              <w:rPr>
                <w:sz w:val="20"/>
              </w:rPr>
              <w:t xml:space="preserve">          90</w:t>
            </w:r>
          </w:p>
        </w:tc>
      </w:tr>
      <w:tr>
        <w:trPr>
          <w:trHeight w:val="240" w:hRule="atLeast"/>
        </w:trPr>
        <w:tc>
          <w:tcPr>
            <w:tcW w:w="2925" w:type="dxa"/>
            <w:tcBorders>
              <w:top w:val="nil"/>
            </w:tcBorders>
            <w:vMerge w:val="restart"/>
          </w:tcPr>
          <w:p>
            <w:pPr>
              <w:pStyle w:val="1"/>
              <w:jc w:val="both"/>
            </w:pPr>
            <w:r>
              <w:rPr>
                <w:sz w:val="20"/>
              </w:rPr>
              <w:t xml:space="preserve">Покрытие новых         </w:t>
            </w:r>
          </w:p>
          <w:p>
            <w:pPr>
              <w:pStyle w:val="1"/>
              <w:jc w:val="both"/>
            </w:pPr>
            <w:r>
              <w:rPr>
                <w:sz w:val="20"/>
              </w:rPr>
              <w:t xml:space="preserve">автобусов (&gt; 15)       </w:t>
            </w:r>
          </w:p>
        </w:tc>
        <w:tc>
          <w:tcPr>
            <w:tcW w:w="2925" w:type="dxa"/>
            <w:tcBorders>
              <w:top w:val="nil"/>
            </w:tcBorders>
          </w:tcPr>
          <w:p>
            <w:pPr>
              <w:pStyle w:val="1"/>
              <w:jc w:val="both"/>
            </w:pPr>
            <w:r>
              <w:rPr>
                <w:sz w:val="20"/>
              </w:rPr>
              <w:t xml:space="preserve">                &lt;= 2000</w:t>
            </w:r>
          </w:p>
        </w:tc>
        <w:tc>
          <w:tcPr>
            <w:tcW w:w="1638" w:type="dxa"/>
            <w:tcBorders>
              <w:top w:val="nil"/>
            </w:tcBorders>
          </w:tcPr>
          <w:p>
            <w:pPr>
              <w:pStyle w:val="1"/>
              <w:jc w:val="both"/>
            </w:pPr>
            <w:r>
              <w:rPr>
                <w:sz w:val="20"/>
              </w:rPr>
              <w:t xml:space="preserve">         210</w:t>
            </w:r>
          </w:p>
        </w:tc>
        <w:tc>
          <w:tcPr>
            <w:tcW w:w="1638" w:type="dxa"/>
            <w:tcBorders>
              <w:top w:val="nil"/>
            </w:tcBorders>
          </w:tcPr>
          <w:p>
            <w:pPr>
              <w:pStyle w:val="1"/>
              <w:jc w:val="both"/>
            </w:pPr>
            <w:r>
              <w:rPr>
                <w:sz w:val="20"/>
              </w:rPr>
              <w:t xml:space="preserve">         290</w:t>
            </w:r>
          </w:p>
        </w:tc>
      </w:tr>
      <w:tr>
        <w:tc>
          <w:tcPr>
            <w:tcBorders>
              <w:top w:val="nil"/>
            </w:tcBorders>
            <w:vMerge w:val="continue"/>
          </w:tcPr>
          <w:p/>
        </w:tc>
        <w:tc>
          <w:tcPr>
            <w:tcW w:w="2925" w:type="dxa"/>
            <w:tcBorders>
              <w:top w:val="nil"/>
            </w:tcBorders>
          </w:tcPr>
          <w:p>
            <w:pPr>
              <w:pStyle w:val="1"/>
              <w:jc w:val="both"/>
            </w:pPr>
            <w:r>
              <w:rPr>
                <w:sz w:val="20"/>
              </w:rPr>
              <w:t xml:space="preserve">                 &gt; 2000</w:t>
            </w:r>
          </w:p>
        </w:tc>
        <w:tc>
          <w:tcPr>
            <w:tcW w:w="1638" w:type="dxa"/>
            <w:tcBorders>
              <w:top w:val="nil"/>
            </w:tcBorders>
          </w:tcPr>
          <w:p>
            <w:pPr>
              <w:pStyle w:val="1"/>
              <w:jc w:val="both"/>
            </w:pPr>
            <w:r>
              <w:rPr>
                <w:sz w:val="20"/>
              </w:rPr>
              <w:t xml:space="preserve">         150</w:t>
            </w:r>
          </w:p>
        </w:tc>
        <w:tc>
          <w:tcPr>
            <w:tcW w:w="1638" w:type="dxa"/>
            <w:tcBorders>
              <w:top w:val="nil"/>
            </w:tcBorders>
          </w:tcPr>
          <w:p>
            <w:pPr>
              <w:pStyle w:val="1"/>
              <w:jc w:val="both"/>
            </w:pPr>
            <w:r>
              <w:rPr>
                <w:sz w:val="20"/>
              </w:rPr>
              <w:t xml:space="preserve">         225</w:t>
            </w:r>
          </w:p>
        </w:tc>
      </w:tr>
    </w:tbl>
    <w:p>
      <w:pPr>
        <w:pStyle w:val="0"/>
        <w:ind w:firstLine="540"/>
        <w:jc w:val="both"/>
      </w:pPr>
      <w:r>
        <w:rPr>
          <w:sz w:val="20"/>
        </w:rPr>
      </w:r>
    </w:p>
    <w:p>
      <w:pPr>
        <w:pStyle w:val="0"/>
        <w:ind w:firstLine="540"/>
        <w:jc w:val="both"/>
      </w:pPr>
      <w:r>
        <w:rPr>
          <w:sz w:val="20"/>
        </w:rPr>
        <w:t xml:space="preserve">4. Установки по покрытию транспортных средств, где предельное значение потребления растворителя меньше значения, указанного в </w:t>
      </w:r>
      <w:hyperlink w:history="0" w:anchor="P3214" w:tooltip="│      Деятельность     │  Предел производства  │Общее пороговое значение │">
        <w:r>
          <w:rPr>
            <w:sz w:val="20"/>
            <w:color w:val="0000ff"/>
          </w:rPr>
          <w:t xml:space="preserve">таблице пункта 3 настоящей части</w:t>
        </w:r>
      </w:hyperlink>
      <w:r>
        <w:rPr>
          <w:sz w:val="20"/>
        </w:rPr>
        <w:t xml:space="preserve">, должны соблюдать требования для сектора повторной чистовой обработки транспортных средств, установленные в </w:t>
      </w:r>
      <w:hyperlink w:history="0" w:anchor="P2858" w:tooltip="Часть 2">
        <w:r>
          <w:rPr>
            <w:sz w:val="20"/>
            <w:color w:val="0000ff"/>
          </w:rPr>
          <w:t xml:space="preserve">части 2</w:t>
        </w:r>
      </w:hyperlink>
      <w:r>
        <w:rPr>
          <w:sz w:val="20"/>
        </w:rPr>
        <w:t xml:space="preserve"> настоящего Приложения.</w:t>
      </w:r>
    </w:p>
    <w:p>
      <w:pPr>
        <w:pStyle w:val="0"/>
        <w:ind w:firstLine="540"/>
        <w:jc w:val="both"/>
      </w:pPr>
      <w:r>
        <w:rPr>
          <w:sz w:val="20"/>
        </w:rPr>
      </w:r>
    </w:p>
    <w:bookmarkStart w:id="3248" w:name="P3248"/>
    <w:bookmarkEnd w:id="3248"/>
    <w:p>
      <w:pPr>
        <w:pStyle w:val="0"/>
        <w:outlineLvl w:val="1"/>
        <w:jc w:val="center"/>
      </w:pPr>
      <w:r>
        <w:rPr>
          <w:sz w:val="20"/>
        </w:rPr>
        <w:t xml:space="preserve">Часть 4</w:t>
      </w:r>
    </w:p>
    <w:p>
      <w:pPr>
        <w:pStyle w:val="0"/>
        <w:jc w:val="center"/>
      </w:pPr>
      <w:r>
        <w:rPr>
          <w:sz w:val="20"/>
        </w:rPr>
      </w:r>
    </w:p>
    <w:p>
      <w:pPr>
        <w:pStyle w:val="0"/>
        <w:jc w:val="center"/>
      </w:pPr>
      <w:r>
        <w:rPr>
          <w:sz w:val="20"/>
        </w:rPr>
        <w:t xml:space="preserve">Пороговые значения выбросов, относящиеся к летучим</w:t>
      </w:r>
    </w:p>
    <w:p>
      <w:pPr>
        <w:pStyle w:val="0"/>
        <w:jc w:val="center"/>
      </w:pPr>
      <w:r>
        <w:rPr>
          <w:sz w:val="20"/>
        </w:rPr>
        <w:t xml:space="preserve">органическим соединениям, имеющим особые обозначения риска</w:t>
      </w:r>
    </w:p>
    <w:p>
      <w:pPr>
        <w:pStyle w:val="0"/>
        <w:jc w:val="center"/>
      </w:pPr>
      <w:r>
        <w:rPr>
          <w:sz w:val="20"/>
        </w:rPr>
      </w:r>
    </w:p>
    <w:bookmarkStart w:id="3253" w:name="P3253"/>
    <w:bookmarkEnd w:id="3253"/>
    <w:p>
      <w:pPr>
        <w:pStyle w:val="1"/>
        <w:jc w:val="both"/>
      </w:pPr>
      <w:r>
        <w:rPr>
          <w:sz w:val="20"/>
        </w:rPr>
        <w:t xml:space="preserve">    1.  Для выбросов летучих органических соединений, указанных в </w:t>
      </w:r>
      <w:hyperlink w:history="0" w:anchor="P970" w:tooltip="Статья 58">
        <w:r>
          <w:rPr>
            <w:sz w:val="20"/>
            <w:color w:val="0000ff"/>
          </w:rPr>
          <w:t xml:space="preserve">статье 58</w:t>
        </w:r>
      </w:hyperlink>
    </w:p>
    <w:p>
      <w:pPr>
        <w:pStyle w:val="1"/>
        <w:jc w:val="both"/>
      </w:pPr>
      <w:r>
        <w:rPr>
          <w:sz w:val="20"/>
        </w:rPr>
        <w:t xml:space="preserve">настоящей  Директивы,  когда  массовый  расход суммы соединений, вызывающих</w:t>
      </w:r>
    </w:p>
    <w:p>
      <w:pPr>
        <w:pStyle w:val="1"/>
        <w:jc w:val="both"/>
      </w:pPr>
      <w:r>
        <w:rPr>
          <w:sz w:val="20"/>
        </w:rPr>
        <w:t xml:space="preserve">необходимость  обозначений,  предусмотренных в указанной </w:t>
      </w:r>
      <w:hyperlink w:history="0" w:anchor="P970" w:tooltip="Статья 58">
        <w:r>
          <w:rPr>
            <w:sz w:val="20"/>
            <w:color w:val="0000ff"/>
          </w:rPr>
          <w:t xml:space="preserve">статье</w:t>
        </w:r>
      </w:hyperlink>
      <w:r>
        <w:rPr>
          <w:sz w:val="20"/>
        </w:rPr>
        <w:t xml:space="preserve">, больше или</w:t>
      </w:r>
    </w:p>
    <w:p>
      <w:pPr>
        <w:pStyle w:val="1"/>
        <w:jc w:val="both"/>
      </w:pPr>
      <w:r>
        <w:rPr>
          <w:sz w:val="20"/>
        </w:rPr>
        <w:t xml:space="preserve">равен  10 г/час, необходимо соблюдать пороговое значение выбросов, равное 2</w:t>
      </w:r>
    </w:p>
    <w:p>
      <w:pPr>
        <w:pStyle w:val="1"/>
        <w:jc w:val="both"/>
      </w:pPr>
      <w:r>
        <w:rPr>
          <w:sz w:val="20"/>
        </w:rPr>
        <w:t xml:space="preserve">     3</w:t>
      </w:r>
    </w:p>
    <w:p>
      <w:pPr>
        <w:pStyle w:val="1"/>
        <w:jc w:val="both"/>
      </w:pPr>
      <w:r>
        <w:rPr>
          <w:sz w:val="20"/>
        </w:rPr>
        <w:t xml:space="preserve">мг/Nm . Пороговое значение выбросов относится к сумме отдельных соединений.</w:t>
      </w:r>
    </w:p>
    <w:p>
      <w:pPr>
        <w:pStyle w:val="1"/>
        <w:jc w:val="both"/>
      </w:pPr>
      <w:r>
        <w:rPr>
          <w:sz w:val="20"/>
          <w:color w:val="392c69"/>
        </w:rPr>
        <w:t xml:space="preserve">    Пункт  2  части  4  Приложения  VII  применяется  с  1  июня  2015 года</w:t>
      </w:r>
    </w:p>
    <w:p>
      <w:pPr>
        <w:pStyle w:val="1"/>
        <w:jc w:val="both"/>
      </w:pPr>
      <w:r>
        <w:rPr>
          <w:sz w:val="20"/>
          <w:color w:val="392c69"/>
        </w:rPr>
        <w:t xml:space="preserve">(</w:t>
      </w:r>
      <w:hyperlink w:history="0" w:anchor="P1218" w:tooltip="    9. Пункт 2 части 4 Приложения VII к настоящей Директиве применяется с 1">
        <w:r>
          <w:rPr>
            <w:sz w:val="20"/>
            <w:color w:val="0000ff"/>
          </w:rPr>
          <w:t xml:space="preserve">статья 82 (9)</w:t>
        </w:r>
      </w:hyperlink>
      <w:r>
        <w:rPr>
          <w:sz w:val="20"/>
          <w:color w:val="392c69"/>
        </w:rPr>
        <w:t xml:space="preserve"> данного документа).</w:t>
      </w:r>
    </w:p>
    <w:bookmarkStart w:id="3261" w:name="P3261"/>
    <w:bookmarkEnd w:id="3261"/>
    <w:p>
      <w:pPr>
        <w:pStyle w:val="1"/>
        <w:jc w:val="both"/>
      </w:pPr>
      <w:r>
        <w:rPr>
          <w:sz w:val="20"/>
        </w:rPr>
        <w:t xml:space="preserve">    2.  Для  выбросов  галогенированных  летучих  органических  соединений,</w:t>
      </w:r>
    </w:p>
    <w:p>
      <w:pPr>
        <w:pStyle w:val="1"/>
        <w:jc w:val="both"/>
      </w:pPr>
      <w:r>
        <w:rPr>
          <w:sz w:val="20"/>
        </w:rPr>
        <w:t xml:space="preserve">которые  должны  иметь обозначение опасности H341 или H351, массовый расход</w:t>
      </w:r>
    </w:p>
    <w:p>
      <w:pPr>
        <w:pStyle w:val="1"/>
        <w:jc w:val="both"/>
      </w:pPr>
      <w:r>
        <w:rPr>
          <w:sz w:val="20"/>
        </w:rPr>
        <w:t xml:space="preserve">суммы  соединений,  вызывающих  необходимость  обозначений  H341  или H351,</w:t>
      </w:r>
    </w:p>
    <w:p>
      <w:pPr>
        <w:pStyle w:val="1"/>
        <w:jc w:val="both"/>
      </w:pPr>
      <w:r>
        <w:rPr>
          <w:sz w:val="20"/>
        </w:rPr>
        <w:t xml:space="preserve">больше  или  равен  100  г/час,  необходимо  соблюдать  пороговое  значение</w:t>
      </w:r>
    </w:p>
    <w:p>
      <w:pPr>
        <w:pStyle w:val="1"/>
        <w:jc w:val="both"/>
      </w:pPr>
      <w:r>
        <w:rPr>
          <w:sz w:val="20"/>
        </w:rPr>
        <w:t xml:space="preserve">                           3</w:t>
      </w:r>
    </w:p>
    <w:p>
      <w:pPr>
        <w:pStyle w:val="1"/>
        <w:jc w:val="both"/>
      </w:pPr>
      <w:r>
        <w:rPr>
          <w:sz w:val="20"/>
        </w:rPr>
        <w:t xml:space="preserve">выбросов,  равное  20 мг/Nm . Пороговое значение выбросов относится к сумме</w:t>
      </w:r>
    </w:p>
    <w:p>
      <w:pPr>
        <w:pStyle w:val="1"/>
        <w:jc w:val="both"/>
      </w:pPr>
      <w:r>
        <w:rPr>
          <w:sz w:val="20"/>
        </w:rPr>
        <w:t xml:space="preserve">отдельных соединений.</w:t>
      </w:r>
    </w:p>
    <w:p>
      <w:pPr>
        <w:pStyle w:val="0"/>
        <w:ind w:firstLine="540"/>
        <w:jc w:val="both"/>
      </w:pPr>
      <w:r>
        <w:rPr>
          <w:sz w:val="20"/>
        </w:rPr>
      </w:r>
    </w:p>
    <w:bookmarkStart w:id="3269" w:name="P3269"/>
    <w:bookmarkEnd w:id="3269"/>
    <w:p>
      <w:pPr>
        <w:pStyle w:val="0"/>
        <w:outlineLvl w:val="1"/>
        <w:jc w:val="center"/>
      </w:pPr>
      <w:r>
        <w:rPr>
          <w:sz w:val="20"/>
        </w:rPr>
        <w:t xml:space="preserve">Часть 5</w:t>
      </w:r>
    </w:p>
    <w:p>
      <w:pPr>
        <w:pStyle w:val="0"/>
        <w:jc w:val="center"/>
      </w:pPr>
      <w:r>
        <w:rPr>
          <w:sz w:val="20"/>
        </w:rPr>
      </w:r>
    </w:p>
    <w:p>
      <w:pPr>
        <w:pStyle w:val="0"/>
        <w:jc w:val="center"/>
      </w:pPr>
      <w:r>
        <w:rPr>
          <w:sz w:val="20"/>
        </w:rPr>
        <w:t xml:space="preserve">Схема сокращения выбросов</w:t>
      </w:r>
    </w:p>
    <w:p>
      <w:pPr>
        <w:pStyle w:val="0"/>
        <w:jc w:val="center"/>
      </w:pPr>
      <w:r>
        <w:rPr>
          <w:sz w:val="20"/>
        </w:rPr>
      </w:r>
    </w:p>
    <w:bookmarkStart w:id="3273" w:name="P3273"/>
    <w:bookmarkEnd w:id="3273"/>
    <w:p>
      <w:pPr>
        <w:pStyle w:val="0"/>
        <w:ind w:firstLine="540"/>
        <w:jc w:val="both"/>
      </w:pPr>
      <w:r>
        <w:rPr>
          <w:sz w:val="20"/>
        </w:rPr>
        <w:t xml:space="preserve">1. Оператор вправе использовать любую схему, специально разработанную для соответствующей установки.</w:t>
      </w:r>
    </w:p>
    <w:p>
      <w:pPr>
        <w:pStyle w:val="0"/>
        <w:spacing w:before="200" w:line-rule="auto"/>
        <w:ind w:firstLine="540"/>
        <w:jc w:val="both"/>
      </w:pPr>
      <w:r>
        <w:rPr>
          <w:sz w:val="20"/>
        </w:rPr>
        <w:t xml:space="preserve">2. В случае применения покрытий, лаков, адгезивов или чернил может применяться нижеприведенная схема. Если этот метод непригоден, компетентный орган вправе разрешить оператору применять альтернативную схему, позволяющую достичь сокращения выбросов, эквивалентного тому, который достигается при применении пороговых значений выбросов, указанных в </w:t>
      </w:r>
      <w:hyperlink w:history="0" w:anchor="P2858" w:tooltip="Часть 2">
        <w:r>
          <w:rPr>
            <w:sz w:val="20"/>
            <w:color w:val="0000ff"/>
          </w:rPr>
          <w:t xml:space="preserve">частях 2</w:t>
        </w:r>
      </w:hyperlink>
      <w:r>
        <w:rPr>
          <w:sz w:val="20"/>
        </w:rPr>
        <w:t xml:space="preserve"> и </w:t>
      </w:r>
      <w:hyperlink w:history="0" w:anchor="P3196" w:tooltip="Часть 3">
        <w:r>
          <w:rPr>
            <w:sz w:val="20"/>
            <w:color w:val="0000ff"/>
          </w:rPr>
          <w:t xml:space="preserve">3</w:t>
        </w:r>
      </w:hyperlink>
      <w:r>
        <w:rPr>
          <w:sz w:val="20"/>
        </w:rPr>
        <w:t xml:space="preserve"> настоящего Приложения. При разработке схемы необходимо принять во внимание следующие факты:</w:t>
      </w:r>
    </w:p>
    <w:p>
      <w:pPr>
        <w:pStyle w:val="0"/>
        <w:spacing w:before="200" w:line-rule="auto"/>
        <w:ind w:firstLine="540"/>
        <w:jc w:val="both"/>
      </w:pPr>
      <w:r>
        <w:rPr>
          <w:sz w:val="20"/>
        </w:rPr>
        <w:t xml:space="preserve">a) если заменители, содержащие малое количество или не содержащие растворитель, находятся в разработке, следует предоставить оператору дополнительный срок для реализации его плана сокращения выбросов;</w:t>
      </w:r>
    </w:p>
    <w:p>
      <w:pPr>
        <w:pStyle w:val="0"/>
        <w:spacing w:before="200" w:line-rule="auto"/>
        <w:ind w:firstLine="540"/>
        <w:jc w:val="both"/>
      </w:pPr>
      <w:r>
        <w:rPr>
          <w:sz w:val="20"/>
        </w:rPr>
        <w:t xml:space="preserve">b) контрольная точка сокращения выбросов должна соответствовать, насколько это возможно, уровню выбросов, образующемуся при отсутствии действий по сокращению выбросов.</w:t>
      </w:r>
    </w:p>
    <w:p>
      <w:pPr>
        <w:pStyle w:val="0"/>
        <w:spacing w:before="200" w:line-rule="auto"/>
        <w:ind w:firstLine="540"/>
        <w:jc w:val="both"/>
      </w:pPr>
      <w:r>
        <w:rPr>
          <w:sz w:val="20"/>
        </w:rPr>
        <w:t xml:space="preserve">3. Следующая схема предназначена для установок, где допускается постоянное содержание твердых веществ в продукте:</w:t>
      </w:r>
    </w:p>
    <w:p>
      <w:pPr>
        <w:pStyle w:val="0"/>
        <w:spacing w:before="200" w:line-rule="auto"/>
        <w:ind w:firstLine="540"/>
        <w:jc w:val="both"/>
      </w:pPr>
      <w:r>
        <w:rPr>
          <w:sz w:val="20"/>
        </w:rPr>
        <w:t xml:space="preserve">a) ежегодное контрольное значение выбросов исчисляется следующим образом:</w:t>
      </w:r>
    </w:p>
    <w:p>
      <w:pPr>
        <w:pStyle w:val="0"/>
        <w:spacing w:before="200" w:line-rule="auto"/>
        <w:ind w:firstLine="540"/>
        <w:jc w:val="both"/>
      </w:pPr>
      <w:r>
        <w:rPr>
          <w:sz w:val="20"/>
        </w:rPr>
        <w:t xml:space="preserve">i) определяется общая масса твердых частиц в количестве покрытия и/или чернил, лака или адгезива, потребляемого за год. Твердыми частицами являются все материалы в покрытии, чернилах, лаках и адгезивах, которые становятся твердыми после испарения воды или летучих органических соединений;</w:t>
      </w:r>
    </w:p>
    <w:bookmarkStart w:id="3280" w:name="P3280"/>
    <w:bookmarkEnd w:id="3280"/>
    <w:p>
      <w:pPr>
        <w:pStyle w:val="0"/>
        <w:spacing w:before="200" w:line-rule="auto"/>
        <w:ind w:firstLine="540"/>
        <w:jc w:val="both"/>
      </w:pPr>
      <w:r>
        <w:rPr>
          <w:sz w:val="20"/>
        </w:rPr>
        <w:t xml:space="preserve">ii) ежегодные контрольные значения выбросов исчисляются умножением значения массы, определенной в соответствии с пунктом "i", на соответствующий коэффициент, указанной в нижеприведенной таблице. Компетентные органы вправе корректировать эти коэффициенты применительно к отдельным установкам в целях отражения зафиксированного повышения эффективности в использовании твердых частиц.</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4446"/>
        <w:gridCol w:w="4212"/>
      </w:tblGrid>
      <w:tr>
        <w:trPr>
          <w:trHeight w:val="240" w:hRule="atLeast"/>
        </w:trPr>
        <w:tc>
          <w:tcPr>
            <w:tcW w:w="4563" w:type="dxa"/>
          </w:tcPr>
          <w:p>
            <w:pPr>
              <w:pStyle w:val="1"/>
              <w:jc w:val="both"/>
            </w:pPr>
            <w:r>
              <w:rPr>
                <w:sz w:val="20"/>
              </w:rPr>
              <w:t xml:space="preserve">          Вид деятельности           </w:t>
            </w:r>
          </w:p>
        </w:tc>
        <w:tc>
          <w:tcPr>
            <w:tcW w:w="4329" w:type="dxa"/>
          </w:tcPr>
          <w:p>
            <w:pPr>
              <w:pStyle w:val="1"/>
              <w:jc w:val="both"/>
            </w:pPr>
            <w:r>
              <w:rPr>
                <w:sz w:val="20"/>
              </w:rPr>
              <w:t xml:space="preserve">Коэффициент умножения, указанный в </w:t>
            </w:r>
          </w:p>
          <w:p>
            <w:pPr>
              <w:pStyle w:val="1"/>
              <w:jc w:val="both"/>
            </w:pPr>
            <w:r>
              <w:rPr>
                <w:sz w:val="20"/>
              </w:rPr>
            </w:r>
            <w:hyperlink w:history="0" w:anchor="P3280" w:tooltip="ii) ежегодные контрольные значения выбросов исчисляются умножением значения массы, определенной в соответствии с пунктом &quot;i&quot;, на соответствующий коэффициент, указанной в нижеприведенной таблице. Компетентные органы вправе корректировать эти коэффициенты применительно к отдельным установкам в целях отражения зафиксированного повышения эффективности в использовании твердых частиц.">
              <w:r>
                <w:rPr>
                  <w:sz w:val="20"/>
                  <w:color w:val="0000ff"/>
                </w:rPr>
                <w:t xml:space="preserve">пункте "a"ii" настоящего параграфа</w:t>
              </w:r>
            </w:hyperlink>
            <w:r>
              <w:rPr>
                <w:sz w:val="20"/>
              </w:rPr>
            </w:r>
          </w:p>
        </w:tc>
      </w:tr>
      <w:tr>
        <w:trPr>
          <w:trHeight w:val="240" w:hRule="atLeast"/>
        </w:trPr>
        <w:tc>
          <w:tcPr>
            <w:tcW w:w="4563" w:type="dxa"/>
            <w:tcBorders>
              <w:top w:val="nil"/>
            </w:tcBorders>
          </w:tcPr>
          <w:p>
            <w:pPr>
              <w:pStyle w:val="1"/>
              <w:jc w:val="both"/>
            </w:pPr>
            <w:r>
              <w:rPr>
                <w:sz w:val="20"/>
              </w:rPr>
              <w:t xml:space="preserve">Ротогравюра, флексография,           </w:t>
            </w:r>
          </w:p>
          <w:p>
            <w:pPr>
              <w:pStyle w:val="1"/>
              <w:jc w:val="both"/>
            </w:pPr>
            <w:r>
              <w:rPr>
                <w:sz w:val="20"/>
              </w:rPr>
              <w:t xml:space="preserve">ламинирование, являющееся частью     </w:t>
            </w:r>
          </w:p>
          <w:p>
            <w:pPr>
              <w:pStyle w:val="1"/>
              <w:jc w:val="both"/>
            </w:pPr>
            <w:r>
              <w:rPr>
                <w:sz w:val="20"/>
              </w:rPr>
              <w:t xml:space="preserve">печати, лакировка, являющаяся частью </w:t>
            </w:r>
          </w:p>
          <w:p>
            <w:pPr>
              <w:pStyle w:val="1"/>
              <w:jc w:val="both"/>
            </w:pPr>
            <w:r>
              <w:rPr>
                <w:sz w:val="20"/>
              </w:rPr>
              <w:t xml:space="preserve">печати, деревянное покрытие,         </w:t>
            </w:r>
          </w:p>
          <w:p>
            <w:pPr>
              <w:pStyle w:val="1"/>
              <w:jc w:val="both"/>
            </w:pPr>
            <w:r>
              <w:rPr>
                <w:sz w:val="20"/>
              </w:rPr>
              <w:t xml:space="preserve">текстильное, матерчатое, пленочное и </w:t>
            </w:r>
          </w:p>
          <w:p>
            <w:pPr>
              <w:pStyle w:val="1"/>
              <w:jc w:val="both"/>
            </w:pPr>
            <w:r>
              <w:rPr>
                <w:sz w:val="20"/>
              </w:rPr>
              <w:t xml:space="preserve">бумажное покрытие, адгезивное        </w:t>
            </w:r>
          </w:p>
          <w:p>
            <w:pPr>
              <w:pStyle w:val="1"/>
              <w:jc w:val="both"/>
            </w:pPr>
            <w:r>
              <w:rPr>
                <w:sz w:val="20"/>
              </w:rPr>
              <w:t xml:space="preserve">покрытие                             </w:t>
            </w:r>
          </w:p>
        </w:tc>
        <w:tc>
          <w:tcPr>
            <w:tcW w:w="4329" w:type="dxa"/>
            <w:tcBorders>
              <w:top w:val="nil"/>
            </w:tcBorders>
          </w:tcPr>
          <w:p>
            <w:pPr>
              <w:pStyle w:val="1"/>
              <w:jc w:val="both"/>
            </w:pPr>
            <w:r>
              <w:rPr>
                <w:sz w:val="20"/>
              </w:rPr>
              <w:t xml:space="preserve">                               4   </w:t>
            </w:r>
          </w:p>
        </w:tc>
      </w:tr>
      <w:tr>
        <w:trPr>
          <w:trHeight w:val="240" w:hRule="atLeast"/>
        </w:trPr>
        <w:tc>
          <w:tcPr>
            <w:tcW w:w="4563" w:type="dxa"/>
            <w:tcBorders>
              <w:top w:val="nil"/>
            </w:tcBorders>
          </w:tcPr>
          <w:p>
            <w:pPr>
              <w:pStyle w:val="1"/>
              <w:jc w:val="both"/>
            </w:pPr>
            <w:r>
              <w:rPr>
                <w:sz w:val="20"/>
              </w:rPr>
              <w:t xml:space="preserve">Рулонное покрытие, повторная чистовая</w:t>
            </w:r>
          </w:p>
          <w:p>
            <w:pPr>
              <w:pStyle w:val="1"/>
              <w:jc w:val="both"/>
            </w:pPr>
            <w:r>
              <w:rPr>
                <w:sz w:val="20"/>
              </w:rPr>
              <w:t xml:space="preserve">обработка транспортных средств       </w:t>
            </w:r>
          </w:p>
        </w:tc>
        <w:tc>
          <w:tcPr>
            <w:tcW w:w="4329" w:type="dxa"/>
            <w:tcBorders>
              <w:top w:val="nil"/>
            </w:tcBorders>
          </w:tcPr>
          <w:p>
            <w:pPr>
              <w:pStyle w:val="1"/>
              <w:jc w:val="both"/>
            </w:pPr>
            <w:r>
              <w:rPr>
                <w:sz w:val="20"/>
              </w:rPr>
              <w:t xml:space="preserve">                               3   </w:t>
            </w:r>
          </w:p>
        </w:tc>
      </w:tr>
      <w:tr>
        <w:trPr>
          <w:trHeight w:val="240" w:hRule="atLeast"/>
        </w:trPr>
        <w:tc>
          <w:tcPr>
            <w:tcW w:w="4563" w:type="dxa"/>
            <w:tcBorders>
              <w:top w:val="nil"/>
            </w:tcBorders>
          </w:tcPr>
          <w:p>
            <w:pPr>
              <w:pStyle w:val="1"/>
              <w:jc w:val="both"/>
            </w:pPr>
            <w:r>
              <w:rPr>
                <w:sz w:val="20"/>
              </w:rPr>
              <w:t xml:space="preserve">Покрытие пищевых материалов,         </w:t>
            </w:r>
          </w:p>
          <w:p>
            <w:pPr>
              <w:pStyle w:val="1"/>
              <w:jc w:val="both"/>
            </w:pPr>
            <w:r>
              <w:rPr>
                <w:sz w:val="20"/>
              </w:rPr>
              <w:t xml:space="preserve">аэрокосмическое покрытие             </w:t>
            </w:r>
          </w:p>
        </w:tc>
        <w:tc>
          <w:tcPr>
            <w:tcW w:w="4329" w:type="dxa"/>
            <w:tcBorders>
              <w:top w:val="nil"/>
            </w:tcBorders>
          </w:tcPr>
          <w:p>
            <w:pPr>
              <w:pStyle w:val="1"/>
              <w:jc w:val="both"/>
            </w:pPr>
            <w:r>
              <w:rPr>
                <w:sz w:val="20"/>
              </w:rPr>
              <w:t xml:space="preserve">                               2,33</w:t>
            </w:r>
          </w:p>
        </w:tc>
      </w:tr>
      <w:tr>
        <w:trPr>
          <w:trHeight w:val="240" w:hRule="atLeast"/>
        </w:trPr>
        <w:tc>
          <w:tcPr>
            <w:tcW w:w="4563" w:type="dxa"/>
            <w:tcBorders>
              <w:top w:val="nil"/>
            </w:tcBorders>
          </w:tcPr>
          <w:p>
            <w:pPr>
              <w:pStyle w:val="1"/>
              <w:jc w:val="both"/>
            </w:pPr>
            <w:r>
              <w:rPr>
                <w:sz w:val="20"/>
              </w:rPr>
              <w:t xml:space="preserve">Иные виды покрытия и ротационная     </w:t>
            </w:r>
          </w:p>
          <w:p>
            <w:pPr>
              <w:pStyle w:val="1"/>
              <w:jc w:val="both"/>
            </w:pPr>
            <w:r>
              <w:rPr>
                <w:sz w:val="20"/>
              </w:rPr>
              <w:t xml:space="preserve">трафаретная печать                   </w:t>
            </w:r>
          </w:p>
        </w:tc>
        <w:tc>
          <w:tcPr>
            <w:tcW w:w="4329" w:type="dxa"/>
            <w:tcBorders>
              <w:top w:val="nil"/>
            </w:tcBorders>
          </w:tcPr>
          <w:p>
            <w:pPr>
              <w:pStyle w:val="1"/>
              <w:jc w:val="both"/>
            </w:pPr>
            <w:r>
              <w:rPr>
                <w:sz w:val="20"/>
              </w:rPr>
              <w:t xml:space="preserve">                               1,5 </w:t>
            </w:r>
          </w:p>
        </w:tc>
      </w:tr>
    </w:tbl>
    <w:p>
      <w:pPr>
        <w:pStyle w:val="0"/>
        <w:ind w:firstLine="540"/>
        <w:jc w:val="both"/>
      </w:pPr>
      <w:r>
        <w:rPr>
          <w:sz w:val="20"/>
        </w:rPr>
      </w:r>
    </w:p>
    <w:p>
      <w:pPr>
        <w:pStyle w:val="0"/>
        <w:ind w:firstLine="540"/>
        <w:jc w:val="both"/>
      </w:pPr>
      <w:r>
        <w:rPr>
          <w:sz w:val="20"/>
        </w:rPr>
        <w:t xml:space="preserve">b) Целевой показатель выбросов равен ежегодному контрольному значению выбросов, умноженному на процент, равный:</w:t>
      </w:r>
    </w:p>
    <w:p>
      <w:pPr>
        <w:pStyle w:val="0"/>
        <w:spacing w:before="200" w:line-rule="auto"/>
        <w:ind w:firstLine="540"/>
        <w:jc w:val="both"/>
      </w:pPr>
      <w:r>
        <w:rPr>
          <w:sz w:val="20"/>
        </w:rPr>
        <w:t xml:space="preserve">i) (пороговому значению неконтролируемых выбросов + 15) для установок, подпадающих под действие </w:t>
      </w:r>
      <w:hyperlink w:history="0" w:anchor="P2927" w:tooltip="│6 │Покрытие        │    &gt; 0,5   │50 &lt;1&gt;      │25                    │                         │&lt;1&gt; Согласно     │">
        <w:r>
          <w:rPr>
            <w:sz w:val="20"/>
            <w:color w:val="0000ff"/>
          </w:rPr>
          <w:t xml:space="preserve">пункта 6</w:t>
        </w:r>
      </w:hyperlink>
      <w:r>
        <w:rPr>
          <w:sz w:val="20"/>
        </w:rPr>
        <w:t xml:space="preserve"> и диапазона с низкими предельными значениями </w:t>
      </w:r>
      <w:hyperlink w:history="0" w:anchor="P2950" w:tooltip="│8 │Иное покрытие, в│  5 - 15    │100 &lt;1&gt; &lt;4&gt; │25 &lt;4&gt;                │                         │&lt;1&gt; Пороговое    │">
        <w:r>
          <w:rPr>
            <w:sz w:val="20"/>
            <w:color w:val="0000ff"/>
          </w:rPr>
          <w:t xml:space="preserve">пунктов 8</w:t>
        </w:r>
      </w:hyperlink>
      <w:r>
        <w:rPr>
          <w:sz w:val="20"/>
        </w:rPr>
        <w:t xml:space="preserve"> и </w:t>
      </w:r>
      <w:hyperlink w:history="0" w:anchor="P3017" w:tooltip="│10│Покрытие        │ 15 - 25    │100 &lt;1&gt;     │25                    │                         │&lt;1&gt; Пороговое    │">
        <w:r>
          <w:rPr>
            <w:sz w:val="20"/>
            <w:color w:val="0000ff"/>
          </w:rPr>
          <w:t xml:space="preserve">10 части 2</w:t>
        </w:r>
      </w:hyperlink>
      <w:r>
        <w:rPr>
          <w:sz w:val="20"/>
        </w:rPr>
        <w:t xml:space="preserve"> настоящего Приложения;</w:t>
      </w:r>
    </w:p>
    <w:p>
      <w:pPr>
        <w:pStyle w:val="0"/>
        <w:spacing w:before="200" w:line-rule="auto"/>
        <w:ind w:firstLine="540"/>
        <w:jc w:val="both"/>
      </w:pPr>
      <w:r>
        <w:rPr>
          <w:sz w:val="20"/>
        </w:rPr>
        <w:t xml:space="preserve">ii) (пороговому значению неконтролируемых выбросов + 5) для иных установок.</w:t>
      </w:r>
    </w:p>
    <w:p>
      <w:pPr>
        <w:pStyle w:val="0"/>
        <w:spacing w:before="200" w:line-rule="auto"/>
        <w:ind w:firstLine="540"/>
        <w:jc w:val="both"/>
      </w:pPr>
      <w:r>
        <w:rPr>
          <w:sz w:val="20"/>
        </w:rPr>
        <w:t xml:space="preserve">c) Соблюдение достигнуто, если фактическое значение выбросов растворителя, определяемое с помощью плана обращения с растворителями, меньше или равно целевому показателю.</w:t>
      </w:r>
    </w:p>
    <w:p>
      <w:pPr>
        <w:pStyle w:val="0"/>
        <w:ind w:firstLine="540"/>
        <w:jc w:val="both"/>
      </w:pPr>
      <w:r>
        <w:rPr>
          <w:sz w:val="20"/>
        </w:rPr>
      </w:r>
    </w:p>
    <w:bookmarkStart w:id="3309" w:name="P3309"/>
    <w:bookmarkEnd w:id="3309"/>
    <w:p>
      <w:pPr>
        <w:pStyle w:val="0"/>
        <w:outlineLvl w:val="1"/>
        <w:jc w:val="center"/>
      </w:pPr>
      <w:r>
        <w:rPr>
          <w:sz w:val="20"/>
        </w:rPr>
        <w:t xml:space="preserve">Часть 6</w:t>
      </w:r>
    </w:p>
    <w:p>
      <w:pPr>
        <w:pStyle w:val="0"/>
        <w:jc w:val="center"/>
      </w:pPr>
      <w:r>
        <w:rPr>
          <w:sz w:val="20"/>
        </w:rPr>
      </w:r>
    </w:p>
    <w:p>
      <w:pPr>
        <w:pStyle w:val="0"/>
        <w:jc w:val="center"/>
      </w:pPr>
      <w:r>
        <w:rPr>
          <w:sz w:val="20"/>
        </w:rPr>
        <w:t xml:space="preserve">Мониторинг выбросов</w:t>
      </w:r>
    </w:p>
    <w:p>
      <w:pPr>
        <w:pStyle w:val="0"/>
        <w:jc w:val="center"/>
      </w:pPr>
      <w:r>
        <w:rPr>
          <w:sz w:val="20"/>
        </w:rPr>
      </w:r>
    </w:p>
    <w:bookmarkStart w:id="3313" w:name="P3313"/>
    <w:bookmarkEnd w:id="3313"/>
    <w:p>
      <w:pPr>
        <w:pStyle w:val="0"/>
        <w:ind w:firstLine="540"/>
        <w:jc w:val="both"/>
      </w:pPr>
      <w:r>
        <w:rPr>
          <w:sz w:val="20"/>
        </w:rPr>
        <w:t xml:space="preserve">1. Мониторинг каналов, с которыми соединено очистное оборудование и которые в месте окончательного сброса выделяют больше 10 кг/час общего содержания органического углерода, осуществляется непрерывно.</w:t>
      </w:r>
    </w:p>
    <w:bookmarkStart w:id="3314" w:name="P3314"/>
    <w:bookmarkEnd w:id="3314"/>
    <w:p>
      <w:pPr>
        <w:pStyle w:val="0"/>
        <w:spacing w:before="200" w:line-rule="auto"/>
        <w:ind w:firstLine="540"/>
        <w:jc w:val="both"/>
      </w:pPr>
      <w:r>
        <w:rPr>
          <w:sz w:val="20"/>
        </w:rPr>
        <w:t xml:space="preserve">2. В иных случаях государства-члены ЕС гарантируют проведение непрерывных или периодических измерений. Что касается периодических измерений, необходимо получить по крайней мере три значения при осуществлении каждого измерения.</w:t>
      </w:r>
    </w:p>
    <w:bookmarkStart w:id="3315" w:name="P3315"/>
    <w:bookmarkEnd w:id="3315"/>
    <w:p>
      <w:pPr>
        <w:pStyle w:val="0"/>
        <w:spacing w:before="200" w:line-rule="auto"/>
        <w:ind w:firstLine="540"/>
        <w:jc w:val="both"/>
      </w:pPr>
      <w:r>
        <w:rPr>
          <w:sz w:val="20"/>
        </w:rPr>
        <w:t xml:space="preserve">3. Измерения не требуются в том случае, если для соблюдения настоящей </w:t>
      </w:r>
      <w:hyperlink w:history="0" w:anchor="P5" w:tooltip="ДИРЕКТИВА N 2010/75/ЕС">
        <w:r>
          <w:rPr>
            <w:sz w:val="20"/>
            <w:color w:val="0000ff"/>
          </w:rPr>
          <w:t xml:space="preserve">Директивы</w:t>
        </w:r>
      </w:hyperlink>
      <w:r>
        <w:rPr>
          <w:sz w:val="20"/>
        </w:rPr>
        <w:t xml:space="preserve"> не требуется очистное оборудование, позволяющее проводить очистку в месте сброса.</w:t>
      </w:r>
    </w:p>
    <w:p>
      <w:pPr>
        <w:pStyle w:val="0"/>
        <w:jc w:val="center"/>
      </w:pPr>
      <w:r>
        <w:rPr>
          <w:sz w:val="20"/>
        </w:rPr>
      </w:r>
    </w:p>
    <w:bookmarkStart w:id="3317" w:name="P3317"/>
    <w:bookmarkEnd w:id="3317"/>
    <w:p>
      <w:pPr>
        <w:pStyle w:val="0"/>
        <w:outlineLvl w:val="1"/>
        <w:jc w:val="center"/>
      </w:pPr>
      <w:r>
        <w:rPr>
          <w:sz w:val="20"/>
        </w:rPr>
        <w:t xml:space="preserve">Часть 7</w:t>
      </w:r>
    </w:p>
    <w:p>
      <w:pPr>
        <w:pStyle w:val="0"/>
        <w:jc w:val="center"/>
      </w:pPr>
      <w:r>
        <w:rPr>
          <w:sz w:val="20"/>
        </w:rPr>
      </w:r>
    </w:p>
    <w:p>
      <w:pPr>
        <w:pStyle w:val="0"/>
        <w:jc w:val="center"/>
      </w:pPr>
      <w:r>
        <w:rPr>
          <w:sz w:val="20"/>
        </w:rPr>
        <w:t xml:space="preserve">План обращения с растворителями</w:t>
      </w:r>
    </w:p>
    <w:p>
      <w:pPr>
        <w:pStyle w:val="0"/>
        <w:jc w:val="center"/>
      </w:pPr>
      <w:r>
        <w:rPr>
          <w:sz w:val="20"/>
        </w:rPr>
      </w:r>
    </w:p>
    <w:bookmarkStart w:id="3321" w:name="P3321"/>
    <w:bookmarkEnd w:id="3321"/>
    <w:p>
      <w:pPr>
        <w:pStyle w:val="0"/>
        <w:ind w:firstLine="540"/>
        <w:jc w:val="both"/>
      </w:pPr>
      <w:r>
        <w:rPr>
          <w:sz w:val="20"/>
        </w:rPr>
        <w:t xml:space="preserve">1. Принципы</w:t>
      </w:r>
    </w:p>
    <w:p>
      <w:pPr>
        <w:pStyle w:val="0"/>
        <w:spacing w:before="200" w:line-rule="auto"/>
        <w:ind w:firstLine="540"/>
        <w:jc w:val="both"/>
      </w:pPr>
      <w:r>
        <w:rPr>
          <w:sz w:val="20"/>
        </w:rPr>
        <w:t xml:space="preserve">План обращения с растворителями используется для:</w:t>
      </w:r>
    </w:p>
    <w:p>
      <w:pPr>
        <w:pStyle w:val="0"/>
        <w:spacing w:before="200" w:line-rule="auto"/>
        <w:ind w:firstLine="540"/>
        <w:jc w:val="both"/>
      </w:pPr>
      <w:r>
        <w:rPr>
          <w:sz w:val="20"/>
        </w:rPr>
        <w:t xml:space="preserve">a) проверки соблюдения в соответствии со </w:t>
      </w:r>
      <w:hyperlink w:history="0" w:anchor="P1008" w:tooltip="Статья 62">
        <w:r>
          <w:rPr>
            <w:sz w:val="20"/>
            <w:color w:val="0000ff"/>
          </w:rPr>
          <w:t xml:space="preserve">статьей 62</w:t>
        </w:r>
      </w:hyperlink>
      <w:r>
        <w:rPr>
          <w:sz w:val="20"/>
        </w:rPr>
        <w:t xml:space="preserve"> настоящей Директивы;</w:t>
      </w:r>
    </w:p>
    <w:p>
      <w:pPr>
        <w:pStyle w:val="0"/>
        <w:spacing w:before="200" w:line-rule="auto"/>
        <w:ind w:firstLine="540"/>
        <w:jc w:val="both"/>
      </w:pPr>
      <w:r>
        <w:rPr>
          <w:sz w:val="20"/>
        </w:rPr>
        <w:t xml:space="preserve">b) определения будущих возможностей сокращения выбросов;</w:t>
      </w:r>
    </w:p>
    <w:p>
      <w:pPr>
        <w:pStyle w:val="0"/>
        <w:spacing w:before="200" w:line-rule="auto"/>
        <w:ind w:firstLine="540"/>
        <w:jc w:val="both"/>
      </w:pPr>
      <w:r>
        <w:rPr>
          <w:sz w:val="20"/>
        </w:rPr>
        <w:t xml:space="preserve">c) обеспечения предоставления информации общественности о потреблении растворителя, выбросах растворителя и о соблюдении требований </w:t>
      </w:r>
      <w:hyperlink w:history="0" w:anchor="P937" w:tooltip="Глава V. СПЕЦИАЛЬНЫЕ ПОЛОЖЕНИЯ">
        <w:r>
          <w:rPr>
            <w:sz w:val="20"/>
            <w:color w:val="0000ff"/>
          </w:rPr>
          <w:t xml:space="preserve">главы V</w:t>
        </w:r>
      </w:hyperlink>
      <w:r>
        <w:rPr>
          <w:sz w:val="20"/>
        </w:rPr>
        <w:t xml:space="preserve"> настоящей Директивы.</w:t>
      </w:r>
    </w:p>
    <w:bookmarkStart w:id="3326" w:name="P3326"/>
    <w:bookmarkEnd w:id="3326"/>
    <w:p>
      <w:pPr>
        <w:pStyle w:val="0"/>
        <w:spacing w:before="200" w:line-rule="auto"/>
        <w:ind w:firstLine="540"/>
        <w:jc w:val="both"/>
      </w:pPr>
      <w:r>
        <w:rPr>
          <w:sz w:val="20"/>
        </w:rPr>
        <w:t xml:space="preserve">2. Определения</w:t>
      </w:r>
    </w:p>
    <w:p>
      <w:pPr>
        <w:pStyle w:val="0"/>
        <w:spacing w:before="200" w:line-rule="auto"/>
        <w:ind w:firstLine="540"/>
        <w:jc w:val="both"/>
      </w:pPr>
      <w:r>
        <w:rPr>
          <w:sz w:val="20"/>
        </w:rPr>
        <w:t xml:space="preserve">Следующие определения являются основой для проведения балансировки по массе:</w:t>
      </w:r>
    </w:p>
    <w:p>
      <w:pPr>
        <w:pStyle w:val="0"/>
        <w:spacing w:before="200" w:line-rule="auto"/>
        <w:ind w:firstLine="540"/>
        <w:jc w:val="both"/>
      </w:pPr>
      <w:r>
        <w:rPr>
          <w:sz w:val="20"/>
        </w:rPr>
        <w:t xml:space="preserve">Поступление органического растворителя (I):</w:t>
      </w:r>
    </w:p>
    <w:bookmarkStart w:id="3329" w:name="P3329"/>
    <w:bookmarkEnd w:id="3329"/>
    <w:p>
      <w:pPr>
        <w:pStyle w:val="0"/>
        <w:spacing w:before="200" w:line-rule="auto"/>
        <w:ind w:firstLine="540"/>
        <w:jc w:val="both"/>
      </w:pPr>
      <w:r>
        <w:rPr>
          <w:sz w:val="20"/>
        </w:rPr>
        <w:t xml:space="preserve">I1: Количество органических растворителей или их содержание в купленных смесях, которые поступают в течение периода, за который исчисляется балансировка по массе.</w:t>
      </w:r>
    </w:p>
    <w:bookmarkStart w:id="3330" w:name="P3330"/>
    <w:bookmarkEnd w:id="3330"/>
    <w:p>
      <w:pPr>
        <w:pStyle w:val="0"/>
        <w:spacing w:before="200" w:line-rule="auto"/>
        <w:ind w:firstLine="540"/>
        <w:jc w:val="both"/>
      </w:pPr>
      <w:r>
        <w:rPr>
          <w:sz w:val="20"/>
        </w:rPr>
        <w:t xml:space="preserve">I2: Количество органических растворителей или их содержание в смесях, переработанных и повторно используемых в качестве поступления. Переработанный растворитель считается каждый раз, когда используется для осуществления деятельности.</w:t>
      </w:r>
    </w:p>
    <w:p>
      <w:pPr>
        <w:pStyle w:val="0"/>
        <w:spacing w:before="200" w:line-rule="auto"/>
        <w:ind w:firstLine="540"/>
        <w:jc w:val="both"/>
      </w:pPr>
      <w:r>
        <w:rPr>
          <w:sz w:val="20"/>
        </w:rPr>
        <w:t xml:space="preserve">Выпуск органического растворителя (O):</w:t>
      </w:r>
    </w:p>
    <w:bookmarkStart w:id="3332" w:name="P3332"/>
    <w:bookmarkEnd w:id="3332"/>
    <w:p>
      <w:pPr>
        <w:pStyle w:val="0"/>
        <w:spacing w:before="200" w:line-rule="auto"/>
        <w:ind w:firstLine="540"/>
        <w:jc w:val="both"/>
      </w:pPr>
      <w:r>
        <w:rPr>
          <w:sz w:val="20"/>
        </w:rPr>
        <w:t xml:space="preserve">O1: Выбросы отработанных газов.</w:t>
      </w:r>
    </w:p>
    <w:bookmarkStart w:id="3333" w:name="P3333"/>
    <w:bookmarkEnd w:id="3333"/>
    <w:p>
      <w:pPr>
        <w:pStyle w:val="0"/>
        <w:spacing w:before="200" w:line-rule="auto"/>
        <w:ind w:firstLine="540"/>
        <w:jc w:val="both"/>
      </w:pPr>
      <w:r>
        <w:rPr>
          <w:sz w:val="20"/>
        </w:rPr>
        <w:t xml:space="preserve">O2: Органические растворители, потерянные в воде, с учетом обработки сточных вод при исчислении </w:t>
      </w:r>
      <w:hyperlink w:history="0" w:anchor="P3336" w:tooltip="O5: Органические растворители и/или органические соединения, потерянные вследствие химических или физических реакций (в том числе те, которые разрушаются в процессе сжигания или иного вида обработки отработанных газов или сточных вод, или улавливаются, если на них не распространяются определения O6, O7 или O8).">
        <w:r>
          <w:rPr>
            <w:sz w:val="20"/>
            <w:color w:val="0000ff"/>
          </w:rPr>
          <w:t xml:space="preserve">O5</w:t>
        </w:r>
      </w:hyperlink>
      <w:r>
        <w:rPr>
          <w:sz w:val="20"/>
        </w:rPr>
        <w:t xml:space="preserve">.</w:t>
      </w:r>
    </w:p>
    <w:bookmarkStart w:id="3334" w:name="P3334"/>
    <w:bookmarkEnd w:id="3334"/>
    <w:p>
      <w:pPr>
        <w:pStyle w:val="0"/>
        <w:spacing w:before="200" w:line-rule="auto"/>
        <w:ind w:firstLine="540"/>
        <w:jc w:val="both"/>
      </w:pPr>
      <w:r>
        <w:rPr>
          <w:sz w:val="20"/>
        </w:rPr>
        <w:t xml:space="preserve">O3: Количество органических растворителей, которое остается в качестве загрязнения или остатков в выпускаемой продукции.</w:t>
      </w:r>
    </w:p>
    <w:bookmarkStart w:id="3335" w:name="P3335"/>
    <w:bookmarkEnd w:id="3335"/>
    <w:p>
      <w:pPr>
        <w:pStyle w:val="0"/>
        <w:spacing w:before="200" w:line-rule="auto"/>
        <w:ind w:firstLine="540"/>
        <w:jc w:val="both"/>
      </w:pPr>
      <w:r>
        <w:rPr>
          <w:sz w:val="20"/>
        </w:rPr>
        <w:t xml:space="preserve">O4: Неуловленные выбросы органических растворителей в воздух, в том числе общая вентиляция помещений, когда воздух выходит во внешнюю среду через окна, двери, вентиляционные отверстия и аналогичные отверстия.</w:t>
      </w:r>
    </w:p>
    <w:bookmarkStart w:id="3336" w:name="P3336"/>
    <w:bookmarkEnd w:id="3336"/>
    <w:p>
      <w:pPr>
        <w:pStyle w:val="0"/>
        <w:spacing w:before="200" w:line-rule="auto"/>
        <w:ind w:firstLine="540"/>
        <w:jc w:val="both"/>
      </w:pPr>
      <w:r>
        <w:rPr>
          <w:sz w:val="20"/>
        </w:rPr>
        <w:t xml:space="preserve">O5: Органические растворители и/или органические соединения, потерянные вследствие химических или физических реакций (в том числе те, которые разрушаются в процессе сжигания или иного вида обработки отработанных газов или сточных вод, или улавливаются, если на них не распространяются определения O6, O7 или O8).</w:t>
      </w:r>
    </w:p>
    <w:bookmarkStart w:id="3337" w:name="P3337"/>
    <w:bookmarkEnd w:id="3337"/>
    <w:p>
      <w:pPr>
        <w:pStyle w:val="0"/>
        <w:spacing w:before="200" w:line-rule="auto"/>
        <w:ind w:firstLine="540"/>
        <w:jc w:val="both"/>
      </w:pPr>
      <w:r>
        <w:rPr>
          <w:sz w:val="20"/>
        </w:rPr>
        <w:t xml:space="preserve">O6: Органические растворители, содержащиеся в собираемых отходах.</w:t>
      </w:r>
    </w:p>
    <w:bookmarkStart w:id="3338" w:name="P3338"/>
    <w:bookmarkEnd w:id="3338"/>
    <w:p>
      <w:pPr>
        <w:pStyle w:val="0"/>
        <w:spacing w:before="200" w:line-rule="auto"/>
        <w:ind w:firstLine="540"/>
        <w:jc w:val="both"/>
      </w:pPr>
      <w:r>
        <w:rPr>
          <w:sz w:val="20"/>
        </w:rPr>
        <w:t xml:space="preserve">O7: Органические растворители или их содержание в смесях, которые продаются или предназначены для продажи в качестве продукта, имеющего коммерческую ценность.</w:t>
      </w:r>
    </w:p>
    <w:bookmarkStart w:id="3339" w:name="P3339"/>
    <w:bookmarkEnd w:id="3339"/>
    <w:p>
      <w:pPr>
        <w:pStyle w:val="0"/>
        <w:spacing w:before="200" w:line-rule="auto"/>
        <w:ind w:firstLine="540"/>
        <w:jc w:val="both"/>
      </w:pPr>
      <w:r>
        <w:rPr>
          <w:sz w:val="20"/>
        </w:rPr>
        <w:t xml:space="preserve">O8: Органические растворители, содержащиеся в смесях, переработанных для повторного использования, но не в качестве поступлений, если на них не распространяются определения O7.</w:t>
      </w:r>
    </w:p>
    <w:bookmarkStart w:id="3340" w:name="P3340"/>
    <w:bookmarkEnd w:id="3340"/>
    <w:p>
      <w:pPr>
        <w:pStyle w:val="0"/>
        <w:spacing w:before="200" w:line-rule="auto"/>
        <w:ind w:firstLine="540"/>
        <w:jc w:val="both"/>
      </w:pPr>
      <w:r>
        <w:rPr>
          <w:sz w:val="20"/>
        </w:rPr>
        <w:t xml:space="preserve">O9: Органические растворители, выделение которых осуществляется иными способами.</w:t>
      </w:r>
    </w:p>
    <w:bookmarkStart w:id="3341" w:name="P3341"/>
    <w:bookmarkEnd w:id="3341"/>
    <w:p>
      <w:pPr>
        <w:pStyle w:val="0"/>
        <w:spacing w:before="200" w:line-rule="auto"/>
        <w:ind w:firstLine="540"/>
        <w:jc w:val="both"/>
      </w:pPr>
      <w:r>
        <w:rPr>
          <w:sz w:val="20"/>
        </w:rPr>
        <w:t xml:space="preserve">3. Использование плана обращения с растворителями для проверки соблюдения.</w:t>
      </w:r>
    </w:p>
    <w:p>
      <w:pPr>
        <w:pStyle w:val="0"/>
        <w:spacing w:before="200" w:line-rule="auto"/>
        <w:ind w:firstLine="540"/>
        <w:jc w:val="both"/>
      </w:pPr>
      <w:r>
        <w:rPr>
          <w:sz w:val="20"/>
        </w:rPr>
        <w:t xml:space="preserve">Использование плана обращения с растворителями определяется особыми требованиями, соблюдение которых необходимо проверить, следующим образом:</w:t>
      </w:r>
    </w:p>
    <w:p>
      <w:pPr>
        <w:pStyle w:val="0"/>
        <w:spacing w:before="200" w:line-rule="auto"/>
        <w:ind w:firstLine="540"/>
        <w:jc w:val="both"/>
      </w:pPr>
      <w:r>
        <w:rPr>
          <w:sz w:val="20"/>
        </w:rPr>
        <w:t xml:space="preserve">a) проверка соблюдения схемы сокращения выбросов, как предусмотрено </w:t>
      </w:r>
      <w:hyperlink w:history="0" w:anchor="P3269" w:tooltip="Часть 5">
        <w:r>
          <w:rPr>
            <w:sz w:val="20"/>
            <w:color w:val="0000ff"/>
          </w:rPr>
          <w:t xml:space="preserve">частью 5</w:t>
        </w:r>
      </w:hyperlink>
      <w:r>
        <w:rPr>
          <w:sz w:val="20"/>
        </w:rPr>
        <w:t xml:space="preserve"> настоящего Приложения, где общее пороговое значение выбросов выражено в виде выбросов растворителя на единицу продукции или иным образом, как указано в </w:t>
      </w:r>
      <w:hyperlink w:history="0" w:anchor="P2858" w:tooltip="Часть 2">
        <w:r>
          <w:rPr>
            <w:sz w:val="20"/>
            <w:color w:val="0000ff"/>
          </w:rPr>
          <w:t xml:space="preserve">частях 2</w:t>
        </w:r>
      </w:hyperlink>
      <w:r>
        <w:rPr>
          <w:sz w:val="20"/>
        </w:rPr>
        <w:t xml:space="preserve"> и </w:t>
      </w:r>
      <w:hyperlink w:history="0" w:anchor="P3196" w:tooltip="Часть 3">
        <w:r>
          <w:rPr>
            <w:sz w:val="20"/>
            <w:color w:val="0000ff"/>
          </w:rPr>
          <w:t xml:space="preserve">3</w:t>
        </w:r>
      </w:hyperlink>
      <w:r>
        <w:rPr>
          <w:sz w:val="20"/>
        </w:rPr>
        <w:t xml:space="preserve"> настоящего Приложения.</w:t>
      </w:r>
    </w:p>
    <w:p>
      <w:pPr>
        <w:pStyle w:val="0"/>
        <w:spacing w:before="200" w:line-rule="auto"/>
        <w:ind w:firstLine="540"/>
        <w:jc w:val="both"/>
      </w:pPr>
      <w:r>
        <w:rPr>
          <w:sz w:val="20"/>
        </w:rPr>
        <w:t xml:space="preserve">i) для всех видов деятельности, в которых используется схема сокращения выбросов, предусмотренная частью 5 настоящего Приложения, план обращения с растворителями разрабатывается ежегодно, чтобы определить потребление "C". Потребление исчисляется в соответствии со следующим уравнением:</w:t>
      </w:r>
    </w:p>
    <w:p>
      <w:pPr>
        <w:pStyle w:val="0"/>
        <w:ind w:firstLine="540"/>
        <w:jc w:val="both"/>
      </w:pPr>
      <w:r>
        <w:rPr>
          <w:sz w:val="20"/>
        </w:rPr>
      </w:r>
    </w:p>
    <w:p>
      <w:pPr>
        <w:pStyle w:val="0"/>
        <w:ind w:firstLine="540"/>
        <w:jc w:val="both"/>
      </w:pPr>
      <w:r>
        <w:rPr>
          <w:sz w:val="20"/>
        </w:rPr>
        <w:t xml:space="preserve">C = </w:t>
      </w:r>
      <w:hyperlink w:history="0" w:anchor="P3329" w:tooltip="I1: Количество органических растворителей или их содержание в купленных смесях, которые поступают в течение периода, за который исчисляется балансировка по массе.">
        <w:r>
          <w:rPr>
            <w:sz w:val="20"/>
            <w:color w:val="0000ff"/>
          </w:rPr>
          <w:t xml:space="preserve">I1</w:t>
        </w:r>
      </w:hyperlink>
      <w:r>
        <w:rPr>
          <w:sz w:val="20"/>
        </w:rPr>
        <w:t xml:space="preserve"> - </w:t>
      </w:r>
      <w:hyperlink w:history="0" w:anchor="P3339" w:tooltip="O8: Органические растворители, содержащиеся в смесях, переработанных для повторного использования, но не в качестве поступлений, если на них не распространяются определения O7.">
        <w:r>
          <w:rPr>
            <w:sz w:val="20"/>
            <w:color w:val="0000ff"/>
          </w:rPr>
          <w:t xml:space="preserve">O8</w:t>
        </w:r>
      </w:hyperlink>
    </w:p>
    <w:p>
      <w:pPr>
        <w:pStyle w:val="0"/>
        <w:ind w:firstLine="540"/>
        <w:jc w:val="both"/>
      </w:pPr>
      <w:r>
        <w:rPr>
          <w:sz w:val="20"/>
        </w:rPr>
      </w:r>
    </w:p>
    <w:p>
      <w:pPr>
        <w:pStyle w:val="0"/>
        <w:ind w:firstLine="540"/>
        <w:jc w:val="both"/>
      </w:pPr>
      <w:r>
        <w:rPr>
          <w:sz w:val="20"/>
        </w:rPr>
        <w:t xml:space="preserve">Следует проводить параллельные мероприятия по определению содержания твердых частиц, используемых в покрытии, чтобы вывести ежегодное контрольное значение выбросов и целевой показатель выбросов.</w:t>
      </w:r>
    </w:p>
    <w:p>
      <w:pPr>
        <w:pStyle w:val="0"/>
        <w:spacing w:before="200" w:line-rule="auto"/>
        <w:ind w:firstLine="540"/>
        <w:jc w:val="both"/>
      </w:pPr>
      <w:r>
        <w:rPr>
          <w:sz w:val="20"/>
        </w:rPr>
        <w:t xml:space="preserve">ii) для оценки соблюдения общего порогового значения выбросов, выраженного в виде выбросов растворителя на единицу продукции или иным образом, как указано в </w:t>
      </w:r>
      <w:hyperlink w:history="0" w:anchor="P2858" w:tooltip="Часть 2">
        <w:r>
          <w:rPr>
            <w:sz w:val="20"/>
            <w:color w:val="0000ff"/>
          </w:rPr>
          <w:t xml:space="preserve">частях 2</w:t>
        </w:r>
      </w:hyperlink>
      <w:r>
        <w:rPr>
          <w:sz w:val="20"/>
        </w:rPr>
        <w:t xml:space="preserve"> и </w:t>
      </w:r>
      <w:hyperlink w:history="0" w:anchor="P3196" w:tooltip="Часть 3">
        <w:r>
          <w:rPr>
            <w:sz w:val="20"/>
            <w:color w:val="0000ff"/>
          </w:rPr>
          <w:t xml:space="preserve">3</w:t>
        </w:r>
      </w:hyperlink>
      <w:r>
        <w:rPr>
          <w:sz w:val="20"/>
        </w:rPr>
        <w:t xml:space="preserve"> настоящего Приложения, план обращения с растворителями разрабатывается ежегодно, чтобы определить количество выбросов "E". Количество выбросов исчисляется в соответствии со следующим уравнением:</w:t>
      </w:r>
    </w:p>
    <w:p>
      <w:pPr>
        <w:pStyle w:val="0"/>
        <w:ind w:firstLine="540"/>
        <w:jc w:val="both"/>
      </w:pPr>
      <w:r>
        <w:rPr>
          <w:sz w:val="20"/>
        </w:rPr>
      </w:r>
    </w:p>
    <w:p>
      <w:pPr>
        <w:pStyle w:val="0"/>
        <w:ind w:firstLine="540"/>
        <w:jc w:val="both"/>
      </w:pPr>
      <w:r>
        <w:rPr>
          <w:sz w:val="20"/>
        </w:rPr>
        <w:t xml:space="preserve">E = F + </w:t>
      </w:r>
      <w:hyperlink w:history="0" w:anchor="P3332" w:tooltip="O1: Выбросы отработанных газов.">
        <w:r>
          <w:rPr>
            <w:sz w:val="20"/>
            <w:color w:val="0000ff"/>
          </w:rPr>
          <w:t xml:space="preserve">O1</w:t>
        </w:r>
      </w:hyperlink>
      <w:r>
        <w:rPr>
          <w:sz w:val="20"/>
        </w:rPr>
        <w:t xml:space="preserve">,</w:t>
      </w:r>
    </w:p>
    <w:p>
      <w:pPr>
        <w:pStyle w:val="0"/>
        <w:ind w:firstLine="540"/>
        <w:jc w:val="both"/>
      </w:pPr>
      <w:r>
        <w:rPr>
          <w:sz w:val="20"/>
        </w:rPr>
      </w:r>
    </w:p>
    <w:p>
      <w:pPr>
        <w:pStyle w:val="0"/>
        <w:ind w:firstLine="540"/>
        <w:jc w:val="both"/>
      </w:pPr>
      <w:r>
        <w:rPr>
          <w:sz w:val="20"/>
        </w:rPr>
        <w:t xml:space="preserve">где F - неконтролируемые выбросы, как определено </w:t>
      </w:r>
      <w:hyperlink w:history="0" w:anchor="P3356" w:tooltip="i) Неконтролируемые выбросы исчисляются в соответствии со следующими уравнениями:">
        <w:r>
          <w:rPr>
            <w:sz w:val="20"/>
            <w:color w:val="0000ff"/>
          </w:rPr>
          <w:t xml:space="preserve">пунктом "b"i" настоящего параграфа</w:t>
        </w:r>
      </w:hyperlink>
      <w:r>
        <w:rPr>
          <w:sz w:val="20"/>
        </w:rPr>
        <w:t xml:space="preserve">. Значение выбросов затем делится на соответствующие параметры продукта.</w:t>
      </w:r>
    </w:p>
    <w:p>
      <w:pPr>
        <w:pStyle w:val="0"/>
        <w:spacing w:before="200" w:line-rule="auto"/>
        <w:ind w:firstLine="540"/>
        <w:jc w:val="both"/>
      </w:pPr>
      <w:r>
        <w:rPr>
          <w:sz w:val="20"/>
        </w:rPr>
        <w:t xml:space="preserve">iii) для оценки соблюдения требований </w:t>
      </w:r>
      <w:hyperlink w:history="0" w:anchor="P993" w:tooltip="ii) не допускать, чтобы общие выбросы летучих органических соединений превышали уровни выбросов, достижимые в результате применения пункта &quot;i&quot; настоящего параграфа.">
        <w:r>
          <w:rPr>
            <w:sz w:val="20"/>
            <w:color w:val="0000ff"/>
          </w:rPr>
          <w:t xml:space="preserve">пункта "b"ii" статьи 59 (6)</w:t>
        </w:r>
      </w:hyperlink>
      <w:r>
        <w:rPr>
          <w:sz w:val="20"/>
        </w:rPr>
        <w:t xml:space="preserve"> настоящей Директивы план обращения с растворителями разрабатывается ежегодно, чтобы определить общее значение выбросов, образующихся в результате всех видов деятельности. Полученное значение затем сравнивается с общим значением выбросов, которое образовалось бы при соблюдении требований </w:t>
      </w:r>
      <w:hyperlink w:history="0" w:anchor="P2858" w:tooltip="Часть 2">
        <w:r>
          <w:rPr>
            <w:sz w:val="20"/>
            <w:color w:val="0000ff"/>
          </w:rPr>
          <w:t xml:space="preserve">частей 2</w:t>
        </w:r>
      </w:hyperlink>
      <w:r>
        <w:rPr>
          <w:sz w:val="20"/>
        </w:rPr>
        <w:t xml:space="preserve">, </w:t>
      </w:r>
      <w:hyperlink w:history="0" w:anchor="P3196" w:tooltip="Часть 3">
        <w:r>
          <w:rPr>
            <w:sz w:val="20"/>
            <w:color w:val="0000ff"/>
          </w:rPr>
          <w:t xml:space="preserve">3</w:t>
        </w:r>
      </w:hyperlink>
      <w:r>
        <w:rPr>
          <w:sz w:val="20"/>
        </w:rPr>
        <w:t xml:space="preserve"> и </w:t>
      </w:r>
      <w:hyperlink w:history="0" w:anchor="P3269" w:tooltip="Часть 5">
        <w:r>
          <w:rPr>
            <w:sz w:val="20"/>
            <w:color w:val="0000ff"/>
          </w:rPr>
          <w:t xml:space="preserve">5</w:t>
        </w:r>
      </w:hyperlink>
      <w:r>
        <w:rPr>
          <w:sz w:val="20"/>
        </w:rPr>
        <w:t xml:space="preserve"> настоящего Приложения отдельно для каждого вида деятельности.</w:t>
      </w:r>
    </w:p>
    <w:p>
      <w:pPr>
        <w:pStyle w:val="0"/>
        <w:spacing w:before="200" w:line-rule="auto"/>
        <w:ind w:firstLine="540"/>
        <w:jc w:val="both"/>
      </w:pPr>
      <w:r>
        <w:rPr>
          <w:sz w:val="20"/>
        </w:rPr>
        <w:t xml:space="preserve">b) Определение неконтролируемых выбросов для сравнения с пороговым значением неконтролируемых выбросов, указанным в части 2 настоящего Приложения:</w:t>
      </w:r>
    </w:p>
    <w:bookmarkStart w:id="3356" w:name="P3356"/>
    <w:bookmarkEnd w:id="3356"/>
    <w:p>
      <w:pPr>
        <w:pStyle w:val="0"/>
        <w:spacing w:before="200" w:line-rule="auto"/>
        <w:ind w:firstLine="540"/>
        <w:jc w:val="both"/>
      </w:pPr>
      <w:r>
        <w:rPr>
          <w:sz w:val="20"/>
        </w:rPr>
        <w:t xml:space="preserve">i) Неконтролируемые выбросы исчисляются в соответствии со следующими уравнениями:</w:t>
      </w:r>
    </w:p>
    <w:p>
      <w:pPr>
        <w:pStyle w:val="0"/>
        <w:ind w:firstLine="540"/>
        <w:jc w:val="both"/>
      </w:pPr>
      <w:r>
        <w:rPr>
          <w:sz w:val="20"/>
        </w:rPr>
      </w:r>
    </w:p>
    <w:p>
      <w:pPr>
        <w:pStyle w:val="0"/>
        <w:ind w:firstLine="540"/>
        <w:jc w:val="both"/>
      </w:pPr>
      <w:r>
        <w:rPr>
          <w:sz w:val="20"/>
        </w:rPr>
        <w:t xml:space="preserve">F = </w:t>
      </w:r>
      <w:hyperlink w:history="0" w:anchor="P3329" w:tooltip="I1: Количество органических растворителей или их содержание в купленных смесях, которые поступают в течение периода, за который исчисляется балансировка по массе.">
        <w:r>
          <w:rPr>
            <w:sz w:val="20"/>
            <w:color w:val="0000ff"/>
          </w:rPr>
          <w:t xml:space="preserve">I1</w:t>
        </w:r>
      </w:hyperlink>
      <w:r>
        <w:rPr>
          <w:sz w:val="20"/>
        </w:rPr>
        <w:t xml:space="preserve"> - </w:t>
      </w:r>
      <w:hyperlink w:history="0" w:anchor="P3332" w:tooltip="O1: Выбросы отработанных газов.">
        <w:r>
          <w:rPr>
            <w:sz w:val="20"/>
            <w:color w:val="0000ff"/>
          </w:rPr>
          <w:t xml:space="preserve">O1</w:t>
        </w:r>
      </w:hyperlink>
      <w:r>
        <w:rPr>
          <w:sz w:val="20"/>
        </w:rPr>
        <w:t xml:space="preserve"> - </w:t>
      </w:r>
      <w:hyperlink w:history="0" w:anchor="P3336" w:tooltip="O5: Органические растворители и/или органические соединения, потерянные вследствие химических или физических реакций (в том числе те, которые разрушаются в процессе сжигания или иного вида обработки отработанных газов или сточных вод, или улавливаются, если на них не распространяются определения O6, O7 или O8).">
        <w:r>
          <w:rPr>
            <w:sz w:val="20"/>
            <w:color w:val="0000ff"/>
          </w:rPr>
          <w:t xml:space="preserve">O5</w:t>
        </w:r>
      </w:hyperlink>
      <w:r>
        <w:rPr>
          <w:sz w:val="20"/>
        </w:rPr>
        <w:t xml:space="preserve"> - </w:t>
      </w:r>
      <w:hyperlink w:history="0" w:anchor="P3337" w:tooltip="O6: Органические растворители, содержащиеся в собираемых отходах.">
        <w:r>
          <w:rPr>
            <w:sz w:val="20"/>
            <w:color w:val="0000ff"/>
          </w:rPr>
          <w:t xml:space="preserve">O6</w:t>
        </w:r>
      </w:hyperlink>
      <w:r>
        <w:rPr>
          <w:sz w:val="20"/>
        </w:rPr>
        <w:t xml:space="preserve"> - </w:t>
      </w:r>
      <w:hyperlink w:history="0" w:anchor="P3338" w:tooltip="O7: Органические растворители или их содержание в смесях, которые продаются или предназначены для продажи в качестве продукта, имеющего коммерческую ценность.">
        <w:r>
          <w:rPr>
            <w:sz w:val="20"/>
            <w:color w:val="0000ff"/>
          </w:rPr>
          <w:t xml:space="preserve">O7</w:t>
        </w:r>
      </w:hyperlink>
      <w:r>
        <w:rPr>
          <w:sz w:val="20"/>
        </w:rPr>
        <w:t xml:space="preserve"> - </w:t>
      </w:r>
      <w:hyperlink w:history="0" w:anchor="P3339" w:tooltip="O8: Органические растворители, содержащиеся в смесях, переработанных для повторного использования, но не в качестве поступлений, если на них не распространяются определения O7.">
        <w:r>
          <w:rPr>
            <w:sz w:val="20"/>
            <w:color w:val="0000ff"/>
          </w:rPr>
          <w:t xml:space="preserve">O8</w:t>
        </w:r>
      </w:hyperlink>
    </w:p>
    <w:p>
      <w:pPr>
        <w:pStyle w:val="0"/>
        <w:ind w:firstLine="540"/>
        <w:jc w:val="both"/>
      </w:pPr>
      <w:r>
        <w:rPr>
          <w:sz w:val="20"/>
        </w:rPr>
      </w:r>
    </w:p>
    <w:p>
      <w:pPr>
        <w:pStyle w:val="0"/>
        <w:ind w:firstLine="540"/>
        <w:jc w:val="both"/>
      </w:pPr>
      <w:r>
        <w:rPr>
          <w:sz w:val="20"/>
        </w:rPr>
        <w:t xml:space="preserve">или</w:t>
      </w:r>
    </w:p>
    <w:p>
      <w:pPr>
        <w:pStyle w:val="0"/>
        <w:ind w:firstLine="540"/>
        <w:jc w:val="both"/>
      </w:pPr>
      <w:r>
        <w:rPr>
          <w:sz w:val="20"/>
        </w:rPr>
      </w:r>
    </w:p>
    <w:p>
      <w:pPr>
        <w:pStyle w:val="0"/>
        <w:ind w:firstLine="540"/>
        <w:jc w:val="both"/>
      </w:pPr>
      <w:r>
        <w:rPr>
          <w:sz w:val="20"/>
        </w:rPr>
        <w:t xml:space="preserve">F = </w:t>
      </w:r>
      <w:hyperlink w:history="0" w:anchor="P3333" w:tooltip="O2: Органические растворители, потерянные в воде, с учетом обработки сточных вод при исчислении O5.">
        <w:r>
          <w:rPr>
            <w:sz w:val="20"/>
            <w:color w:val="0000ff"/>
          </w:rPr>
          <w:t xml:space="preserve">O2</w:t>
        </w:r>
      </w:hyperlink>
      <w:r>
        <w:rPr>
          <w:sz w:val="20"/>
        </w:rPr>
        <w:t xml:space="preserve"> + </w:t>
      </w:r>
      <w:hyperlink w:history="0" w:anchor="P3334" w:tooltip="O3: Количество органических растворителей, которое остается в качестве загрязнения или остатков в выпускаемой продукции.">
        <w:r>
          <w:rPr>
            <w:sz w:val="20"/>
            <w:color w:val="0000ff"/>
          </w:rPr>
          <w:t xml:space="preserve">O3</w:t>
        </w:r>
      </w:hyperlink>
      <w:r>
        <w:rPr>
          <w:sz w:val="20"/>
        </w:rPr>
        <w:t xml:space="preserve"> + </w:t>
      </w:r>
      <w:hyperlink w:history="0" w:anchor="P3335" w:tooltip="O4: Неуловленные выбросы органических растворителей в воздух, в том числе общая вентиляция помещений, когда воздух выходит во внешнюю среду через окна, двери, вентиляционные отверстия и аналогичные отверстия.">
        <w:r>
          <w:rPr>
            <w:sz w:val="20"/>
            <w:color w:val="0000ff"/>
          </w:rPr>
          <w:t xml:space="preserve">O4</w:t>
        </w:r>
      </w:hyperlink>
      <w:r>
        <w:rPr>
          <w:sz w:val="20"/>
        </w:rPr>
        <w:t xml:space="preserve"> + </w:t>
      </w:r>
      <w:hyperlink w:history="0" w:anchor="P3340" w:tooltip="O9: Органические растворители, выделение которых осуществляется иными способами.">
        <w:r>
          <w:rPr>
            <w:sz w:val="20"/>
            <w:color w:val="0000ff"/>
          </w:rPr>
          <w:t xml:space="preserve">O9</w:t>
        </w:r>
      </w:hyperlink>
    </w:p>
    <w:p>
      <w:pPr>
        <w:pStyle w:val="0"/>
        <w:ind w:firstLine="540"/>
        <w:jc w:val="both"/>
      </w:pPr>
      <w:r>
        <w:rPr>
          <w:sz w:val="20"/>
        </w:rPr>
      </w:r>
    </w:p>
    <w:p>
      <w:pPr>
        <w:pStyle w:val="0"/>
        <w:ind w:firstLine="540"/>
        <w:jc w:val="both"/>
      </w:pPr>
      <w:r>
        <w:rPr>
          <w:sz w:val="20"/>
        </w:rPr>
        <w:t xml:space="preserve">F определяется либо путем непосредственного измерения количества неконтролируемых выбросов, либо путем применения эквивалентных методов или расчетов, например, с использованием коэффициента захвата в процессе.</w:t>
      </w:r>
    </w:p>
    <w:p>
      <w:pPr>
        <w:pStyle w:val="0"/>
        <w:spacing w:before="200" w:line-rule="auto"/>
        <w:ind w:firstLine="540"/>
        <w:jc w:val="both"/>
      </w:pPr>
      <w:r>
        <w:rPr>
          <w:sz w:val="20"/>
        </w:rPr>
        <w:t xml:space="preserve">Пороговое значение неконтролируемых выбросов выражено в виде доли поступлений, которая исчисляется в соответствии со следующим уравнением:</w:t>
      </w:r>
    </w:p>
    <w:p>
      <w:pPr>
        <w:pStyle w:val="0"/>
        <w:ind w:firstLine="540"/>
        <w:jc w:val="both"/>
      </w:pPr>
      <w:r>
        <w:rPr>
          <w:sz w:val="20"/>
        </w:rPr>
      </w:r>
    </w:p>
    <w:p>
      <w:pPr>
        <w:pStyle w:val="0"/>
        <w:ind w:firstLine="540"/>
        <w:jc w:val="both"/>
      </w:pPr>
      <w:r>
        <w:rPr>
          <w:sz w:val="20"/>
        </w:rPr>
        <w:t xml:space="preserve">I = </w:t>
      </w:r>
      <w:hyperlink w:history="0" w:anchor="P3329" w:tooltip="I1: Количество органических растворителей или их содержание в купленных смесях, которые поступают в течение периода, за который исчисляется балансировка по массе.">
        <w:r>
          <w:rPr>
            <w:sz w:val="20"/>
            <w:color w:val="0000ff"/>
          </w:rPr>
          <w:t xml:space="preserve">I1</w:t>
        </w:r>
      </w:hyperlink>
      <w:r>
        <w:rPr>
          <w:sz w:val="20"/>
        </w:rPr>
        <w:t xml:space="preserve"> + </w:t>
      </w:r>
      <w:hyperlink w:history="0" w:anchor="P3330" w:tooltip="I2: Количество органических растворителей или их содержание в смесях, переработанных и повторно используемых в качестве поступления. Переработанный растворитель считается каждый раз, когда используется для осуществления деятельности.">
        <w:r>
          <w:rPr>
            <w:sz w:val="20"/>
            <w:color w:val="0000ff"/>
          </w:rPr>
          <w:t xml:space="preserve">I2</w:t>
        </w:r>
      </w:hyperlink>
    </w:p>
    <w:p>
      <w:pPr>
        <w:pStyle w:val="0"/>
        <w:ind w:firstLine="540"/>
        <w:jc w:val="both"/>
      </w:pPr>
      <w:r>
        <w:rPr>
          <w:sz w:val="20"/>
        </w:rPr>
      </w:r>
    </w:p>
    <w:p>
      <w:pPr>
        <w:pStyle w:val="0"/>
        <w:ind w:firstLine="540"/>
        <w:jc w:val="both"/>
      </w:pPr>
      <w:r>
        <w:rPr>
          <w:sz w:val="20"/>
        </w:rPr>
        <w:t xml:space="preserve">ii) Определение неконтролируемых выбросов производится посредством небольшого, но всеобъемлющего комплекса мер; его следует проводить повторно только в случае модификации оборудования.</w:t>
      </w:r>
    </w:p>
    <w:p>
      <w:pPr>
        <w:pStyle w:val="0"/>
        <w:ind w:firstLine="540"/>
        <w:jc w:val="both"/>
      </w:pPr>
      <w:r>
        <w:rPr>
          <w:sz w:val="20"/>
        </w:rPr>
      </w:r>
    </w:p>
    <w:bookmarkStart w:id="3371" w:name="P3371"/>
    <w:bookmarkEnd w:id="3371"/>
    <w:p>
      <w:pPr>
        <w:pStyle w:val="0"/>
        <w:outlineLvl w:val="1"/>
        <w:jc w:val="center"/>
      </w:pPr>
      <w:r>
        <w:rPr>
          <w:sz w:val="20"/>
        </w:rPr>
        <w:t xml:space="preserve">Часть 8</w:t>
      </w:r>
    </w:p>
    <w:p>
      <w:pPr>
        <w:pStyle w:val="0"/>
        <w:jc w:val="center"/>
      </w:pPr>
      <w:r>
        <w:rPr>
          <w:sz w:val="20"/>
        </w:rPr>
      </w:r>
    </w:p>
    <w:p>
      <w:pPr>
        <w:pStyle w:val="0"/>
        <w:jc w:val="center"/>
      </w:pPr>
      <w:r>
        <w:rPr>
          <w:sz w:val="20"/>
        </w:rPr>
        <w:t xml:space="preserve">Оценка соблюдения пороговых значений</w:t>
      </w:r>
    </w:p>
    <w:p>
      <w:pPr>
        <w:pStyle w:val="0"/>
        <w:jc w:val="center"/>
      </w:pPr>
      <w:r>
        <w:rPr>
          <w:sz w:val="20"/>
        </w:rPr>
        <w:t xml:space="preserve">выбросов отработанных газов</w:t>
      </w:r>
    </w:p>
    <w:p>
      <w:pPr>
        <w:pStyle w:val="0"/>
        <w:jc w:val="center"/>
      </w:pPr>
      <w:r>
        <w:rPr>
          <w:sz w:val="20"/>
        </w:rPr>
      </w:r>
    </w:p>
    <w:bookmarkStart w:id="3376" w:name="P3376"/>
    <w:bookmarkEnd w:id="3376"/>
    <w:p>
      <w:pPr>
        <w:pStyle w:val="0"/>
        <w:ind w:firstLine="540"/>
        <w:jc w:val="both"/>
      </w:pPr>
      <w:r>
        <w:rPr>
          <w:sz w:val="20"/>
        </w:rPr>
        <w:t xml:space="preserve">1. При проведении непрерывных измерений пороговые значения выбросов считаются соблюденными, если:</w:t>
      </w:r>
    </w:p>
    <w:p>
      <w:pPr>
        <w:pStyle w:val="0"/>
        <w:spacing w:before="200" w:line-rule="auto"/>
        <w:ind w:firstLine="540"/>
        <w:jc w:val="both"/>
      </w:pPr>
      <w:r>
        <w:rPr>
          <w:sz w:val="20"/>
        </w:rPr>
        <w:t xml:space="preserve">a) средние арифметические значения всех действительных показаний, взятых за 24-часовой период функционирования установки или осуществления деятельности, за исключением операций по включению и отключению, а также обслуживанию оборудования, не превышают пороговые значения выбросов;</w:t>
      </w:r>
    </w:p>
    <w:p>
      <w:pPr>
        <w:pStyle w:val="0"/>
        <w:spacing w:before="200" w:line-rule="auto"/>
        <w:ind w:firstLine="540"/>
        <w:jc w:val="both"/>
      </w:pPr>
      <w:r>
        <w:rPr>
          <w:sz w:val="20"/>
        </w:rPr>
        <w:t xml:space="preserve">b) средние часовые значения не превышают пороговые значения выбросов более чем на коэффициент 1,5.</w:t>
      </w:r>
    </w:p>
    <w:bookmarkStart w:id="3379" w:name="P3379"/>
    <w:bookmarkEnd w:id="3379"/>
    <w:p>
      <w:pPr>
        <w:pStyle w:val="0"/>
        <w:spacing w:before="200" w:line-rule="auto"/>
        <w:ind w:firstLine="540"/>
        <w:jc w:val="both"/>
      </w:pPr>
      <w:r>
        <w:rPr>
          <w:sz w:val="20"/>
        </w:rPr>
        <w:t xml:space="preserve">2. При проведении периодических измерений пороговые значения выбросов считаются соблюденными, если в течение одного измерительного мероприятия:</w:t>
      </w:r>
    </w:p>
    <w:p>
      <w:pPr>
        <w:pStyle w:val="0"/>
        <w:spacing w:before="200" w:line-rule="auto"/>
        <w:ind w:firstLine="540"/>
        <w:jc w:val="both"/>
      </w:pPr>
      <w:r>
        <w:rPr>
          <w:sz w:val="20"/>
        </w:rPr>
        <w:t xml:space="preserve">a) среднее значение всех измерений не превышает пороговые значения выбросов;</w:t>
      </w:r>
    </w:p>
    <w:p>
      <w:pPr>
        <w:pStyle w:val="0"/>
        <w:spacing w:before="200" w:line-rule="auto"/>
        <w:ind w:firstLine="540"/>
        <w:jc w:val="both"/>
      </w:pPr>
      <w:r>
        <w:rPr>
          <w:sz w:val="20"/>
        </w:rPr>
        <w:t xml:space="preserve">b) средние часовые значения не превышают пороговые значения выбросов более чем на коэффициент 1,5.</w:t>
      </w:r>
    </w:p>
    <w:bookmarkStart w:id="3382" w:name="P3382"/>
    <w:bookmarkEnd w:id="3382"/>
    <w:p>
      <w:pPr>
        <w:pStyle w:val="0"/>
        <w:spacing w:before="200" w:line-rule="auto"/>
        <w:ind w:firstLine="540"/>
        <w:jc w:val="both"/>
      </w:pPr>
      <w:r>
        <w:rPr>
          <w:sz w:val="20"/>
        </w:rPr>
        <w:t xml:space="preserve">3. Соблюдение </w:t>
      </w:r>
      <w:hyperlink w:history="0" w:anchor="P3248" w:tooltip="Часть 4">
        <w:r>
          <w:rPr>
            <w:sz w:val="20"/>
            <w:color w:val="0000ff"/>
          </w:rPr>
          <w:t xml:space="preserve">части 4</w:t>
        </w:r>
      </w:hyperlink>
      <w:r>
        <w:rPr>
          <w:sz w:val="20"/>
        </w:rPr>
        <w:t xml:space="preserve"> настоящего Приложения проверяется на основе суммы массовых концентраций отдельных летучих органических растворителей. В остальных случаях соблюдение проверяется на основе общей массы выделяемого органического углерода, если иное не установлено </w:t>
      </w:r>
      <w:hyperlink w:history="0" w:anchor="P2858" w:tooltip="Часть 2">
        <w:r>
          <w:rPr>
            <w:sz w:val="20"/>
            <w:color w:val="0000ff"/>
          </w:rPr>
          <w:t xml:space="preserve">частью 2</w:t>
        </w:r>
      </w:hyperlink>
      <w:r>
        <w:rPr>
          <w:sz w:val="20"/>
        </w:rPr>
        <w:t xml:space="preserve"> настоящего Приложения.</w:t>
      </w:r>
    </w:p>
    <w:bookmarkStart w:id="3383" w:name="P3383"/>
    <w:bookmarkEnd w:id="3383"/>
    <w:p>
      <w:pPr>
        <w:pStyle w:val="0"/>
        <w:spacing w:before="200" w:line-rule="auto"/>
        <w:ind w:firstLine="540"/>
        <w:jc w:val="both"/>
      </w:pPr>
      <w:r>
        <w:rPr>
          <w:sz w:val="20"/>
        </w:rPr>
        <w:t xml:space="preserve">4. В целях охлаждения или разжижения к отработанным газам могут быть добавлены объемы газов, если это технически обоснованно, но они не учитываются при определении массовой концентрации загрязнителя в отработанных газах.</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 VIII</w:t>
      </w:r>
    </w:p>
    <w:p>
      <w:pPr>
        <w:pStyle w:val="0"/>
        <w:jc w:val="right"/>
      </w:pPr>
      <w:r>
        <w:rPr>
          <w:sz w:val="20"/>
        </w:rPr>
      </w:r>
    </w:p>
    <w:p>
      <w:pPr>
        <w:pStyle w:val="2"/>
        <w:jc w:val="center"/>
      </w:pPr>
      <w:r>
        <w:rPr>
          <w:sz w:val="20"/>
        </w:rPr>
        <w:t xml:space="preserve">ТЕХНИЧЕСКИЕ ПОЛОЖЕНИЯ</w:t>
      </w:r>
    </w:p>
    <w:p>
      <w:pPr>
        <w:pStyle w:val="2"/>
        <w:jc w:val="center"/>
      </w:pPr>
      <w:r>
        <w:rPr>
          <w:sz w:val="20"/>
        </w:rPr>
        <w:t xml:space="preserve">ДЛЯ УСТАНОВОК, ПРОИЗВОДЯЩИХ ДИОКСИД ТИТАНА</w:t>
      </w:r>
    </w:p>
    <w:p>
      <w:pPr>
        <w:pStyle w:val="0"/>
        <w:jc w:val="center"/>
      </w:pPr>
      <w:r>
        <w:rPr>
          <w:sz w:val="20"/>
        </w:rPr>
      </w:r>
    </w:p>
    <w:bookmarkStart w:id="3394" w:name="P3394"/>
    <w:bookmarkEnd w:id="3394"/>
    <w:p>
      <w:pPr>
        <w:pStyle w:val="0"/>
        <w:outlineLvl w:val="1"/>
        <w:jc w:val="center"/>
      </w:pPr>
      <w:r>
        <w:rPr>
          <w:sz w:val="20"/>
        </w:rPr>
        <w:t xml:space="preserve">Часть 1</w:t>
      </w:r>
    </w:p>
    <w:p>
      <w:pPr>
        <w:pStyle w:val="0"/>
        <w:jc w:val="center"/>
      </w:pPr>
      <w:r>
        <w:rPr>
          <w:sz w:val="20"/>
        </w:rPr>
      </w:r>
    </w:p>
    <w:p>
      <w:pPr>
        <w:pStyle w:val="0"/>
        <w:jc w:val="center"/>
      </w:pPr>
      <w:r>
        <w:rPr>
          <w:sz w:val="20"/>
        </w:rPr>
        <w:t xml:space="preserve">Пороговые значения для выбросов в воду</w:t>
      </w:r>
    </w:p>
    <w:p>
      <w:pPr>
        <w:pStyle w:val="0"/>
        <w:jc w:val="center"/>
      </w:pPr>
      <w:r>
        <w:rPr>
          <w:sz w:val="20"/>
        </w:rPr>
      </w:r>
    </w:p>
    <w:bookmarkStart w:id="3398" w:name="P3398"/>
    <w:bookmarkEnd w:id="3398"/>
    <w:p>
      <w:pPr>
        <w:pStyle w:val="0"/>
        <w:ind w:firstLine="540"/>
        <w:jc w:val="both"/>
      </w:pPr>
      <w:r>
        <w:rPr>
          <w:sz w:val="20"/>
        </w:rPr>
        <w:t xml:space="preserve">1. Для установок, использующих сульфатный способ (в качестве среднегодового значения):</w:t>
      </w:r>
    </w:p>
    <w:p>
      <w:pPr>
        <w:pStyle w:val="0"/>
        <w:spacing w:before="200" w:line-rule="auto"/>
        <w:ind w:firstLine="540"/>
        <w:jc w:val="both"/>
      </w:pPr>
      <w:r>
        <w:rPr>
          <w:sz w:val="20"/>
        </w:rPr>
        <w:t xml:space="preserve">550 кг сульфата на тонну произведенного диоксида титана.</w:t>
      </w:r>
    </w:p>
    <w:bookmarkStart w:id="3400" w:name="P3400"/>
    <w:bookmarkEnd w:id="3400"/>
    <w:p>
      <w:pPr>
        <w:pStyle w:val="0"/>
        <w:spacing w:before="200" w:line-rule="auto"/>
        <w:ind w:firstLine="540"/>
        <w:jc w:val="both"/>
      </w:pPr>
      <w:r>
        <w:rPr>
          <w:sz w:val="20"/>
        </w:rPr>
        <w:t xml:space="preserve">2. Для установок, использующих хлоридный способ (в качестве среднегодового значения):</w:t>
      </w:r>
    </w:p>
    <w:p>
      <w:pPr>
        <w:pStyle w:val="0"/>
        <w:spacing w:before="200" w:line-rule="auto"/>
        <w:ind w:firstLine="540"/>
        <w:jc w:val="both"/>
      </w:pPr>
      <w:r>
        <w:rPr>
          <w:sz w:val="20"/>
        </w:rPr>
        <w:t xml:space="preserve">a) 130 кг хлорида на тонну произведенного диоксида титана с использованием нейтрального рутила.</w:t>
      </w:r>
    </w:p>
    <w:p>
      <w:pPr>
        <w:pStyle w:val="0"/>
        <w:spacing w:before="200" w:line-rule="auto"/>
        <w:ind w:firstLine="540"/>
        <w:jc w:val="both"/>
      </w:pPr>
      <w:r>
        <w:rPr>
          <w:sz w:val="20"/>
        </w:rPr>
        <w:t xml:space="preserve">b) 228 кг хлорида на тонну произведенного диоксида титана с использованием синтетического рутила.</w:t>
      </w:r>
    </w:p>
    <w:bookmarkStart w:id="3403" w:name="P3403"/>
    <w:bookmarkEnd w:id="3403"/>
    <w:p>
      <w:pPr>
        <w:pStyle w:val="0"/>
        <w:spacing w:before="200" w:line-rule="auto"/>
        <w:ind w:firstLine="540"/>
        <w:jc w:val="both"/>
      </w:pPr>
      <w:r>
        <w:rPr>
          <w:sz w:val="20"/>
        </w:rPr>
        <w:t xml:space="preserve">c) 330 кг хлорида на тонну произведенного диоксида титана с использованием шлака. К установкам, осуществляющим сброс в соленую воду (устьевые, прибрежные воды, открытое море), может применяться пороговое значение выбросов, равное 450 кг хлорида на тонну произведенного диоксида титана с использованием шлака.</w:t>
      </w:r>
    </w:p>
    <w:bookmarkStart w:id="3404" w:name="P3404"/>
    <w:bookmarkEnd w:id="3404"/>
    <w:p>
      <w:pPr>
        <w:pStyle w:val="0"/>
        <w:spacing w:before="200" w:line-rule="auto"/>
        <w:ind w:firstLine="540"/>
        <w:jc w:val="both"/>
      </w:pPr>
      <w:r>
        <w:rPr>
          <w:sz w:val="20"/>
        </w:rPr>
        <w:t xml:space="preserve">3. Для установок, применяющих хлоридный способ и использующих несколько типов руды, пороговые значения выбросов, установленные </w:t>
      </w:r>
      <w:hyperlink w:history="0" w:anchor="P3400" w:tooltip="2. Для установок, использующих хлоридный способ (в качестве среднегодового значения):">
        <w:r>
          <w:rPr>
            <w:sz w:val="20"/>
            <w:color w:val="0000ff"/>
          </w:rPr>
          <w:t xml:space="preserve">пунктом 2 настоящей части</w:t>
        </w:r>
      </w:hyperlink>
      <w:r>
        <w:rPr>
          <w:sz w:val="20"/>
        </w:rPr>
        <w:t xml:space="preserve">, применяются пропорционально количеству используемой руды.</w:t>
      </w:r>
    </w:p>
    <w:p>
      <w:pPr>
        <w:pStyle w:val="0"/>
        <w:ind w:firstLine="540"/>
        <w:jc w:val="both"/>
      </w:pPr>
      <w:r>
        <w:rPr>
          <w:sz w:val="20"/>
        </w:rPr>
      </w:r>
    </w:p>
    <w:bookmarkStart w:id="3406" w:name="P3406"/>
    <w:bookmarkEnd w:id="3406"/>
    <w:p>
      <w:pPr>
        <w:pStyle w:val="0"/>
        <w:outlineLvl w:val="1"/>
        <w:jc w:val="center"/>
      </w:pPr>
      <w:r>
        <w:rPr>
          <w:sz w:val="20"/>
        </w:rPr>
        <w:t xml:space="preserve">Часть 2</w:t>
      </w:r>
    </w:p>
    <w:p>
      <w:pPr>
        <w:pStyle w:val="0"/>
        <w:jc w:val="center"/>
      </w:pPr>
      <w:r>
        <w:rPr>
          <w:sz w:val="20"/>
        </w:rPr>
      </w:r>
    </w:p>
    <w:p>
      <w:pPr>
        <w:pStyle w:val="0"/>
        <w:jc w:val="center"/>
      </w:pPr>
      <w:r>
        <w:rPr>
          <w:sz w:val="20"/>
        </w:rPr>
        <w:t xml:space="preserve">Пороговые значения выбросов в воздух</w:t>
      </w:r>
    </w:p>
    <w:p>
      <w:pPr>
        <w:pStyle w:val="0"/>
        <w:jc w:val="center"/>
      </w:pPr>
      <w:r>
        <w:rPr>
          <w:sz w:val="20"/>
        </w:rPr>
      </w:r>
    </w:p>
    <w:bookmarkStart w:id="3410" w:name="P3410"/>
    <w:bookmarkEnd w:id="3410"/>
    <w:p>
      <w:pPr>
        <w:pStyle w:val="1"/>
        <w:jc w:val="both"/>
      </w:pPr>
      <w:r>
        <w:rPr>
          <w:sz w:val="20"/>
        </w:rPr>
        <w:t xml:space="preserve">    1. Пороговые значения выбросов, которые выражены как концентрации массы</w:t>
      </w:r>
    </w:p>
    <w:p>
      <w:pPr>
        <w:pStyle w:val="1"/>
        <w:jc w:val="both"/>
      </w:pPr>
      <w:r>
        <w:rPr>
          <w:sz w:val="20"/>
        </w:rPr>
        <w:t xml:space="preserve">                        3</w:t>
      </w:r>
    </w:p>
    <w:p>
      <w:pPr>
        <w:pStyle w:val="1"/>
        <w:jc w:val="both"/>
      </w:pPr>
      <w:r>
        <w:rPr>
          <w:sz w:val="20"/>
        </w:rPr>
        <w:t xml:space="preserve">на  кубический  метр (Nm ), исчисляются при температуре 273,15 K и давлении</w:t>
      </w:r>
    </w:p>
    <w:p>
      <w:pPr>
        <w:pStyle w:val="1"/>
        <w:jc w:val="both"/>
      </w:pPr>
      <w:r>
        <w:rPr>
          <w:sz w:val="20"/>
        </w:rPr>
        <w:t xml:space="preserve">101,3 kPa.</w:t>
      </w:r>
    </w:p>
    <w:p>
      <w:pPr>
        <w:pStyle w:val="1"/>
        <w:jc w:val="both"/>
      </w:pPr>
      <w:r>
        <w:rPr>
          <w:sz w:val="20"/>
        </w:rPr>
        <w:t xml:space="preserve">                        3</w:t>
      </w:r>
    </w:p>
    <w:bookmarkStart w:id="3415" w:name="P3415"/>
    <w:bookmarkEnd w:id="3415"/>
    <w:p>
      <w:pPr>
        <w:pStyle w:val="1"/>
        <w:jc w:val="both"/>
      </w:pPr>
      <w:r>
        <w:rPr>
          <w:sz w:val="20"/>
        </w:rPr>
        <w:t xml:space="preserve">    2.  Пыль:  50  мг/Nm   в  качестве среднечасового значения для основных</w:t>
      </w:r>
    </w:p>
    <w:p>
      <w:pPr>
        <w:pStyle w:val="1"/>
        <w:jc w:val="both"/>
      </w:pPr>
      <w:r>
        <w:rPr>
          <w:sz w:val="20"/>
        </w:rPr>
        <w:t xml:space="preserve">                         3</w:t>
      </w:r>
    </w:p>
    <w:p>
      <w:pPr>
        <w:pStyle w:val="1"/>
        <w:jc w:val="both"/>
      </w:pPr>
      <w:r>
        <w:rPr>
          <w:sz w:val="20"/>
        </w:rPr>
        <w:t xml:space="preserve">источников  и  150  мг/Nm   в  качестве  среднечасового  значения  для иных</w:t>
      </w:r>
    </w:p>
    <w:p>
      <w:pPr>
        <w:pStyle w:val="1"/>
        <w:jc w:val="both"/>
      </w:pPr>
      <w:r>
        <w:rPr>
          <w:sz w:val="20"/>
        </w:rPr>
        <w:t xml:space="preserve">источников.</w:t>
      </w:r>
    </w:p>
    <w:bookmarkStart w:id="3419" w:name="P3419"/>
    <w:bookmarkEnd w:id="3419"/>
    <w:p>
      <w:pPr>
        <w:pStyle w:val="1"/>
        <w:jc w:val="both"/>
      </w:pPr>
      <w:r>
        <w:rPr>
          <w:sz w:val="20"/>
        </w:rPr>
        <w:t xml:space="preserve">    3.  Газообразные диоксид и триоксид серы, выделяемые при перегнивании и</w:t>
      </w:r>
    </w:p>
    <w:p>
      <w:pPr>
        <w:pStyle w:val="1"/>
        <w:jc w:val="both"/>
      </w:pPr>
      <w:r>
        <w:rPr>
          <w:sz w:val="20"/>
        </w:rPr>
        <w:t xml:space="preserve">кальцинировании,  в  том  числе капли кислоты, рассчитанные как эквиваленты</w:t>
      </w:r>
    </w:p>
    <w:p>
      <w:pPr>
        <w:pStyle w:val="1"/>
        <w:jc w:val="both"/>
      </w:pPr>
      <w:r>
        <w:rPr>
          <w:sz w:val="20"/>
        </w:rPr>
        <w:t xml:space="preserve">SO :</w:t>
      </w:r>
    </w:p>
    <w:p>
      <w:pPr>
        <w:pStyle w:val="1"/>
        <w:jc w:val="both"/>
      </w:pPr>
      <w:r>
        <w:rPr>
          <w:sz w:val="20"/>
        </w:rPr>
        <w:t xml:space="preserve">  2</w:t>
      </w:r>
    </w:p>
    <w:bookmarkStart w:id="3423" w:name="P3423"/>
    <w:bookmarkEnd w:id="3423"/>
    <w:p>
      <w:pPr>
        <w:pStyle w:val="0"/>
        <w:ind w:firstLine="540"/>
        <w:jc w:val="both"/>
      </w:pPr>
      <w:r>
        <w:rPr>
          <w:sz w:val="20"/>
        </w:rPr>
        <w:t xml:space="preserve">a) 6 кг на тонну произведенного диоксида титана в качестве среднегодового значения;</w:t>
      </w:r>
    </w:p>
    <w:p>
      <w:pPr>
        <w:pStyle w:val="1"/>
        <w:spacing w:before="200" w:line-rule="auto"/>
        <w:jc w:val="both"/>
      </w:pPr>
      <w:r>
        <w:rPr>
          <w:sz w:val="20"/>
        </w:rPr>
        <w:t xml:space="preserve">                  3</w:t>
      </w:r>
    </w:p>
    <w:bookmarkStart w:id="3425" w:name="P3425"/>
    <w:bookmarkEnd w:id="3425"/>
    <w:p>
      <w:pPr>
        <w:pStyle w:val="1"/>
        <w:jc w:val="both"/>
      </w:pPr>
      <w:r>
        <w:rPr>
          <w:sz w:val="20"/>
        </w:rPr>
        <w:t xml:space="preserve">    b)  500  мг/Nm   в  качестве  среднечасового  значения для заводов, где</w:t>
      </w:r>
    </w:p>
    <w:p>
      <w:pPr>
        <w:pStyle w:val="1"/>
        <w:jc w:val="both"/>
      </w:pPr>
      <w:r>
        <w:rPr>
          <w:sz w:val="20"/>
        </w:rPr>
        <w:t xml:space="preserve">осуществляется концентрация отработанной кислоты.</w:t>
      </w:r>
    </w:p>
    <w:bookmarkStart w:id="3427" w:name="P3427"/>
    <w:bookmarkEnd w:id="3427"/>
    <w:p>
      <w:pPr>
        <w:pStyle w:val="0"/>
        <w:ind w:firstLine="540"/>
        <w:jc w:val="both"/>
      </w:pPr>
      <w:r>
        <w:rPr>
          <w:sz w:val="20"/>
        </w:rPr>
        <w:t xml:space="preserve">4. Хлор, если на установке применяется хлоридный способ:</w:t>
      </w:r>
    </w:p>
    <w:p>
      <w:pPr>
        <w:pStyle w:val="1"/>
        <w:spacing w:before="200" w:line-rule="auto"/>
        <w:jc w:val="both"/>
      </w:pPr>
      <w:r>
        <w:rPr>
          <w:sz w:val="20"/>
        </w:rPr>
        <w:t xml:space="preserve">                3</w:t>
      </w:r>
    </w:p>
    <w:p>
      <w:pPr>
        <w:pStyle w:val="1"/>
        <w:jc w:val="both"/>
      </w:pPr>
      <w:r>
        <w:rPr>
          <w:sz w:val="20"/>
        </w:rPr>
        <w:t xml:space="preserve">    a) 500 мг/Nm  в качестве среднесуточного значения;</w:t>
      </w:r>
    </w:p>
    <w:p>
      <w:pPr>
        <w:pStyle w:val="1"/>
        <w:jc w:val="both"/>
      </w:pPr>
      <w:r>
        <w:rPr>
          <w:sz w:val="20"/>
        </w:rPr>
        <w:t xml:space="preserve">               3</w:t>
      </w:r>
    </w:p>
    <w:p>
      <w:pPr>
        <w:pStyle w:val="1"/>
        <w:jc w:val="both"/>
      </w:pPr>
      <w:r>
        <w:rPr>
          <w:sz w:val="20"/>
        </w:rPr>
        <w:t xml:space="preserve">    b) 40 мг/Nm  в любое время.</w:t>
      </w:r>
    </w:p>
    <w:p>
      <w:pPr>
        <w:pStyle w:val="0"/>
        <w:ind w:firstLine="540"/>
        <w:jc w:val="both"/>
      </w:pPr>
      <w:r>
        <w:rPr>
          <w:sz w:val="20"/>
        </w:rPr>
      </w:r>
    </w:p>
    <w:bookmarkStart w:id="3433" w:name="P3433"/>
    <w:bookmarkEnd w:id="3433"/>
    <w:p>
      <w:pPr>
        <w:pStyle w:val="0"/>
        <w:outlineLvl w:val="1"/>
        <w:jc w:val="center"/>
      </w:pPr>
      <w:r>
        <w:rPr>
          <w:sz w:val="20"/>
        </w:rPr>
        <w:t xml:space="preserve">Часть 3</w:t>
      </w:r>
    </w:p>
    <w:p>
      <w:pPr>
        <w:pStyle w:val="0"/>
        <w:jc w:val="center"/>
      </w:pPr>
      <w:r>
        <w:rPr>
          <w:sz w:val="20"/>
        </w:rPr>
      </w:r>
    </w:p>
    <w:p>
      <w:pPr>
        <w:pStyle w:val="0"/>
        <w:jc w:val="center"/>
      </w:pPr>
      <w:r>
        <w:rPr>
          <w:sz w:val="20"/>
        </w:rPr>
        <w:t xml:space="preserve">Мониторинг выбросов</w:t>
      </w:r>
    </w:p>
    <w:p>
      <w:pPr>
        <w:pStyle w:val="0"/>
        <w:jc w:val="center"/>
      </w:pPr>
      <w:r>
        <w:rPr>
          <w:sz w:val="20"/>
        </w:rPr>
      </w:r>
    </w:p>
    <w:p>
      <w:pPr>
        <w:pStyle w:val="0"/>
        <w:ind w:firstLine="540"/>
        <w:jc w:val="both"/>
      </w:pPr>
      <w:r>
        <w:rPr>
          <w:sz w:val="20"/>
        </w:rPr>
        <w:t xml:space="preserve">Мониторинг выбросов в воздух должен включать как минимум непрерывный мониторинг:</w:t>
      </w:r>
    </w:p>
    <w:p>
      <w:pPr>
        <w:pStyle w:val="0"/>
        <w:spacing w:before="200" w:line-rule="auto"/>
        <w:ind w:firstLine="540"/>
        <w:jc w:val="both"/>
      </w:pPr>
      <w:r>
        <w:rPr>
          <w:sz w:val="20"/>
        </w:rPr>
        <w:t xml:space="preserve">a) газообразных диоксида и триоксида серы, выделяемых при перегнивании и кальцинировании заводами, где осуществляется концентрация отработанной кислоты в установках, применяющих хлоридный способ;</w:t>
      </w:r>
    </w:p>
    <w:p>
      <w:pPr>
        <w:pStyle w:val="0"/>
        <w:spacing w:before="200" w:line-rule="auto"/>
        <w:ind w:firstLine="540"/>
        <w:jc w:val="both"/>
      </w:pPr>
      <w:r>
        <w:rPr>
          <w:sz w:val="20"/>
        </w:rPr>
        <w:t xml:space="preserve">b) хлора от основных источников в установках, применяющих хлоридный способ;</w:t>
      </w:r>
    </w:p>
    <w:p>
      <w:pPr>
        <w:pStyle w:val="0"/>
        <w:spacing w:before="200" w:line-rule="auto"/>
        <w:ind w:firstLine="540"/>
        <w:jc w:val="both"/>
      </w:pPr>
      <w:r>
        <w:rPr>
          <w:sz w:val="20"/>
        </w:rPr>
        <w:t xml:space="preserve">c) пыли от основных источников.</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bookmarkStart w:id="3446" w:name="P3446"/>
    <w:bookmarkEnd w:id="3446"/>
    <w:p>
      <w:pPr>
        <w:pStyle w:val="0"/>
        <w:outlineLvl w:val="0"/>
        <w:jc w:val="right"/>
      </w:pPr>
      <w:r>
        <w:rPr>
          <w:sz w:val="20"/>
        </w:rPr>
        <w:t xml:space="preserve">Приложение IX</w:t>
      </w:r>
    </w:p>
    <w:p>
      <w:pPr>
        <w:pStyle w:val="0"/>
        <w:jc w:val="right"/>
      </w:pPr>
      <w:r>
        <w:rPr>
          <w:sz w:val="20"/>
        </w:rPr>
      </w:r>
    </w:p>
    <w:bookmarkStart w:id="3448" w:name="P3448"/>
    <w:bookmarkEnd w:id="3448"/>
    <w:p>
      <w:pPr>
        <w:pStyle w:val="0"/>
        <w:outlineLvl w:val="1"/>
        <w:jc w:val="center"/>
      </w:pPr>
      <w:r>
        <w:rPr>
          <w:sz w:val="20"/>
        </w:rPr>
        <w:t xml:space="preserve">Часть A</w:t>
      </w:r>
    </w:p>
    <w:p>
      <w:pPr>
        <w:pStyle w:val="0"/>
        <w:jc w:val="center"/>
      </w:pPr>
      <w:r>
        <w:rPr>
          <w:sz w:val="20"/>
        </w:rPr>
      </w:r>
    </w:p>
    <w:p>
      <w:pPr>
        <w:pStyle w:val="0"/>
        <w:jc w:val="center"/>
      </w:pPr>
      <w:r>
        <w:rPr>
          <w:sz w:val="20"/>
        </w:rPr>
        <w:t xml:space="preserve">Отмененные Директивы и их последующие изменения</w:t>
      </w:r>
    </w:p>
    <w:p>
      <w:pPr>
        <w:pStyle w:val="0"/>
        <w:jc w:val="center"/>
      </w:pPr>
      <w:r>
        <w:rPr>
          <w:sz w:val="20"/>
        </w:rPr>
        <w:t xml:space="preserve">(предусмотрены </w:t>
      </w:r>
      <w:hyperlink w:history="0" w:anchor="P1194" w:tooltip="Статья 81">
        <w:r>
          <w:rPr>
            <w:sz w:val="20"/>
            <w:color w:val="0000ff"/>
          </w:rPr>
          <w:t xml:space="preserve">статьей 81</w:t>
        </w:r>
      </w:hyperlink>
      <w:r>
        <w:rPr>
          <w:sz w:val="20"/>
        </w:rPr>
        <w:t xml:space="preserve"> настоящей Директивы)</w:t>
      </w:r>
    </w:p>
    <w:p>
      <w:pPr>
        <w:pStyle w:val="0"/>
        <w:jc w:val="center"/>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5382"/>
        <w:gridCol w:w="3276"/>
      </w:tblGrid>
      <w:tr>
        <w:trPr>
          <w:trHeight w:val="240" w:hRule="atLeast"/>
        </w:trPr>
        <w:tc>
          <w:tcPr>
            <w:tcW w:w="5499" w:type="dxa"/>
          </w:tcPr>
          <w:p>
            <w:pPr>
              <w:pStyle w:val="1"/>
              <w:jc w:val="both"/>
            </w:pPr>
            <w:r>
              <w:rPr>
                <w:sz w:val="20"/>
              </w:rPr>
              <w:t xml:space="preserve">Директива 78/176/ЕЭС Совета ЕС               </w:t>
            </w:r>
          </w:p>
          <w:p>
            <w:pPr>
              <w:pStyle w:val="1"/>
              <w:jc w:val="both"/>
            </w:pPr>
            <w:r>
              <w:rPr>
                <w:sz w:val="20"/>
              </w:rPr>
              <w:t xml:space="preserve">(ОЖ N L 54, 25.2.1978, стр. 19).             </w:t>
            </w:r>
          </w:p>
        </w:tc>
        <w:tc>
          <w:tcPr>
            <w:tcW w:w="3393" w:type="dxa"/>
          </w:tcPr>
          <w:p>
            <w:pPr>
              <w:pStyle w:val="1"/>
              <w:jc w:val="both"/>
            </w:pPr>
            <w:r>
              <w:rPr>
                <w:sz w:val="20"/>
              </w:rPr>
            </w:r>
          </w:p>
        </w:tc>
      </w:tr>
      <w:tr>
        <w:trPr>
          <w:trHeight w:val="240" w:hRule="atLeast"/>
        </w:trPr>
        <w:tc>
          <w:tcPr>
            <w:tcW w:w="5499" w:type="dxa"/>
            <w:tcBorders>
              <w:top w:val="nil"/>
            </w:tcBorders>
          </w:tcPr>
          <w:p>
            <w:pPr>
              <w:pStyle w:val="1"/>
              <w:jc w:val="both"/>
            </w:pPr>
            <w:r>
              <w:rPr>
                <w:sz w:val="20"/>
              </w:rPr>
              <w:t xml:space="preserve">Директива 83/29/ЕЭС Совета ЕС                </w:t>
            </w:r>
          </w:p>
          <w:p>
            <w:pPr>
              <w:pStyle w:val="1"/>
              <w:jc w:val="both"/>
            </w:pPr>
            <w:r>
              <w:rPr>
                <w:sz w:val="20"/>
              </w:rPr>
              <w:t xml:space="preserve">(ОЖ N L 32, 3.2.1983, стр. 28).              </w:t>
            </w:r>
          </w:p>
        </w:tc>
        <w:tc>
          <w:tcPr>
            <w:tcW w:w="3393" w:type="dxa"/>
            <w:tcBorders>
              <w:top w:val="nil"/>
            </w:tcBorders>
          </w:tcPr>
          <w:p>
            <w:pPr>
              <w:pStyle w:val="1"/>
              <w:jc w:val="both"/>
            </w:pPr>
            <w:r>
              <w:rPr>
                <w:sz w:val="20"/>
              </w:rPr>
            </w:r>
          </w:p>
        </w:tc>
      </w:tr>
      <w:tr>
        <w:trPr>
          <w:trHeight w:val="240" w:hRule="atLeast"/>
        </w:trPr>
        <w:tc>
          <w:tcPr>
            <w:tcW w:w="5499" w:type="dxa"/>
            <w:tcBorders>
              <w:top w:val="nil"/>
            </w:tcBorders>
          </w:tcPr>
          <w:p>
            <w:pPr>
              <w:pStyle w:val="1"/>
              <w:jc w:val="both"/>
            </w:pPr>
            <w:r>
              <w:rPr>
                <w:sz w:val="20"/>
              </w:rPr>
              <w:t xml:space="preserve">Директива 91/692/ЕЭС Совета ЕС               </w:t>
            </w:r>
          </w:p>
          <w:p>
            <w:pPr>
              <w:pStyle w:val="1"/>
              <w:jc w:val="both"/>
            </w:pPr>
            <w:r>
              <w:rPr>
                <w:sz w:val="20"/>
              </w:rPr>
              <w:t xml:space="preserve">(ОЖ N L 377, 31.12.1991, стр. 48).           </w:t>
            </w:r>
          </w:p>
        </w:tc>
        <w:tc>
          <w:tcPr>
            <w:tcW w:w="3393" w:type="dxa"/>
            <w:tcBorders>
              <w:top w:val="nil"/>
            </w:tcBorders>
          </w:tcPr>
          <w:p>
            <w:pPr>
              <w:pStyle w:val="1"/>
              <w:jc w:val="both"/>
            </w:pPr>
            <w:r>
              <w:rPr>
                <w:sz w:val="20"/>
              </w:rPr>
              <w:t xml:space="preserve">только Приложение I, пункт </w:t>
            </w:r>
          </w:p>
          <w:p>
            <w:pPr>
              <w:pStyle w:val="1"/>
              <w:jc w:val="both"/>
            </w:pPr>
            <w:r>
              <w:rPr>
                <w:sz w:val="20"/>
              </w:rPr>
              <w:t xml:space="preserve">"b"                        </w:t>
            </w:r>
          </w:p>
        </w:tc>
      </w:tr>
      <w:tr>
        <w:trPr>
          <w:trHeight w:val="240" w:hRule="atLeast"/>
        </w:trPr>
        <w:tc>
          <w:tcPr>
            <w:tcW w:w="5499" w:type="dxa"/>
            <w:tcBorders>
              <w:top w:val="nil"/>
            </w:tcBorders>
          </w:tcPr>
          <w:p>
            <w:pPr>
              <w:pStyle w:val="1"/>
              <w:jc w:val="both"/>
            </w:pPr>
            <w:r>
              <w:rPr>
                <w:sz w:val="20"/>
              </w:rPr>
              <w:t xml:space="preserve">Директива 82/883/ЕЭС Совета ЕС               </w:t>
            </w:r>
          </w:p>
          <w:p>
            <w:pPr>
              <w:pStyle w:val="1"/>
              <w:jc w:val="both"/>
            </w:pPr>
            <w:r>
              <w:rPr>
                <w:sz w:val="20"/>
              </w:rPr>
              <w:t xml:space="preserve">(ОЖ N L 378, 31.12.1982, стр. 1)             </w:t>
            </w:r>
          </w:p>
        </w:tc>
        <w:tc>
          <w:tcPr>
            <w:tcW w:w="3393" w:type="dxa"/>
            <w:tcBorders>
              <w:top w:val="nil"/>
            </w:tcBorders>
          </w:tcPr>
          <w:p>
            <w:pPr>
              <w:pStyle w:val="1"/>
              <w:jc w:val="both"/>
            </w:pPr>
            <w:r>
              <w:rPr>
                <w:sz w:val="20"/>
              </w:rPr>
            </w:r>
          </w:p>
        </w:tc>
      </w:tr>
      <w:tr>
        <w:trPr>
          <w:trHeight w:val="240" w:hRule="atLeast"/>
        </w:trPr>
        <w:tc>
          <w:tcPr>
            <w:tcW w:w="5499" w:type="dxa"/>
            <w:tcBorders>
              <w:top w:val="nil"/>
            </w:tcBorders>
          </w:tcPr>
          <w:p>
            <w:pPr>
              <w:pStyle w:val="1"/>
              <w:jc w:val="both"/>
            </w:pPr>
            <w:r>
              <w:rPr>
                <w:sz w:val="20"/>
              </w:rPr>
              <w:t xml:space="preserve">Акт о присоединении 1985 г.                  </w:t>
            </w:r>
          </w:p>
        </w:tc>
        <w:tc>
          <w:tcPr>
            <w:tcW w:w="3393" w:type="dxa"/>
            <w:tcBorders>
              <w:top w:val="nil"/>
            </w:tcBorders>
          </w:tcPr>
          <w:p>
            <w:pPr>
              <w:pStyle w:val="1"/>
              <w:jc w:val="both"/>
            </w:pPr>
            <w:r>
              <w:rPr>
                <w:sz w:val="20"/>
              </w:rPr>
              <w:t xml:space="preserve">только Приложение I, пункт </w:t>
            </w:r>
          </w:p>
          <w:p>
            <w:pPr>
              <w:pStyle w:val="1"/>
              <w:jc w:val="both"/>
            </w:pPr>
            <w:r>
              <w:rPr>
                <w:sz w:val="20"/>
              </w:rPr>
              <w:t xml:space="preserve">X.1 "o"                    </w:t>
            </w:r>
          </w:p>
        </w:tc>
      </w:tr>
      <w:tr>
        <w:trPr>
          <w:trHeight w:val="240" w:hRule="atLeast"/>
        </w:trPr>
        <w:tc>
          <w:tcPr>
            <w:tcW w:w="5499" w:type="dxa"/>
            <w:tcBorders>
              <w:top w:val="nil"/>
            </w:tcBorders>
          </w:tcPr>
          <w:p>
            <w:pPr>
              <w:pStyle w:val="1"/>
              <w:jc w:val="both"/>
            </w:pPr>
            <w:r>
              <w:rPr>
                <w:sz w:val="20"/>
              </w:rPr>
              <w:t xml:space="preserve">Акт о присоединении 1994 г.                  </w:t>
            </w:r>
          </w:p>
        </w:tc>
        <w:tc>
          <w:tcPr>
            <w:tcW w:w="3393" w:type="dxa"/>
            <w:tcBorders>
              <w:top w:val="nil"/>
            </w:tcBorders>
          </w:tcPr>
          <w:p>
            <w:pPr>
              <w:pStyle w:val="1"/>
              <w:jc w:val="both"/>
            </w:pPr>
            <w:r>
              <w:rPr>
                <w:sz w:val="20"/>
              </w:rPr>
              <w:t xml:space="preserve">только Приложение I, пункт </w:t>
            </w:r>
          </w:p>
          <w:p>
            <w:pPr>
              <w:pStyle w:val="1"/>
              <w:jc w:val="both"/>
            </w:pPr>
            <w:r>
              <w:rPr>
                <w:sz w:val="20"/>
              </w:rPr>
              <w:t xml:space="preserve">VIII.A.6                   </w:t>
            </w:r>
          </w:p>
        </w:tc>
      </w:tr>
      <w:tr>
        <w:trPr>
          <w:trHeight w:val="240" w:hRule="atLeast"/>
        </w:trPr>
        <w:tc>
          <w:tcPr>
            <w:tcW w:w="5499" w:type="dxa"/>
            <w:tcBorders>
              <w:top w:val="nil"/>
            </w:tcBorders>
          </w:tcPr>
          <w:p>
            <w:pPr>
              <w:pStyle w:val="1"/>
              <w:jc w:val="both"/>
            </w:pPr>
            <w:r>
              <w:rPr>
                <w:sz w:val="20"/>
              </w:rPr>
              <w:t xml:space="preserve">Регламент (ЕС) 807/2003 Совета ЕС            </w:t>
            </w:r>
          </w:p>
          <w:p>
            <w:pPr>
              <w:pStyle w:val="1"/>
              <w:jc w:val="both"/>
            </w:pPr>
            <w:r>
              <w:rPr>
                <w:sz w:val="20"/>
              </w:rPr>
              <w:t xml:space="preserve">(ОЖ N L 122, 16.5.2003, стр. 36).            </w:t>
            </w:r>
          </w:p>
        </w:tc>
        <w:tc>
          <w:tcPr>
            <w:tcW w:w="3393" w:type="dxa"/>
            <w:tcBorders>
              <w:top w:val="nil"/>
            </w:tcBorders>
          </w:tcPr>
          <w:p>
            <w:pPr>
              <w:pStyle w:val="1"/>
              <w:jc w:val="both"/>
            </w:pPr>
            <w:r>
              <w:rPr>
                <w:sz w:val="20"/>
              </w:rPr>
              <w:t xml:space="preserve">только Приложение III,     </w:t>
            </w:r>
          </w:p>
          <w:p>
            <w:pPr>
              <w:pStyle w:val="1"/>
              <w:jc w:val="both"/>
            </w:pPr>
            <w:r>
              <w:rPr>
                <w:sz w:val="20"/>
              </w:rPr>
              <w:t xml:space="preserve">пункт 34                   </w:t>
            </w:r>
          </w:p>
        </w:tc>
      </w:tr>
      <w:tr>
        <w:trPr>
          <w:trHeight w:val="240" w:hRule="atLeast"/>
        </w:trPr>
        <w:tc>
          <w:tcPr>
            <w:tcW w:w="5499" w:type="dxa"/>
            <w:tcBorders>
              <w:top w:val="nil"/>
            </w:tcBorders>
          </w:tcPr>
          <w:p>
            <w:pPr>
              <w:pStyle w:val="1"/>
              <w:jc w:val="both"/>
            </w:pPr>
            <w:r>
              <w:rPr>
                <w:sz w:val="20"/>
              </w:rPr>
              <w:t xml:space="preserve">Регламент (ЕС) 219/2009 Европейского         </w:t>
            </w:r>
          </w:p>
          <w:p>
            <w:pPr>
              <w:pStyle w:val="1"/>
              <w:jc w:val="both"/>
            </w:pPr>
            <w:r>
              <w:rPr>
                <w:sz w:val="20"/>
              </w:rPr>
              <w:t xml:space="preserve">парламента и Совета ЕС                       </w:t>
            </w:r>
          </w:p>
          <w:p>
            <w:pPr>
              <w:pStyle w:val="1"/>
              <w:jc w:val="both"/>
            </w:pPr>
            <w:r>
              <w:rPr>
                <w:sz w:val="20"/>
              </w:rPr>
              <w:t xml:space="preserve">(ОЖ N L 87, 31.3.2009, стр. 109).            </w:t>
            </w:r>
          </w:p>
        </w:tc>
        <w:tc>
          <w:tcPr>
            <w:tcW w:w="3393" w:type="dxa"/>
            <w:tcBorders>
              <w:top w:val="nil"/>
            </w:tcBorders>
          </w:tcPr>
          <w:p>
            <w:pPr>
              <w:pStyle w:val="1"/>
              <w:jc w:val="both"/>
            </w:pPr>
            <w:r>
              <w:rPr>
                <w:sz w:val="20"/>
              </w:rPr>
              <w:t xml:space="preserve">только Приложение, пункт   </w:t>
            </w:r>
          </w:p>
          <w:p>
            <w:pPr>
              <w:pStyle w:val="1"/>
              <w:jc w:val="both"/>
            </w:pPr>
            <w:r>
              <w:rPr>
                <w:sz w:val="20"/>
              </w:rPr>
              <w:t xml:space="preserve">3.1                        </w:t>
            </w:r>
          </w:p>
        </w:tc>
      </w:tr>
      <w:tr>
        <w:trPr>
          <w:trHeight w:val="240" w:hRule="atLeast"/>
        </w:trPr>
        <w:tc>
          <w:tcPr>
            <w:tcW w:w="5499" w:type="dxa"/>
            <w:tcBorders>
              <w:top w:val="nil"/>
            </w:tcBorders>
          </w:tcPr>
          <w:p>
            <w:pPr>
              <w:pStyle w:val="1"/>
              <w:jc w:val="both"/>
            </w:pPr>
            <w:r>
              <w:rPr>
                <w:sz w:val="20"/>
              </w:rPr>
              <w:t xml:space="preserve">Директива 92/112/ЕЭС Совета ЕС               </w:t>
            </w:r>
          </w:p>
          <w:p>
            <w:pPr>
              <w:pStyle w:val="1"/>
              <w:jc w:val="both"/>
            </w:pPr>
            <w:r>
              <w:rPr>
                <w:sz w:val="20"/>
              </w:rPr>
              <w:t xml:space="preserve">(ОЖ N L 409, 31.12.1992, стр. 11).           </w:t>
            </w:r>
          </w:p>
        </w:tc>
        <w:tc>
          <w:tcPr>
            <w:tcW w:w="3393" w:type="dxa"/>
            <w:tcBorders>
              <w:top w:val="nil"/>
            </w:tcBorders>
          </w:tcPr>
          <w:p>
            <w:pPr>
              <w:pStyle w:val="1"/>
              <w:jc w:val="both"/>
            </w:pPr>
            <w:r>
              <w:rPr>
                <w:sz w:val="20"/>
              </w:rPr>
            </w:r>
          </w:p>
        </w:tc>
      </w:tr>
      <w:tr>
        <w:trPr>
          <w:trHeight w:val="240" w:hRule="atLeast"/>
        </w:trPr>
        <w:tc>
          <w:tcPr>
            <w:tcW w:w="5499" w:type="dxa"/>
            <w:tcBorders>
              <w:top w:val="nil"/>
            </w:tcBorders>
          </w:tcPr>
          <w:p>
            <w:pPr>
              <w:pStyle w:val="1"/>
              <w:jc w:val="both"/>
            </w:pPr>
            <w:r>
              <w:rPr>
                <w:sz w:val="20"/>
              </w:rPr>
            </w:r>
            <w:hyperlink w:history="0" r:id="rId102"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20"/>
                  <w:color w:val="0000ff"/>
                </w:rPr>
                <w:t xml:space="preserve">Директива</w:t>
              </w:r>
            </w:hyperlink>
            <w:r>
              <w:rPr>
                <w:sz w:val="20"/>
              </w:rPr>
              <w:t xml:space="preserve"> 1999/13/ЕС Совета ЕС               </w:t>
            </w:r>
          </w:p>
          <w:p>
            <w:pPr>
              <w:pStyle w:val="1"/>
              <w:jc w:val="both"/>
            </w:pPr>
            <w:r>
              <w:rPr>
                <w:sz w:val="20"/>
              </w:rPr>
              <w:t xml:space="preserve">(ОЖ N L 85, 29.3.1999, стр. 1).              </w:t>
            </w:r>
          </w:p>
        </w:tc>
        <w:tc>
          <w:tcPr>
            <w:tcW w:w="3393" w:type="dxa"/>
            <w:tcBorders>
              <w:top w:val="nil"/>
            </w:tcBorders>
          </w:tcPr>
          <w:p>
            <w:pPr>
              <w:pStyle w:val="1"/>
              <w:jc w:val="both"/>
            </w:pPr>
            <w:r>
              <w:rPr>
                <w:sz w:val="20"/>
              </w:rPr>
            </w:r>
          </w:p>
        </w:tc>
      </w:tr>
      <w:tr>
        <w:trPr>
          <w:trHeight w:val="240" w:hRule="atLeast"/>
        </w:trPr>
        <w:tc>
          <w:tcPr>
            <w:tcW w:w="5499" w:type="dxa"/>
            <w:tcBorders>
              <w:top w:val="nil"/>
            </w:tcBorders>
          </w:tcPr>
          <w:p>
            <w:pPr>
              <w:pStyle w:val="1"/>
              <w:jc w:val="both"/>
            </w:pPr>
            <w:r>
              <w:rPr>
                <w:sz w:val="20"/>
              </w:rPr>
              <w:t xml:space="preserve">Регламент (ЕС) 1882/2003 Европейского        </w:t>
            </w:r>
          </w:p>
          <w:p>
            <w:pPr>
              <w:pStyle w:val="1"/>
              <w:jc w:val="both"/>
            </w:pPr>
            <w:r>
              <w:rPr>
                <w:sz w:val="20"/>
              </w:rPr>
              <w:t xml:space="preserve">парламента и Совета ЕС                       </w:t>
            </w:r>
          </w:p>
          <w:p>
            <w:pPr>
              <w:pStyle w:val="1"/>
              <w:jc w:val="both"/>
            </w:pPr>
            <w:r>
              <w:rPr>
                <w:sz w:val="20"/>
              </w:rPr>
              <w:t xml:space="preserve">(ОЖ N L 284, 31.10.2003, стр. 1).            </w:t>
            </w:r>
          </w:p>
        </w:tc>
        <w:tc>
          <w:tcPr>
            <w:tcW w:w="3393" w:type="dxa"/>
            <w:tcBorders>
              <w:top w:val="nil"/>
            </w:tcBorders>
          </w:tcPr>
          <w:p>
            <w:pPr>
              <w:pStyle w:val="1"/>
              <w:jc w:val="both"/>
            </w:pPr>
            <w:r>
              <w:rPr>
                <w:sz w:val="20"/>
              </w:rPr>
              <w:t xml:space="preserve">только Приложение I, пункт </w:t>
            </w:r>
          </w:p>
          <w:p>
            <w:pPr>
              <w:pStyle w:val="1"/>
              <w:jc w:val="both"/>
            </w:pPr>
            <w:r>
              <w:rPr>
                <w:sz w:val="20"/>
              </w:rPr>
              <w:t xml:space="preserve">17                         </w:t>
            </w:r>
          </w:p>
        </w:tc>
      </w:tr>
      <w:tr>
        <w:trPr>
          <w:trHeight w:val="240" w:hRule="atLeast"/>
        </w:trPr>
        <w:tc>
          <w:tcPr>
            <w:tcW w:w="5499" w:type="dxa"/>
            <w:tcBorders>
              <w:top w:val="nil"/>
            </w:tcBorders>
          </w:tcPr>
          <w:p>
            <w:pPr>
              <w:pStyle w:val="1"/>
              <w:jc w:val="both"/>
            </w:pPr>
            <w:r>
              <w:rPr>
                <w:sz w:val="20"/>
              </w:rPr>
              <w:t xml:space="preserve">Директива 2004/42/ЕС Европейского парламента </w:t>
            </w:r>
          </w:p>
          <w:p>
            <w:pPr>
              <w:pStyle w:val="1"/>
              <w:jc w:val="both"/>
            </w:pPr>
            <w:r>
              <w:rPr>
                <w:sz w:val="20"/>
              </w:rPr>
              <w:t xml:space="preserve">и Совета ЕС                                  </w:t>
            </w:r>
          </w:p>
          <w:p>
            <w:pPr>
              <w:pStyle w:val="1"/>
              <w:jc w:val="both"/>
            </w:pPr>
            <w:r>
              <w:rPr>
                <w:sz w:val="20"/>
              </w:rPr>
              <w:t xml:space="preserve">(ОЖ N L 143, 30.4.2004, стр. 87).            </w:t>
            </w:r>
          </w:p>
        </w:tc>
        <w:tc>
          <w:tcPr>
            <w:tcW w:w="3393" w:type="dxa"/>
            <w:tcBorders>
              <w:top w:val="nil"/>
            </w:tcBorders>
          </w:tcPr>
          <w:p>
            <w:pPr>
              <w:pStyle w:val="1"/>
              <w:jc w:val="both"/>
            </w:pPr>
            <w:r>
              <w:rPr>
                <w:sz w:val="20"/>
              </w:rPr>
              <w:t xml:space="preserve">только статья 13 (1)       </w:t>
            </w:r>
          </w:p>
        </w:tc>
      </w:tr>
      <w:tr>
        <w:trPr>
          <w:trHeight w:val="240" w:hRule="atLeast"/>
        </w:trPr>
        <w:tc>
          <w:tcPr>
            <w:tcW w:w="5499" w:type="dxa"/>
            <w:tcBorders>
              <w:top w:val="nil"/>
            </w:tcBorders>
          </w:tcPr>
          <w:p>
            <w:pPr>
              <w:pStyle w:val="1"/>
              <w:jc w:val="both"/>
            </w:pPr>
            <w:r>
              <w:rPr>
                <w:sz w:val="20"/>
              </w:rPr>
              <w:t xml:space="preserve">Директива 2008/112/ЕС Европейского           </w:t>
            </w:r>
          </w:p>
          <w:p>
            <w:pPr>
              <w:pStyle w:val="1"/>
              <w:jc w:val="both"/>
            </w:pPr>
            <w:r>
              <w:rPr>
                <w:sz w:val="20"/>
              </w:rPr>
              <w:t xml:space="preserve">парламента и Совета ЕС                       </w:t>
            </w:r>
          </w:p>
          <w:p>
            <w:pPr>
              <w:pStyle w:val="1"/>
              <w:jc w:val="both"/>
            </w:pPr>
            <w:r>
              <w:rPr>
                <w:sz w:val="20"/>
              </w:rPr>
              <w:t xml:space="preserve">(ОЖ N L 345, 23.12.2008, стр. 68).           </w:t>
            </w:r>
          </w:p>
        </w:tc>
        <w:tc>
          <w:tcPr>
            <w:tcW w:w="3393" w:type="dxa"/>
            <w:tcBorders>
              <w:top w:val="nil"/>
            </w:tcBorders>
          </w:tcPr>
          <w:p>
            <w:pPr>
              <w:pStyle w:val="1"/>
              <w:jc w:val="both"/>
            </w:pPr>
            <w:r>
              <w:rPr>
                <w:sz w:val="20"/>
              </w:rPr>
              <w:t xml:space="preserve">только статья 3            </w:t>
            </w:r>
          </w:p>
        </w:tc>
      </w:tr>
      <w:tr>
        <w:trPr>
          <w:trHeight w:val="240" w:hRule="atLeast"/>
        </w:trPr>
        <w:tc>
          <w:tcPr>
            <w:tcW w:w="5499" w:type="dxa"/>
            <w:tcBorders>
              <w:top w:val="nil"/>
            </w:tcBorders>
          </w:tcPr>
          <w:p>
            <w:pPr>
              <w:pStyle w:val="1"/>
              <w:jc w:val="both"/>
            </w:pPr>
            <w:r>
              <w:rPr>
                <w:sz w:val="20"/>
              </w:rPr>
            </w:r>
            <w:hyperlink w:history="0" r:id="rId103"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20"/>
                  <w:color w:val="0000ff"/>
                </w:rPr>
                <w:t xml:space="preserve">Директива</w:t>
              </w:r>
            </w:hyperlink>
            <w:r>
              <w:rPr>
                <w:sz w:val="20"/>
              </w:rPr>
              <w:t xml:space="preserve"> 2000/76/ЕС Европейского парламента </w:t>
            </w:r>
          </w:p>
          <w:p>
            <w:pPr>
              <w:pStyle w:val="1"/>
              <w:jc w:val="both"/>
            </w:pPr>
            <w:r>
              <w:rPr>
                <w:sz w:val="20"/>
              </w:rPr>
              <w:t xml:space="preserve">и Совета ЕС                                  </w:t>
            </w:r>
          </w:p>
          <w:p>
            <w:pPr>
              <w:pStyle w:val="1"/>
              <w:jc w:val="both"/>
            </w:pPr>
            <w:r>
              <w:rPr>
                <w:sz w:val="20"/>
              </w:rPr>
              <w:t xml:space="preserve">(ОЖ N L 332, 28.12.2000, стр. 91).           </w:t>
            </w:r>
          </w:p>
        </w:tc>
        <w:tc>
          <w:tcPr>
            <w:tcW w:w="3393" w:type="dxa"/>
            <w:tcBorders>
              <w:top w:val="nil"/>
            </w:tcBorders>
          </w:tcPr>
          <w:p>
            <w:pPr>
              <w:pStyle w:val="1"/>
              <w:jc w:val="both"/>
            </w:pPr>
            <w:r>
              <w:rPr>
                <w:sz w:val="20"/>
              </w:rPr>
            </w:r>
          </w:p>
        </w:tc>
      </w:tr>
      <w:tr>
        <w:trPr>
          <w:trHeight w:val="240" w:hRule="atLeast"/>
        </w:trPr>
        <w:tc>
          <w:tcPr>
            <w:tcW w:w="5499" w:type="dxa"/>
            <w:tcBorders>
              <w:top w:val="nil"/>
            </w:tcBorders>
          </w:tcPr>
          <w:p>
            <w:pPr>
              <w:pStyle w:val="1"/>
              <w:jc w:val="both"/>
            </w:pPr>
            <w:r>
              <w:rPr>
                <w:sz w:val="20"/>
              </w:rPr>
              <w:t xml:space="preserve">Регламент (ЕС) 1137/2008 Европейского        </w:t>
            </w:r>
          </w:p>
          <w:p>
            <w:pPr>
              <w:pStyle w:val="1"/>
              <w:jc w:val="both"/>
            </w:pPr>
            <w:r>
              <w:rPr>
                <w:sz w:val="20"/>
              </w:rPr>
              <w:t xml:space="preserve">парламента и Совета ЕС                       </w:t>
            </w:r>
          </w:p>
          <w:p>
            <w:pPr>
              <w:pStyle w:val="1"/>
              <w:jc w:val="both"/>
            </w:pPr>
            <w:r>
              <w:rPr>
                <w:sz w:val="20"/>
              </w:rPr>
              <w:t xml:space="preserve">(ОЖ N L 311, 21.11.2008, стр. 1).            </w:t>
            </w:r>
          </w:p>
        </w:tc>
        <w:tc>
          <w:tcPr>
            <w:tcW w:w="3393" w:type="dxa"/>
            <w:tcBorders>
              <w:top w:val="nil"/>
            </w:tcBorders>
          </w:tcPr>
          <w:p>
            <w:pPr>
              <w:pStyle w:val="1"/>
              <w:jc w:val="both"/>
            </w:pPr>
            <w:r>
              <w:rPr>
                <w:sz w:val="20"/>
              </w:rPr>
              <w:t xml:space="preserve">только Приложение, пункт   </w:t>
            </w:r>
          </w:p>
          <w:p>
            <w:pPr>
              <w:pStyle w:val="1"/>
              <w:jc w:val="both"/>
            </w:pPr>
            <w:r>
              <w:rPr>
                <w:sz w:val="20"/>
              </w:rPr>
              <w:t xml:space="preserve">4.8                        </w:t>
            </w:r>
          </w:p>
        </w:tc>
      </w:tr>
      <w:tr>
        <w:trPr>
          <w:trHeight w:val="240" w:hRule="atLeast"/>
        </w:trPr>
        <w:tc>
          <w:tcPr>
            <w:tcW w:w="5499" w:type="dxa"/>
            <w:tcBorders>
              <w:top w:val="nil"/>
            </w:tcBorders>
          </w:tcPr>
          <w:p>
            <w:pPr>
              <w:pStyle w:val="1"/>
              <w:jc w:val="both"/>
            </w:pPr>
            <w:r>
              <w:rPr>
                <w:sz w:val="20"/>
              </w:rPr>
            </w:r>
            <w:hyperlink w:history="0" r:id="rId104"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20"/>
                  <w:color w:val="0000ff"/>
                </w:rPr>
                <w:t xml:space="preserve">Директива</w:t>
              </w:r>
            </w:hyperlink>
            <w:r>
              <w:rPr>
                <w:sz w:val="20"/>
              </w:rPr>
              <w:t xml:space="preserve"> 2001/80/ЕС Европейского парламента </w:t>
            </w:r>
          </w:p>
          <w:p>
            <w:pPr>
              <w:pStyle w:val="1"/>
              <w:jc w:val="both"/>
            </w:pPr>
            <w:r>
              <w:rPr>
                <w:sz w:val="20"/>
              </w:rPr>
              <w:t xml:space="preserve">и Совета ЕС                                  </w:t>
            </w:r>
          </w:p>
          <w:p>
            <w:pPr>
              <w:pStyle w:val="1"/>
              <w:jc w:val="both"/>
            </w:pPr>
            <w:r>
              <w:rPr>
                <w:sz w:val="20"/>
              </w:rPr>
              <w:t xml:space="preserve">(ОЖ N L 309, 27.11.2001, стр. 1).            </w:t>
            </w:r>
          </w:p>
        </w:tc>
        <w:tc>
          <w:tcPr>
            <w:tcW w:w="3393" w:type="dxa"/>
            <w:tcBorders>
              <w:top w:val="nil"/>
            </w:tcBorders>
          </w:tcPr>
          <w:p>
            <w:pPr>
              <w:pStyle w:val="1"/>
              <w:jc w:val="both"/>
            </w:pPr>
            <w:r>
              <w:rPr>
                <w:sz w:val="20"/>
              </w:rPr>
            </w:r>
          </w:p>
        </w:tc>
      </w:tr>
      <w:tr>
        <w:trPr>
          <w:trHeight w:val="240" w:hRule="atLeast"/>
        </w:trPr>
        <w:tc>
          <w:tcPr>
            <w:tcW w:w="5499" w:type="dxa"/>
            <w:tcBorders>
              <w:top w:val="nil"/>
            </w:tcBorders>
          </w:tcPr>
          <w:p>
            <w:pPr>
              <w:pStyle w:val="1"/>
              <w:jc w:val="both"/>
            </w:pPr>
            <w:r>
              <w:rPr>
                <w:sz w:val="20"/>
              </w:rPr>
              <w:t xml:space="preserve">Директива 2006/105/ЕС Совета ЕС              </w:t>
            </w:r>
          </w:p>
          <w:p>
            <w:pPr>
              <w:pStyle w:val="1"/>
              <w:jc w:val="both"/>
            </w:pPr>
            <w:r>
              <w:rPr>
                <w:sz w:val="20"/>
              </w:rPr>
              <w:t xml:space="preserve">(ОЖ N L 363, 20.12.2006, стр. 368).          </w:t>
            </w:r>
          </w:p>
        </w:tc>
        <w:tc>
          <w:tcPr>
            <w:tcW w:w="3393" w:type="dxa"/>
            <w:tcBorders>
              <w:top w:val="nil"/>
            </w:tcBorders>
          </w:tcPr>
          <w:p>
            <w:pPr>
              <w:pStyle w:val="1"/>
              <w:jc w:val="both"/>
            </w:pPr>
            <w:r>
              <w:rPr>
                <w:sz w:val="20"/>
              </w:rPr>
              <w:t xml:space="preserve">только Приложение, часть B,</w:t>
            </w:r>
          </w:p>
          <w:p>
            <w:pPr>
              <w:pStyle w:val="1"/>
              <w:jc w:val="both"/>
            </w:pPr>
            <w:r>
              <w:rPr>
                <w:sz w:val="20"/>
              </w:rPr>
              <w:t xml:space="preserve">пункт 2                    </w:t>
            </w:r>
          </w:p>
        </w:tc>
      </w:tr>
      <w:tr>
        <w:trPr>
          <w:trHeight w:val="240" w:hRule="atLeast"/>
        </w:trPr>
        <w:tc>
          <w:tcPr>
            <w:tcW w:w="5499" w:type="dxa"/>
            <w:tcBorders>
              <w:top w:val="nil"/>
            </w:tcBorders>
          </w:tcPr>
          <w:p>
            <w:pPr>
              <w:pStyle w:val="1"/>
              <w:jc w:val="both"/>
            </w:pPr>
            <w:r>
              <w:rPr>
                <w:sz w:val="20"/>
              </w:rPr>
            </w:r>
            <w:hyperlink w:history="0" r:id="rId105" w:tooltip="Директива N 2009/31/ЕС Европейского парламента и Совета Европейского Союза &quot;О геологическом хранении диоксида углерода (углекислого газа) и внесении изменений и дополнений в Директиву Совета ЕС 85/337/ЕЭС, Директиву Европейского парламента и Совета ЕС 2000/60/ЕС, 2001/80/ЕС, 2004/35/ЕС, 2006/12/ЕС, 2008/1/ЕС и Регламент (ЕС) 1013/2006&quot; [рус., англ.] (Вместе с &lt;Критериями для определения параметров и оценки потенциальных комплексов для хранения и прилегающей территории, для разработки и обновления плана мони {КонсультантПлюс}">
              <w:r>
                <w:rPr>
                  <w:sz w:val="20"/>
                  <w:color w:val="0000ff"/>
                </w:rPr>
                <w:t xml:space="preserve">Директива</w:t>
              </w:r>
            </w:hyperlink>
            <w:r>
              <w:rPr>
                <w:sz w:val="20"/>
              </w:rPr>
              <w:t xml:space="preserve"> 2009/31/ЕС Европейского парламента </w:t>
            </w:r>
          </w:p>
          <w:p>
            <w:pPr>
              <w:pStyle w:val="1"/>
              <w:jc w:val="both"/>
            </w:pPr>
            <w:r>
              <w:rPr>
                <w:sz w:val="20"/>
              </w:rPr>
              <w:t xml:space="preserve">и Совета ЕС                                  </w:t>
            </w:r>
          </w:p>
          <w:p>
            <w:pPr>
              <w:pStyle w:val="1"/>
              <w:jc w:val="both"/>
            </w:pPr>
            <w:r>
              <w:rPr>
                <w:sz w:val="20"/>
              </w:rPr>
              <w:t xml:space="preserve">(ОЖ N L 140, 5.6.2009, стр. 114).            </w:t>
            </w:r>
          </w:p>
        </w:tc>
        <w:tc>
          <w:tcPr>
            <w:tcW w:w="3393" w:type="dxa"/>
            <w:tcBorders>
              <w:top w:val="nil"/>
            </w:tcBorders>
          </w:tcPr>
          <w:p>
            <w:pPr>
              <w:pStyle w:val="1"/>
              <w:jc w:val="both"/>
            </w:pPr>
            <w:r>
              <w:rPr>
                <w:sz w:val="20"/>
              </w:rPr>
              <w:t xml:space="preserve">только </w:t>
            </w:r>
            <w:hyperlink w:history="0" r:id="rId106" w:tooltip="Директива N 2009/31/ЕС Европейского парламента и Совета Европейского Союза &quot;О геологическом хранении диоксида углерода (углекислого газа) и внесении изменений и дополнений в Директиву Совета ЕС 85/337/ЕЭС, Директиву Европейского парламента и Совета ЕС 2000/60/ЕС, 2001/80/ЕС, 2004/35/ЕС, 2006/12/ЕС, 2008/1/ЕС и Регламент (ЕС) 1013/2006&quot; [рус., англ.] (Вместе с &lt;Критериями для определения параметров и оценки потенциальных комплексов для хранения и прилегающей территории, для разработки и обновления плана мони {КонсультантПлюс}">
              <w:r>
                <w:rPr>
                  <w:sz w:val="20"/>
                  <w:color w:val="0000ff"/>
                </w:rPr>
                <w:t xml:space="preserve">статья 33</w:t>
              </w:r>
            </w:hyperlink>
            <w:r>
              <w:rPr>
                <w:sz w:val="20"/>
              </w:rPr>
            </w:r>
          </w:p>
        </w:tc>
      </w:tr>
      <w:tr>
        <w:trPr>
          <w:trHeight w:val="240" w:hRule="atLeast"/>
        </w:trPr>
        <w:tc>
          <w:tcPr>
            <w:tcW w:w="5499" w:type="dxa"/>
            <w:tcBorders>
              <w:top w:val="nil"/>
            </w:tcBorders>
          </w:tcPr>
          <w:p>
            <w:pPr>
              <w:pStyle w:val="1"/>
              <w:jc w:val="both"/>
            </w:pPr>
            <w:r>
              <w:rPr>
                <w:sz w:val="20"/>
              </w:rPr>
            </w:r>
            <w:hyperlink w:history="0" r:id="rId107"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20"/>
                  <w:color w:val="0000ff"/>
                </w:rPr>
                <w:t xml:space="preserve">Директива</w:t>
              </w:r>
            </w:hyperlink>
            <w:r>
              <w:rPr>
                <w:sz w:val="20"/>
              </w:rPr>
              <w:t xml:space="preserve"> 2008/1/ЕС Европейского парламента  </w:t>
            </w:r>
          </w:p>
          <w:p>
            <w:pPr>
              <w:pStyle w:val="1"/>
              <w:jc w:val="both"/>
            </w:pPr>
            <w:r>
              <w:rPr>
                <w:sz w:val="20"/>
              </w:rPr>
              <w:t xml:space="preserve">и Совета ЕС                                  </w:t>
            </w:r>
          </w:p>
          <w:p>
            <w:pPr>
              <w:pStyle w:val="1"/>
              <w:jc w:val="both"/>
            </w:pPr>
            <w:r>
              <w:rPr>
                <w:sz w:val="20"/>
              </w:rPr>
              <w:t xml:space="preserve">(ОЖ N L 24, 29.1.2008, стр. 8).              </w:t>
            </w:r>
          </w:p>
        </w:tc>
        <w:tc>
          <w:tcPr>
            <w:tcW w:w="3393" w:type="dxa"/>
            <w:tcBorders>
              <w:top w:val="nil"/>
            </w:tcBorders>
          </w:tcPr>
          <w:p>
            <w:pPr>
              <w:pStyle w:val="1"/>
              <w:jc w:val="both"/>
            </w:pPr>
            <w:r>
              <w:rPr>
                <w:sz w:val="20"/>
              </w:rPr>
            </w:r>
          </w:p>
        </w:tc>
      </w:tr>
      <w:tr>
        <w:trPr>
          <w:trHeight w:val="240" w:hRule="atLeast"/>
        </w:trPr>
        <w:tc>
          <w:tcPr>
            <w:tcW w:w="5499" w:type="dxa"/>
            <w:tcBorders>
              <w:top w:val="nil"/>
            </w:tcBorders>
          </w:tcPr>
          <w:p>
            <w:pPr>
              <w:pStyle w:val="1"/>
              <w:jc w:val="both"/>
            </w:pPr>
            <w:r>
              <w:rPr>
                <w:sz w:val="20"/>
              </w:rPr>
            </w:r>
            <w:hyperlink w:history="0" r:id="rId108" w:tooltip="Директива N 2009/31/ЕС Европейского парламента и Совета Европейского Союза &quot;О геологическом хранении диоксида углерода (углекислого газа) и внесении изменений и дополнений в Директиву Совета ЕС 85/337/ЕЭС, Директиву Европейского парламента и Совета ЕС 2000/60/ЕС, 2001/80/ЕС, 2004/35/ЕС, 2006/12/ЕС, 2008/1/ЕС и Регламент (ЕС) 1013/2006&quot; [рус., англ.] (Вместе с &lt;Критериями для определения параметров и оценки потенциальных комплексов для хранения и прилегающей территории, для разработки и обновления плана мони {КонсультантПлюс}">
              <w:r>
                <w:rPr>
                  <w:sz w:val="20"/>
                  <w:color w:val="0000ff"/>
                </w:rPr>
                <w:t xml:space="preserve">Директива</w:t>
              </w:r>
            </w:hyperlink>
            <w:r>
              <w:rPr>
                <w:sz w:val="20"/>
              </w:rPr>
              <w:t xml:space="preserve"> 2009/31/ЕС Европейского парламента </w:t>
            </w:r>
          </w:p>
          <w:p>
            <w:pPr>
              <w:pStyle w:val="1"/>
              <w:jc w:val="both"/>
            </w:pPr>
            <w:r>
              <w:rPr>
                <w:sz w:val="20"/>
              </w:rPr>
              <w:t xml:space="preserve">и Совета ЕС                                  </w:t>
            </w:r>
          </w:p>
          <w:p>
            <w:pPr>
              <w:pStyle w:val="1"/>
              <w:jc w:val="both"/>
            </w:pPr>
            <w:r>
              <w:rPr>
                <w:sz w:val="20"/>
              </w:rPr>
              <w:t xml:space="preserve">(ОЖ N L 140, 5.6.2009, стр. 114).            </w:t>
            </w:r>
          </w:p>
        </w:tc>
        <w:tc>
          <w:tcPr>
            <w:tcW w:w="3393" w:type="dxa"/>
            <w:tcBorders>
              <w:top w:val="nil"/>
            </w:tcBorders>
          </w:tcPr>
          <w:p>
            <w:pPr>
              <w:pStyle w:val="1"/>
              <w:jc w:val="both"/>
            </w:pPr>
            <w:r>
              <w:rPr>
                <w:sz w:val="20"/>
              </w:rPr>
              <w:t xml:space="preserve">только </w:t>
            </w:r>
            <w:hyperlink w:history="0" r:id="rId109" w:tooltip="Директива N 2009/31/ЕС Европейского парламента и Совета Европейского Союза &quot;О геологическом хранении диоксида углерода (углекислого газа) и внесении изменений и дополнений в Директиву Совета ЕС 85/337/ЕЭС, Директиву Европейского парламента и Совета ЕС 2000/60/ЕС, 2001/80/ЕС, 2004/35/ЕС, 2006/12/ЕС, 2008/1/ЕС и Регламент (ЕС) 1013/2006&quot; [рус., англ.] (Вместе с &lt;Критериями для определения параметров и оценки потенциальных комплексов для хранения и прилегающей территории, для разработки и обновления плана мони {КонсультантПлюс}">
              <w:r>
                <w:rPr>
                  <w:sz w:val="20"/>
                  <w:color w:val="0000ff"/>
                </w:rPr>
                <w:t xml:space="preserve">статья 37</w:t>
              </w:r>
            </w:hyperlink>
            <w:r>
              <w:rPr>
                <w:sz w:val="20"/>
              </w:rPr>
            </w:r>
          </w:p>
        </w:tc>
      </w:tr>
    </w:tbl>
    <w:p>
      <w:pPr>
        <w:pStyle w:val="0"/>
        <w:jc w:val="center"/>
      </w:pPr>
      <w:r>
        <w:rPr>
          <w:sz w:val="20"/>
        </w:rPr>
      </w:r>
    </w:p>
    <w:bookmarkStart w:id="3526" w:name="P3526"/>
    <w:bookmarkEnd w:id="3526"/>
    <w:p>
      <w:pPr>
        <w:pStyle w:val="0"/>
        <w:outlineLvl w:val="1"/>
        <w:jc w:val="center"/>
      </w:pPr>
      <w:r>
        <w:rPr>
          <w:sz w:val="20"/>
        </w:rPr>
        <w:t xml:space="preserve">Часть B</w:t>
      </w:r>
    </w:p>
    <w:p>
      <w:pPr>
        <w:pStyle w:val="0"/>
        <w:jc w:val="center"/>
      </w:pPr>
      <w:r>
        <w:rPr>
          <w:sz w:val="20"/>
        </w:rPr>
      </w:r>
    </w:p>
    <w:p>
      <w:pPr>
        <w:pStyle w:val="0"/>
        <w:jc w:val="center"/>
      </w:pPr>
      <w:r>
        <w:rPr>
          <w:sz w:val="20"/>
        </w:rPr>
        <w:t xml:space="preserve">Сроки для преобразования в национальное право и применения</w:t>
      </w:r>
    </w:p>
    <w:p>
      <w:pPr>
        <w:pStyle w:val="0"/>
        <w:jc w:val="center"/>
      </w:pPr>
      <w:r>
        <w:rPr>
          <w:sz w:val="20"/>
        </w:rPr>
        <w:t xml:space="preserve">(предусмотрены </w:t>
      </w:r>
      <w:hyperlink w:history="0" w:anchor="P1194" w:tooltip="Статья 81">
        <w:r>
          <w:rPr>
            <w:sz w:val="20"/>
            <w:color w:val="0000ff"/>
          </w:rPr>
          <w:t xml:space="preserve">статьей 81</w:t>
        </w:r>
      </w:hyperlink>
      <w:r>
        <w:rPr>
          <w:sz w:val="20"/>
        </w:rPr>
        <w:t xml:space="preserve"> настоящей Директивы)</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3042"/>
        <w:gridCol w:w="3042"/>
        <w:gridCol w:w="2574"/>
      </w:tblGrid>
      <w:tr>
        <w:trPr>
          <w:trHeight w:val="240" w:hRule="atLeast"/>
        </w:trPr>
        <w:tc>
          <w:tcPr>
            <w:tcW w:w="3159" w:type="dxa"/>
          </w:tcPr>
          <w:p>
            <w:pPr>
              <w:pStyle w:val="1"/>
              <w:jc w:val="both"/>
            </w:pPr>
            <w:r>
              <w:rPr>
                <w:sz w:val="20"/>
              </w:rPr>
              <w:t xml:space="preserve">        Директива        </w:t>
            </w:r>
          </w:p>
        </w:tc>
        <w:tc>
          <w:tcPr>
            <w:tcW w:w="3159" w:type="dxa"/>
          </w:tcPr>
          <w:p>
            <w:pPr>
              <w:pStyle w:val="1"/>
              <w:jc w:val="both"/>
            </w:pPr>
            <w:r>
              <w:rPr>
                <w:sz w:val="20"/>
              </w:rPr>
              <w:t xml:space="preserve"> Срок для преобразования </w:t>
            </w:r>
          </w:p>
          <w:p>
            <w:pPr>
              <w:pStyle w:val="1"/>
              <w:jc w:val="both"/>
            </w:pPr>
            <w:r>
              <w:rPr>
                <w:sz w:val="20"/>
              </w:rPr>
              <w:t xml:space="preserve">  в национальное право   </w:t>
            </w:r>
          </w:p>
        </w:tc>
        <w:tc>
          <w:tcPr>
            <w:tcW w:w="2691" w:type="dxa"/>
          </w:tcPr>
          <w:p>
            <w:pPr>
              <w:pStyle w:val="1"/>
              <w:jc w:val="both"/>
            </w:pPr>
            <w:r>
              <w:rPr>
                <w:sz w:val="20"/>
              </w:rPr>
              <w:t xml:space="preserve"> Срок для применения </w:t>
            </w:r>
          </w:p>
        </w:tc>
      </w:tr>
      <w:tr>
        <w:trPr>
          <w:trHeight w:val="240" w:hRule="atLeast"/>
        </w:trPr>
        <w:tc>
          <w:tcPr>
            <w:tcW w:w="3159" w:type="dxa"/>
            <w:tcBorders>
              <w:top w:val="nil"/>
            </w:tcBorders>
          </w:tcPr>
          <w:p>
            <w:pPr>
              <w:pStyle w:val="1"/>
              <w:jc w:val="both"/>
            </w:pPr>
            <w:r>
              <w:rPr>
                <w:sz w:val="20"/>
              </w:rPr>
              <w:t xml:space="preserve">78/176/ЕЭС               </w:t>
            </w:r>
          </w:p>
        </w:tc>
        <w:tc>
          <w:tcPr>
            <w:tcW w:w="3159" w:type="dxa"/>
            <w:tcBorders>
              <w:top w:val="nil"/>
            </w:tcBorders>
          </w:tcPr>
          <w:p>
            <w:pPr>
              <w:pStyle w:val="1"/>
              <w:jc w:val="both"/>
            </w:pPr>
            <w:r>
              <w:rPr>
                <w:sz w:val="20"/>
              </w:rPr>
              <w:t xml:space="preserve">25 февраля 1979 г.       </w:t>
            </w:r>
          </w:p>
        </w:tc>
        <w:tc>
          <w:tcPr>
            <w:tcW w:w="2691" w:type="dxa"/>
            <w:tcBorders>
              <w:top w:val="nil"/>
            </w:tcBorders>
          </w:tcPr>
          <w:p>
            <w:pPr>
              <w:pStyle w:val="1"/>
              <w:jc w:val="both"/>
            </w:pPr>
            <w:r>
              <w:rPr>
                <w:sz w:val="20"/>
              </w:rPr>
            </w:r>
          </w:p>
        </w:tc>
      </w:tr>
      <w:tr>
        <w:trPr>
          <w:trHeight w:val="240" w:hRule="atLeast"/>
        </w:trPr>
        <w:tc>
          <w:tcPr>
            <w:tcW w:w="3159" w:type="dxa"/>
            <w:tcBorders>
              <w:top w:val="nil"/>
            </w:tcBorders>
          </w:tcPr>
          <w:p>
            <w:pPr>
              <w:pStyle w:val="1"/>
              <w:jc w:val="both"/>
            </w:pPr>
            <w:r>
              <w:rPr>
                <w:sz w:val="20"/>
              </w:rPr>
              <w:t xml:space="preserve">82/883/ЕЭС               </w:t>
            </w:r>
          </w:p>
        </w:tc>
        <w:tc>
          <w:tcPr>
            <w:tcW w:w="3159" w:type="dxa"/>
            <w:tcBorders>
              <w:top w:val="nil"/>
            </w:tcBorders>
          </w:tcPr>
          <w:p>
            <w:pPr>
              <w:pStyle w:val="1"/>
              <w:jc w:val="both"/>
            </w:pPr>
            <w:r>
              <w:rPr>
                <w:sz w:val="20"/>
              </w:rPr>
              <w:t xml:space="preserve">31 декабря 1984 г.       </w:t>
            </w:r>
          </w:p>
        </w:tc>
        <w:tc>
          <w:tcPr>
            <w:tcW w:w="2691" w:type="dxa"/>
            <w:tcBorders>
              <w:top w:val="nil"/>
            </w:tcBorders>
          </w:tcPr>
          <w:p>
            <w:pPr>
              <w:pStyle w:val="1"/>
              <w:jc w:val="both"/>
            </w:pPr>
            <w:r>
              <w:rPr>
                <w:sz w:val="20"/>
              </w:rPr>
            </w:r>
          </w:p>
        </w:tc>
      </w:tr>
      <w:tr>
        <w:trPr>
          <w:trHeight w:val="240" w:hRule="atLeast"/>
        </w:trPr>
        <w:tc>
          <w:tcPr>
            <w:tcW w:w="3159" w:type="dxa"/>
            <w:tcBorders>
              <w:top w:val="nil"/>
            </w:tcBorders>
          </w:tcPr>
          <w:p>
            <w:pPr>
              <w:pStyle w:val="1"/>
              <w:jc w:val="both"/>
            </w:pPr>
            <w:r>
              <w:rPr>
                <w:sz w:val="20"/>
              </w:rPr>
              <w:t xml:space="preserve">92/112/ЕЭС               </w:t>
            </w:r>
          </w:p>
        </w:tc>
        <w:tc>
          <w:tcPr>
            <w:tcW w:w="3159" w:type="dxa"/>
            <w:tcBorders>
              <w:top w:val="nil"/>
            </w:tcBorders>
          </w:tcPr>
          <w:p>
            <w:pPr>
              <w:pStyle w:val="1"/>
              <w:jc w:val="both"/>
            </w:pPr>
            <w:r>
              <w:rPr>
                <w:sz w:val="20"/>
              </w:rPr>
              <w:t xml:space="preserve">15 июня 1993 г.          </w:t>
            </w:r>
          </w:p>
        </w:tc>
        <w:tc>
          <w:tcPr>
            <w:tcW w:w="2691" w:type="dxa"/>
            <w:tcBorders>
              <w:top w:val="nil"/>
            </w:tcBorders>
          </w:tcPr>
          <w:p>
            <w:pPr>
              <w:pStyle w:val="1"/>
              <w:jc w:val="both"/>
            </w:pPr>
            <w:r>
              <w:rPr>
                <w:sz w:val="20"/>
              </w:rPr>
            </w:r>
          </w:p>
        </w:tc>
      </w:tr>
      <w:tr>
        <w:trPr>
          <w:trHeight w:val="240" w:hRule="atLeast"/>
        </w:trPr>
        <w:tc>
          <w:tcPr>
            <w:tcW w:w="3159" w:type="dxa"/>
            <w:tcBorders>
              <w:top w:val="nil"/>
            </w:tcBorders>
          </w:tcPr>
          <w:p>
            <w:pPr>
              <w:pStyle w:val="1"/>
              <w:jc w:val="both"/>
            </w:pPr>
            <w:r>
              <w:rPr>
                <w:sz w:val="20"/>
              </w:rPr>
            </w:r>
            <w:hyperlink w:history="0" r:id="rId110"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20"/>
                  <w:color w:val="0000ff"/>
                </w:rPr>
                <w:t xml:space="preserve">1999/13/ЕС</w:t>
              </w:r>
            </w:hyperlink>
            <w:r>
              <w:rPr>
                <w:sz w:val="20"/>
              </w:rPr>
            </w:r>
          </w:p>
        </w:tc>
        <w:tc>
          <w:tcPr>
            <w:tcW w:w="3159" w:type="dxa"/>
            <w:tcBorders>
              <w:top w:val="nil"/>
            </w:tcBorders>
          </w:tcPr>
          <w:p>
            <w:pPr>
              <w:pStyle w:val="1"/>
              <w:jc w:val="both"/>
            </w:pPr>
            <w:r>
              <w:rPr>
                <w:sz w:val="20"/>
              </w:rPr>
              <w:t xml:space="preserve">1 апреля 2001 г.         </w:t>
            </w:r>
          </w:p>
        </w:tc>
        <w:tc>
          <w:tcPr>
            <w:tcW w:w="2691" w:type="dxa"/>
            <w:tcBorders>
              <w:top w:val="nil"/>
            </w:tcBorders>
          </w:tcPr>
          <w:p>
            <w:pPr>
              <w:pStyle w:val="1"/>
              <w:jc w:val="both"/>
            </w:pPr>
            <w:r>
              <w:rPr>
                <w:sz w:val="20"/>
              </w:rPr>
            </w:r>
          </w:p>
        </w:tc>
      </w:tr>
      <w:tr>
        <w:trPr>
          <w:trHeight w:val="240" w:hRule="atLeast"/>
        </w:trPr>
        <w:tc>
          <w:tcPr>
            <w:tcW w:w="3159" w:type="dxa"/>
            <w:tcBorders>
              <w:top w:val="nil"/>
            </w:tcBorders>
          </w:tcPr>
          <w:p>
            <w:pPr>
              <w:pStyle w:val="1"/>
              <w:jc w:val="both"/>
            </w:pPr>
            <w:r>
              <w:rPr>
                <w:sz w:val="20"/>
              </w:rPr>
            </w:r>
            <w:hyperlink w:history="0" r:id="rId111"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20"/>
                  <w:color w:val="0000ff"/>
                </w:rPr>
                <w:t xml:space="preserve">2000/76/ЕС</w:t>
              </w:r>
            </w:hyperlink>
            <w:r>
              <w:rPr>
                <w:sz w:val="20"/>
              </w:rPr>
            </w:r>
          </w:p>
        </w:tc>
        <w:tc>
          <w:tcPr>
            <w:tcW w:w="3159" w:type="dxa"/>
            <w:tcBorders>
              <w:top w:val="nil"/>
            </w:tcBorders>
          </w:tcPr>
          <w:p>
            <w:pPr>
              <w:pStyle w:val="1"/>
              <w:jc w:val="both"/>
            </w:pPr>
            <w:r>
              <w:rPr>
                <w:sz w:val="20"/>
              </w:rPr>
              <w:t xml:space="preserve">28 декабря 2000 г.       </w:t>
            </w:r>
          </w:p>
        </w:tc>
        <w:tc>
          <w:tcPr>
            <w:tcW w:w="2691" w:type="dxa"/>
            <w:tcBorders>
              <w:top w:val="nil"/>
            </w:tcBorders>
          </w:tcPr>
          <w:p>
            <w:pPr>
              <w:pStyle w:val="1"/>
              <w:jc w:val="both"/>
            </w:pPr>
            <w:r>
              <w:rPr>
                <w:sz w:val="20"/>
              </w:rPr>
              <w:t xml:space="preserve">28 декабря 2002 г.   </w:t>
            </w:r>
          </w:p>
          <w:p>
            <w:pPr>
              <w:pStyle w:val="1"/>
              <w:jc w:val="both"/>
            </w:pPr>
            <w:r>
              <w:rPr>
                <w:sz w:val="20"/>
              </w:rPr>
              <w:t xml:space="preserve">28 декабря 2005 г.   </w:t>
            </w:r>
          </w:p>
        </w:tc>
      </w:tr>
      <w:tr>
        <w:trPr>
          <w:trHeight w:val="240" w:hRule="atLeast"/>
        </w:trPr>
        <w:tc>
          <w:tcPr>
            <w:tcW w:w="3159" w:type="dxa"/>
            <w:tcBorders>
              <w:top w:val="nil"/>
            </w:tcBorders>
          </w:tcPr>
          <w:p>
            <w:pPr>
              <w:pStyle w:val="1"/>
              <w:jc w:val="both"/>
            </w:pPr>
            <w:r>
              <w:rPr>
                <w:sz w:val="20"/>
              </w:rPr>
            </w:r>
            <w:hyperlink w:history="0" r:id="rId112"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20"/>
                  <w:color w:val="0000ff"/>
                </w:rPr>
                <w:t xml:space="preserve">2001/80/ЕС</w:t>
              </w:r>
            </w:hyperlink>
            <w:r>
              <w:rPr>
                <w:sz w:val="20"/>
              </w:rPr>
            </w:r>
          </w:p>
        </w:tc>
        <w:tc>
          <w:tcPr>
            <w:tcW w:w="3159" w:type="dxa"/>
            <w:tcBorders>
              <w:top w:val="nil"/>
            </w:tcBorders>
          </w:tcPr>
          <w:p>
            <w:pPr>
              <w:pStyle w:val="1"/>
              <w:jc w:val="both"/>
            </w:pPr>
            <w:r>
              <w:rPr>
                <w:sz w:val="20"/>
              </w:rPr>
              <w:t xml:space="preserve">27 ноября 2002 г.        </w:t>
            </w:r>
          </w:p>
        </w:tc>
        <w:tc>
          <w:tcPr>
            <w:tcW w:w="2691" w:type="dxa"/>
            <w:tcBorders>
              <w:top w:val="nil"/>
            </w:tcBorders>
          </w:tcPr>
          <w:p>
            <w:pPr>
              <w:pStyle w:val="1"/>
              <w:jc w:val="both"/>
            </w:pPr>
            <w:r>
              <w:rPr>
                <w:sz w:val="20"/>
              </w:rPr>
              <w:t xml:space="preserve">27 ноября 2004 г.    </w:t>
            </w:r>
          </w:p>
        </w:tc>
      </w:tr>
      <w:tr>
        <w:trPr>
          <w:trHeight w:val="240" w:hRule="atLeast"/>
        </w:trPr>
        <w:tc>
          <w:tcPr>
            <w:tcW w:w="3159" w:type="dxa"/>
            <w:tcBorders>
              <w:top w:val="nil"/>
            </w:tcBorders>
          </w:tcPr>
          <w:p>
            <w:pPr>
              <w:pStyle w:val="1"/>
              <w:jc w:val="both"/>
            </w:pPr>
            <w:r>
              <w:rPr>
                <w:sz w:val="20"/>
              </w:rPr>
            </w:r>
            <w:hyperlink w:history="0" r:id="rId113" w:tooltip="Директива N 2003/35/ЕС Европейского парламента и Совета Европейского Союза &quot;Предусматривающая участие общественности в разработке определенных планов и программ, касающихся окружающей среды, и вносящая изменения относительно участия общественности и доступа к правосудию в Директивы 85/337/ЕЭС и 96/61/ЕС Совета ЕС&quot; [рус., англ.] (Вместе с &quot;Положениями...&quot;) (Принята в г. Брюсселе 26.05.2003) (с изм. и доп. от 13.12.2011) {КонсультантПлюс}">
              <w:r>
                <w:rPr>
                  <w:sz w:val="20"/>
                  <w:color w:val="0000ff"/>
                </w:rPr>
                <w:t xml:space="preserve">2003/35/ЕС</w:t>
              </w:r>
            </w:hyperlink>
            <w:r>
              <w:rPr>
                <w:sz w:val="20"/>
              </w:rPr>
            </w:r>
          </w:p>
        </w:tc>
        <w:tc>
          <w:tcPr>
            <w:tcW w:w="3159" w:type="dxa"/>
            <w:tcBorders>
              <w:top w:val="nil"/>
            </w:tcBorders>
          </w:tcPr>
          <w:p>
            <w:pPr>
              <w:pStyle w:val="1"/>
              <w:jc w:val="both"/>
            </w:pPr>
            <w:r>
              <w:rPr>
                <w:sz w:val="20"/>
              </w:rPr>
              <w:t xml:space="preserve">25 июня 2005 г.          </w:t>
            </w:r>
          </w:p>
        </w:tc>
        <w:tc>
          <w:tcPr>
            <w:tcW w:w="2691" w:type="dxa"/>
            <w:tcBorders>
              <w:top w:val="nil"/>
            </w:tcBorders>
          </w:tcPr>
          <w:p>
            <w:pPr>
              <w:pStyle w:val="1"/>
              <w:jc w:val="both"/>
            </w:pPr>
            <w:r>
              <w:rPr>
                <w:sz w:val="20"/>
              </w:rPr>
            </w:r>
          </w:p>
        </w:tc>
      </w:tr>
      <w:tr>
        <w:trPr>
          <w:trHeight w:val="240" w:hRule="atLeast"/>
        </w:trPr>
        <w:tc>
          <w:tcPr>
            <w:tcW w:w="3159" w:type="dxa"/>
            <w:tcBorders>
              <w:top w:val="nil"/>
            </w:tcBorders>
          </w:tcPr>
          <w:p>
            <w:pPr>
              <w:pStyle w:val="1"/>
              <w:jc w:val="both"/>
            </w:pPr>
            <w:r>
              <w:rPr>
                <w:sz w:val="20"/>
              </w:rPr>
            </w:r>
            <w:hyperlink w:history="0" r:id="rId114" w:tooltip="Директива N 2003/87/ЕС Европейского парламента и Совета Европейского Союза &quot;Об учреждении системы торговли квотами на выброс парниковых газов в Союзе и об изменении Директивы 96/61/ЕС Совета ЕС&quot; [рус., англ.] (Вместе с &quot;Категориями деятельности...&quot;, &quot;Парниковыми газами...&quot;, &quot;Увеличением процентного значения квот...&quot;, &quot;Распределением средств из фонда модернизации...&quot;, &quot;Принципами осуществления мониторинга и представления отчетности...&quot;, &quot;Критериями верификации...&quot;) (Принята в г. Люксембурге 13.10.2003) (с из {КонсультантПлюс}">
              <w:r>
                <w:rPr>
                  <w:sz w:val="20"/>
                  <w:color w:val="0000ff"/>
                </w:rPr>
                <w:t xml:space="preserve">2003/87/ЕС</w:t>
              </w:r>
            </w:hyperlink>
            <w:r>
              <w:rPr>
                <w:sz w:val="20"/>
              </w:rPr>
            </w:r>
          </w:p>
        </w:tc>
        <w:tc>
          <w:tcPr>
            <w:tcW w:w="3159" w:type="dxa"/>
            <w:tcBorders>
              <w:top w:val="nil"/>
            </w:tcBorders>
          </w:tcPr>
          <w:p>
            <w:pPr>
              <w:pStyle w:val="1"/>
              <w:jc w:val="both"/>
            </w:pPr>
            <w:r>
              <w:rPr>
                <w:sz w:val="20"/>
              </w:rPr>
              <w:t xml:space="preserve">31 декабря 2003 г.       </w:t>
            </w:r>
          </w:p>
        </w:tc>
        <w:tc>
          <w:tcPr>
            <w:tcW w:w="2691" w:type="dxa"/>
            <w:tcBorders>
              <w:top w:val="nil"/>
            </w:tcBorders>
          </w:tcPr>
          <w:p>
            <w:pPr>
              <w:pStyle w:val="1"/>
              <w:jc w:val="both"/>
            </w:pPr>
            <w:r>
              <w:rPr>
                <w:sz w:val="20"/>
              </w:rPr>
            </w:r>
          </w:p>
        </w:tc>
      </w:tr>
      <w:tr>
        <w:trPr>
          <w:trHeight w:val="240" w:hRule="atLeast"/>
        </w:trPr>
        <w:tc>
          <w:tcPr>
            <w:tcW w:w="3159" w:type="dxa"/>
            <w:tcBorders>
              <w:top w:val="nil"/>
            </w:tcBorders>
          </w:tcPr>
          <w:p>
            <w:pPr>
              <w:pStyle w:val="1"/>
              <w:jc w:val="both"/>
            </w:pPr>
            <w:r>
              <w:rPr>
                <w:sz w:val="20"/>
              </w:rPr>
            </w:r>
            <w:hyperlink w:history="0" r:id="rId115"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20"/>
                  <w:color w:val="0000ff"/>
                </w:rPr>
                <w:t xml:space="preserve">2008/1/ЕС</w:t>
              </w:r>
            </w:hyperlink>
            <w:r>
              <w:rPr>
                <w:sz w:val="20"/>
              </w:rPr>
            </w:r>
          </w:p>
        </w:tc>
        <w:tc>
          <w:tcPr>
            <w:tcW w:w="3159" w:type="dxa"/>
            <w:tcBorders>
              <w:top w:val="nil"/>
            </w:tcBorders>
          </w:tcPr>
          <w:p>
            <w:pPr>
              <w:pStyle w:val="1"/>
              <w:jc w:val="both"/>
            </w:pPr>
            <w:r>
              <w:rPr>
                <w:sz w:val="20"/>
              </w:rPr>
              <w:t xml:space="preserve">30 октября 1999 г. </w:t>
            </w:r>
            <w:hyperlink w:history="0" w:anchor="P3559" w:tooltip="&lt;*&gt; Директива 2008/1/ЕС является кодифицированной версией Директивы 96/61/ЕС Совета ЕС от 24 сентября 1996 г. о комплексном предотвращении и контроле загрязнений (ОЖ N L 257, 10.10.1996, стр. 26); сроки для преобразования в национальное право и применения остаются в силе.">
              <w:r>
                <w:rPr>
                  <w:sz w:val="20"/>
                  <w:color w:val="0000ff"/>
                </w:rPr>
                <w:t xml:space="preserve">&lt;*&gt;</w:t>
              </w:r>
            </w:hyperlink>
            <w:r>
              <w:rPr>
                <w:sz w:val="20"/>
              </w:rPr>
            </w:r>
          </w:p>
        </w:tc>
        <w:tc>
          <w:tcPr>
            <w:tcW w:w="2691" w:type="dxa"/>
            <w:tcBorders>
              <w:top w:val="nil"/>
            </w:tcBorders>
          </w:tcPr>
          <w:p>
            <w:pPr>
              <w:pStyle w:val="1"/>
              <w:jc w:val="both"/>
            </w:pPr>
            <w:r>
              <w:rPr>
                <w:sz w:val="20"/>
              </w:rPr>
              <w:t xml:space="preserve">30 октября 1999 г.   </w:t>
            </w:r>
          </w:p>
        </w:tc>
      </w:tr>
      <w:tr>
        <w:trPr>
          <w:trHeight w:val="240" w:hRule="atLeast"/>
        </w:trPr>
        <w:tc>
          <w:tcPr>
            <w:tcW w:w="3159" w:type="dxa"/>
            <w:tcBorders>
              <w:top w:val="nil"/>
            </w:tcBorders>
          </w:tcPr>
          <w:p>
            <w:pPr>
              <w:pStyle w:val="1"/>
              <w:jc w:val="both"/>
            </w:pPr>
            <w:r>
              <w:rPr>
                <w:sz w:val="20"/>
              </w:rPr>
            </w:r>
          </w:p>
        </w:tc>
        <w:tc>
          <w:tcPr>
            <w:tcW w:w="3159" w:type="dxa"/>
            <w:tcBorders>
              <w:top w:val="nil"/>
            </w:tcBorders>
          </w:tcPr>
          <w:p>
            <w:pPr>
              <w:pStyle w:val="1"/>
              <w:jc w:val="both"/>
            </w:pPr>
            <w:r>
              <w:rPr>
                <w:sz w:val="20"/>
              </w:rPr>
            </w:r>
          </w:p>
        </w:tc>
        <w:tc>
          <w:tcPr>
            <w:tcW w:w="2691" w:type="dxa"/>
            <w:tcBorders>
              <w:top w:val="nil"/>
            </w:tcBorders>
          </w:tcPr>
          <w:p>
            <w:pPr>
              <w:pStyle w:val="1"/>
              <w:jc w:val="both"/>
            </w:pPr>
            <w:r>
              <w:rPr>
                <w:sz w:val="20"/>
              </w:rPr>
              <w:t xml:space="preserve">30 октября 2007 г.   </w:t>
            </w:r>
          </w:p>
        </w:tc>
      </w:tr>
    </w:tbl>
    <w:p>
      <w:pPr>
        <w:pStyle w:val="0"/>
        <w:ind w:firstLine="540"/>
        <w:jc w:val="both"/>
      </w:pPr>
      <w:r>
        <w:rPr>
          <w:sz w:val="20"/>
        </w:rPr>
      </w:r>
    </w:p>
    <w:p>
      <w:pPr>
        <w:pStyle w:val="0"/>
        <w:ind w:firstLine="540"/>
        <w:jc w:val="both"/>
      </w:pPr>
      <w:r>
        <w:rPr>
          <w:sz w:val="20"/>
        </w:rPr>
        <w:t xml:space="preserve">--------------------------------</w:t>
      </w:r>
    </w:p>
    <w:bookmarkStart w:id="3559" w:name="P3559"/>
    <w:bookmarkEnd w:id="3559"/>
    <w:p>
      <w:pPr>
        <w:pStyle w:val="0"/>
        <w:spacing w:before="200" w:line-rule="auto"/>
        <w:ind w:firstLine="540"/>
        <w:jc w:val="both"/>
      </w:pPr>
      <w:r>
        <w:rPr>
          <w:sz w:val="20"/>
        </w:rPr>
        <w:t xml:space="preserve">&lt;*&gt; </w:t>
      </w:r>
      <w:hyperlink w:history="0" r:id="rId116"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20"/>
            <w:color w:val="0000ff"/>
          </w:rPr>
          <w:t xml:space="preserve">Директива</w:t>
        </w:r>
      </w:hyperlink>
      <w:r>
        <w:rPr>
          <w:sz w:val="20"/>
        </w:rPr>
        <w:t xml:space="preserve"> 2008/1/ЕС является кодифицированной версией Директивы 96/61/ЕС Совета ЕС от 24 сентября 1996 г. о комплексном предотвращении и контроле загрязнений (ОЖ N L 257, 10.10.1996, стр. 26); сроки для преобразования в национальное право и применения остаются в силе.</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 X</w:t>
      </w:r>
    </w:p>
    <w:p>
      <w:pPr>
        <w:pStyle w:val="0"/>
        <w:jc w:val="right"/>
      </w:pPr>
      <w:r>
        <w:rPr>
          <w:sz w:val="20"/>
        </w:rPr>
      </w:r>
    </w:p>
    <w:bookmarkStart w:id="3567" w:name="P3567"/>
    <w:bookmarkEnd w:id="3567"/>
    <w:p>
      <w:pPr>
        <w:pStyle w:val="2"/>
        <w:jc w:val="center"/>
      </w:pPr>
      <w:r>
        <w:rPr>
          <w:sz w:val="20"/>
        </w:rPr>
        <w:t xml:space="preserve">КОРРЕЛЯЦИОННАЯ ТАБЛИЦА</w:t>
      </w:r>
    </w:p>
    <w:p>
      <w:pPr>
        <w:pStyle w:val="0"/>
        <w:jc w:val="center"/>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1089"/>
        <w:gridCol w:w="1188"/>
        <w:gridCol w:w="1089"/>
        <w:gridCol w:w="1287"/>
        <w:gridCol w:w="1485"/>
        <w:gridCol w:w="1386"/>
        <w:gridCol w:w="1287"/>
        <w:gridCol w:w="1386"/>
      </w:tblGrid>
      <w:tr>
        <w:trPr>
          <w:trHeight w:val="210" w:hRule="atLeast"/>
        </w:trPr>
        <w:tc>
          <w:tcPr>
            <w:tcW w:w="1188" w:type="dxa"/>
          </w:tcPr>
          <w:p>
            <w:pPr>
              <w:pStyle w:val="1"/>
              <w:jc w:val="both"/>
            </w:pPr>
            <w:r>
              <w:rPr>
                <w:sz w:val="16"/>
              </w:rPr>
              <w:t xml:space="preserve">Директива </w:t>
            </w:r>
          </w:p>
          <w:p>
            <w:pPr>
              <w:pStyle w:val="1"/>
              <w:jc w:val="both"/>
            </w:pPr>
            <w:r>
              <w:rPr>
                <w:sz w:val="16"/>
              </w:rPr>
              <w:t xml:space="preserve">78/176/ЕЭС</w:t>
            </w:r>
          </w:p>
        </w:tc>
        <w:tc>
          <w:tcPr>
            <w:tcW w:w="1287" w:type="dxa"/>
          </w:tcPr>
          <w:p>
            <w:pPr>
              <w:pStyle w:val="1"/>
              <w:jc w:val="both"/>
            </w:pPr>
            <w:r>
              <w:rPr>
                <w:sz w:val="16"/>
              </w:rPr>
              <w:t xml:space="preserve"> Директива </w:t>
            </w:r>
          </w:p>
          <w:p>
            <w:pPr>
              <w:pStyle w:val="1"/>
              <w:jc w:val="both"/>
            </w:pPr>
            <w:r>
              <w:rPr>
                <w:sz w:val="16"/>
              </w:rPr>
              <w:t xml:space="preserve"> 82/883/ЕЭС</w:t>
            </w:r>
          </w:p>
        </w:tc>
        <w:tc>
          <w:tcPr>
            <w:tcW w:w="1188" w:type="dxa"/>
          </w:tcPr>
          <w:p>
            <w:pPr>
              <w:pStyle w:val="1"/>
              <w:jc w:val="both"/>
            </w:pPr>
            <w:r>
              <w:rPr>
                <w:sz w:val="16"/>
              </w:rPr>
              <w:t xml:space="preserve">Директива </w:t>
            </w:r>
          </w:p>
          <w:p>
            <w:pPr>
              <w:pStyle w:val="1"/>
              <w:jc w:val="both"/>
            </w:pPr>
            <w:r>
              <w:rPr>
                <w:sz w:val="16"/>
              </w:rPr>
              <w:t xml:space="preserve">92/112/ЕЭС</w:t>
            </w:r>
          </w:p>
        </w:tc>
        <w:tc>
          <w:tcPr>
            <w:tcW w:w="1386" w:type="dxa"/>
          </w:tcPr>
          <w:p>
            <w:pPr>
              <w:pStyle w:val="1"/>
              <w:jc w:val="both"/>
            </w:pPr>
            <w:r>
              <w:rPr>
                <w:sz w:val="16"/>
              </w:rPr>
            </w:r>
            <w:hyperlink w:history="0" r:id="rId117"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Директива</w:t>
              </w:r>
            </w:hyperlink>
            <w:r>
              <w:rPr>
                <w:sz w:val="16"/>
              </w:rPr>
            </w:r>
          </w:p>
          <w:p>
            <w:pPr>
              <w:pStyle w:val="1"/>
              <w:jc w:val="both"/>
            </w:pPr>
            <w:r>
              <w:rPr>
                <w:sz w:val="16"/>
              </w:rPr>
              <w:t xml:space="preserve"> 2008/1/ЕС  </w:t>
            </w:r>
          </w:p>
        </w:tc>
        <w:tc>
          <w:tcPr>
            <w:tcW w:w="1584" w:type="dxa"/>
          </w:tcPr>
          <w:p>
            <w:pPr>
              <w:pStyle w:val="1"/>
              <w:jc w:val="both"/>
            </w:pPr>
            <w:r>
              <w:rPr>
                <w:sz w:val="16"/>
              </w:rPr>
            </w:r>
            <w:hyperlink w:history="0" r:id="rId118"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Директива</w:t>
              </w:r>
            </w:hyperlink>
            <w:r>
              <w:rPr>
                <w:sz w:val="16"/>
              </w:rPr>
            </w:r>
          </w:p>
          <w:p>
            <w:pPr>
              <w:pStyle w:val="1"/>
              <w:jc w:val="both"/>
            </w:pPr>
            <w:r>
              <w:rPr>
                <w:sz w:val="16"/>
              </w:rPr>
              <w:t xml:space="preserve">  1999/13/ЕС  </w:t>
            </w:r>
          </w:p>
        </w:tc>
        <w:tc>
          <w:tcPr>
            <w:tcW w:w="1485" w:type="dxa"/>
          </w:tcPr>
          <w:p>
            <w:pPr>
              <w:pStyle w:val="1"/>
              <w:jc w:val="both"/>
            </w:pPr>
            <w:r>
              <w:rPr>
                <w:sz w:val="16"/>
              </w:rPr>
            </w:r>
            <w:hyperlink w:history="0" r:id="rId119"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Директива</w:t>
              </w:r>
            </w:hyperlink>
            <w:r>
              <w:rPr>
                <w:sz w:val="16"/>
              </w:rPr>
            </w:r>
          </w:p>
          <w:p>
            <w:pPr>
              <w:pStyle w:val="1"/>
              <w:jc w:val="both"/>
            </w:pPr>
            <w:r>
              <w:rPr>
                <w:sz w:val="16"/>
              </w:rPr>
              <w:t xml:space="preserve">  2000/76/ЕС </w:t>
            </w:r>
          </w:p>
        </w:tc>
        <w:tc>
          <w:tcPr>
            <w:tcW w:w="1386" w:type="dxa"/>
          </w:tcPr>
          <w:p>
            <w:pPr>
              <w:pStyle w:val="1"/>
              <w:jc w:val="both"/>
            </w:pPr>
            <w:r>
              <w:rPr>
                <w:sz w:val="16"/>
              </w:rPr>
            </w:r>
            <w:hyperlink w:history="0" r:id="rId120"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Директива</w:t>
              </w:r>
            </w:hyperlink>
            <w:r>
              <w:rPr>
                <w:sz w:val="16"/>
              </w:rPr>
            </w:r>
          </w:p>
          <w:p>
            <w:pPr>
              <w:pStyle w:val="1"/>
              <w:jc w:val="both"/>
            </w:pPr>
            <w:r>
              <w:rPr>
                <w:sz w:val="16"/>
              </w:rPr>
              <w:t xml:space="preserve"> 2001/80/ЕС </w:t>
            </w:r>
          </w:p>
        </w:tc>
        <w:tc>
          <w:tcPr>
            <w:tcW w:w="1485" w:type="dxa"/>
          </w:tcPr>
          <w:p>
            <w:pPr>
              <w:pStyle w:val="1"/>
              <w:jc w:val="both"/>
            </w:pPr>
            <w:r>
              <w:rPr>
                <w:sz w:val="16"/>
              </w:rPr>
              <w:t xml:space="preserve">  Настоящая  </w:t>
            </w:r>
          </w:p>
          <w:p>
            <w:pPr>
              <w:pStyle w:val="1"/>
              <w:jc w:val="both"/>
            </w:pPr>
            <w:r>
              <w:rPr>
                <w:sz w:val="16"/>
              </w:rPr>
            </w:r>
            <w:hyperlink w:history="0" w:anchor="P5" w:tooltip="ДИРЕКТИВА N 2010/75/ЕС">
              <w:r>
                <w:rPr>
                  <w:sz w:val="16"/>
                  <w:color w:val="0000ff"/>
                </w:rPr>
                <w:t xml:space="preserve">Директива</w:t>
              </w:r>
            </w:hyperlink>
            <w:r>
              <w:rPr>
                <w:sz w:val="16"/>
              </w:rPr>
            </w:r>
          </w:p>
        </w:tc>
      </w:tr>
      <w:tr>
        <w:trPr>
          <w:trHeight w:val="210" w:hRule="atLeast"/>
        </w:trPr>
        <w:tc>
          <w:tcPr>
            <w:tcW w:w="1188" w:type="dxa"/>
            <w:tcBorders>
              <w:top w:val="nil"/>
            </w:tcBorders>
          </w:tcPr>
          <w:p>
            <w:pPr>
              <w:pStyle w:val="1"/>
              <w:jc w:val="both"/>
            </w:pPr>
            <w:r>
              <w:rPr>
                <w:sz w:val="16"/>
              </w:rPr>
              <w:t xml:space="preserve">Статья 1  </w:t>
            </w:r>
          </w:p>
          <w:p>
            <w:pPr>
              <w:pStyle w:val="1"/>
              <w:jc w:val="both"/>
            </w:pPr>
            <w:r>
              <w:rPr>
                <w:sz w:val="16"/>
              </w:rPr>
              <w:t xml:space="preserve">(1)       </w:t>
            </w:r>
          </w:p>
        </w:tc>
        <w:tc>
          <w:tcPr>
            <w:tcW w:w="1287" w:type="dxa"/>
            <w:tcBorders>
              <w:top w:val="nil"/>
            </w:tcBorders>
          </w:tcPr>
          <w:p>
            <w:pPr>
              <w:pStyle w:val="1"/>
              <w:jc w:val="both"/>
            </w:pPr>
            <w:r>
              <w:rPr>
                <w:sz w:val="16"/>
              </w:rPr>
              <w:t xml:space="preserve">Статья 1   </w:t>
            </w:r>
          </w:p>
        </w:tc>
        <w:tc>
          <w:tcPr>
            <w:tcW w:w="1188" w:type="dxa"/>
            <w:tcBorders>
              <w:top w:val="nil"/>
            </w:tcBorders>
          </w:tcPr>
          <w:p>
            <w:pPr>
              <w:pStyle w:val="1"/>
              <w:jc w:val="both"/>
            </w:pPr>
            <w:r>
              <w:rPr>
                <w:sz w:val="16"/>
              </w:rPr>
              <w:t xml:space="preserve">Статья 1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052" w:tooltip="Статья 66">
              <w:r>
                <w:rPr>
                  <w:sz w:val="16"/>
                  <w:color w:val="0000ff"/>
                </w:rPr>
                <w:t xml:space="preserve">Статья 66</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r>
            <w:hyperlink w:history="0" w:anchor="P129" w:tooltip="Статья 2">
              <w:r>
                <w:rPr>
                  <w:sz w:val="16"/>
                  <w:color w:val="0000ff"/>
                </w:rPr>
                <w:t xml:space="preserve">Статья 2</w:t>
              </w:r>
            </w:hyperlink>
            <w:r>
              <w:rPr>
                <w:sz w:val="16"/>
              </w:rPr>
            </w:r>
          </w:p>
        </w:tc>
      </w:tr>
      <w:tr>
        <w:trPr>
          <w:trHeight w:val="210" w:hRule="atLeast"/>
        </w:trPr>
        <w:tc>
          <w:tcPr>
            <w:tcW w:w="1188" w:type="dxa"/>
            <w:tcBorders>
              <w:top w:val="nil"/>
            </w:tcBorders>
          </w:tcPr>
          <w:p>
            <w:pPr>
              <w:pStyle w:val="1"/>
              <w:jc w:val="both"/>
            </w:pPr>
            <w:r>
              <w:rPr>
                <w:sz w:val="16"/>
              </w:rPr>
              <w:t xml:space="preserve">Статья 1  </w:t>
            </w:r>
          </w:p>
          <w:p>
            <w:pPr>
              <w:pStyle w:val="1"/>
              <w:jc w:val="both"/>
            </w:pPr>
            <w:r>
              <w:rPr>
                <w:sz w:val="16"/>
              </w:rPr>
              <w:t xml:space="preserve">(2), пункт</w:t>
            </w:r>
          </w:p>
          <w:p>
            <w:pPr>
              <w:pStyle w:val="1"/>
              <w:jc w:val="both"/>
            </w:pPr>
            <w:r>
              <w:rPr>
                <w:sz w:val="16"/>
              </w:rPr>
              <w:t xml:space="preserve">"a"       </w:t>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121"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2 (2)</w:t>
              </w:r>
            </w:hyperlink>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54" w:tooltip="2) под &quot;загрязнением&quot; понимается прямой или косвенный выброс в воздух, воду или землю возникающих в результате человеческой деятельности веществ, вибрации, горячих отработанных газов или шума, который может причинить вред здоровью человека или качеству окружающей среды, нанести ущерб имуществу, нарушить или препятствовать созданию рекреационных зон и иному законному использованию окружающей среды;">
              <w:r>
                <w:rPr>
                  <w:sz w:val="16"/>
                  <w:color w:val="0000ff"/>
                </w:rPr>
                <w:t xml:space="preserve">Статья 3 (2)</w:t>
              </w:r>
            </w:hyperlink>
            <w:r>
              <w:rPr>
                <w:sz w:val="16"/>
              </w:rPr>
            </w:r>
          </w:p>
        </w:tc>
      </w:tr>
      <w:tr>
        <w:trPr>
          <w:trHeight w:val="210" w:hRule="atLeast"/>
        </w:trPr>
        <w:tc>
          <w:tcPr>
            <w:tcW w:w="1188" w:type="dxa"/>
            <w:tcBorders>
              <w:top w:val="nil"/>
            </w:tcBorders>
          </w:tcPr>
          <w:p>
            <w:pPr>
              <w:pStyle w:val="1"/>
              <w:jc w:val="both"/>
            </w:pPr>
            <w:r>
              <w:rPr>
                <w:sz w:val="16"/>
              </w:rPr>
              <w:t xml:space="preserve">Статья 1  </w:t>
            </w:r>
          </w:p>
          <w:p>
            <w:pPr>
              <w:pStyle w:val="1"/>
              <w:jc w:val="both"/>
            </w:pPr>
            <w:r>
              <w:rPr>
                <w:sz w:val="16"/>
              </w:rPr>
              <w:t xml:space="preserve">(2), пункт</w:t>
            </w:r>
          </w:p>
          <w:p>
            <w:pPr>
              <w:pStyle w:val="1"/>
              <w:jc w:val="both"/>
            </w:pPr>
            <w:r>
              <w:rPr>
                <w:sz w:val="16"/>
              </w:rPr>
              <w:t xml:space="preserve">"b"       </w:t>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122"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3 (1)</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211" w:tooltip="37) под &quot;отходами&quot; понимаются отходы в значении пункта 1 статьи 3 Директивы 2008/98/ЕС Европейского парламента и Совета ЕС от 19 ноября 2008 г., об отходах &lt;*&gt;;">
              <w:r>
                <w:rPr>
                  <w:sz w:val="16"/>
                  <w:color w:val="0000ff"/>
                </w:rPr>
                <w:t xml:space="preserve">Статья 3 (37)</w:t>
              </w:r>
            </w:hyperlink>
          </w:p>
        </w:tc>
      </w:tr>
      <w:tr>
        <w:trPr>
          <w:trHeight w:val="210" w:hRule="atLeast"/>
        </w:trPr>
        <w:tc>
          <w:tcPr>
            <w:tcW w:w="1188" w:type="dxa"/>
            <w:tcBorders>
              <w:top w:val="nil"/>
            </w:tcBorders>
          </w:tcPr>
          <w:p>
            <w:pPr>
              <w:pStyle w:val="1"/>
              <w:jc w:val="both"/>
            </w:pPr>
            <w:r>
              <w:rPr>
                <w:sz w:val="16"/>
              </w:rPr>
              <w:t xml:space="preserve">Статья 1  </w:t>
            </w:r>
          </w:p>
          <w:p>
            <w:pPr>
              <w:pStyle w:val="1"/>
              <w:jc w:val="both"/>
            </w:pPr>
            <w:r>
              <w:rPr>
                <w:sz w:val="16"/>
              </w:rPr>
              <w:t xml:space="preserve">(2),      </w:t>
            </w:r>
          </w:p>
          <w:p>
            <w:pPr>
              <w:pStyle w:val="1"/>
              <w:jc w:val="both"/>
            </w:pPr>
            <w:r>
              <w:rPr>
                <w:sz w:val="16"/>
              </w:rPr>
              <w:t xml:space="preserve">пункты    </w:t>
            </w:r>
          </w:p>
          <w:p>
            <w:pPr>
              <w:pStyle w:val="1"/>
              <w:jc w:val="both"/>
            </w:pPr>
            <w:r>
              <w:rPr>
                <w:sz w:val="16"/>
              </w:rPr>
              <w:t xml:space="preserve">"c", "d", </w:t>
            </w:r>
          </w:p>
          <w:p>
            <w:pPr>
              <w:pStyle w:val="1"/>
              <w:jc w:val="both"/>
            </w:pPr>
            <w:r>
              <w:rPr>
                <w:sz w:val="16"/>
              </w:rPr>
              <w:t xml:space="preserve">и "e"     </w:t>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r>
            <w:hyperlink w:history="0" w:anchor="P1052" w:tooltip="Статья 66">
              <w:r>
                <w:rPr>
                  <w:sz w:val="16"/>
                  <w:color w:val="0000ff"/>
                </w:rPr>
                <w:t xml:space="preserve">Статья 66</w:t>
              </w:r>
            </w:hyperlink>
            <w:r>
              <w:rPr>
                <w:sz w:val="16"/>
              </w:rPr>
            </w:r>
          </w:p>
        </w:tc>
      </w:tr>
      <w:tr>
        <w:trPr>
          <w:trHeight w:val="210" w:hRule="atLeast"/>
        </w:trPr>
        <w:tc>
          <w:tcPr>
            <w:tcW w:w="1188" w:type="dxa"/>
            <w:tcBorders>
              <w:top w:val="nil"/>
            </w:tcBorders>
          </w:tcPr>
          <w:p>
            <w:pPr>
              <w:pStyle w:val="1"/>
              <w:jc w:val="both"/>
            </w:pPr>
            <w:r>
              <w:rPr>
                <w:sz w:val="16"/>
              </w:rPr>
              <w:t xml:space="preserve">Статья 2  </w:t>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058" w:tooltip="Статья 67">
              <w:r>
                <w:rPr>
                  <w:sz w:val="16"/>
                  <w:color w:val="0000ff"/>
                </w:rPr>
                <w:t xml:space="preserve">Статья 67</w:t>
              </w:r>
            </w:hyperlink>
            <w:r>
              <w:rPr>
                <w:sz w:val="16"/>
              </w:rPr>
            </w:r>
          </w:p>
        </w:tc>
      </w:tr>
      <w:tr>
        <w:trPr>
          <w:trHeight w:val="210" w:hRule="atLeast"/>
        </w:trPr>
        <w:tc>
          <w:tcPr>
            <w:tcW w:w="1188" w:type="dxa"/>
            <w:tcBorders>
              <w:top w:val="nil"/>
            </w:tcBorders>
          </w:tcPr>
          <w:p>
            <w:pPr>
              <w:pStyle w:val="1"/>
              <w:jc w:val="both"/>
            </w:pPr>
            <w:r>
              <w:rPr>
                <w:sz w:val="16"/>
              </w:rPr>
              <w:t xml:space="preserve">Статья 3  </w:t>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r>
            <w:hyperlink w:history="0" w:anchor="P314" w:tooltip="d) принимаются меры по предотвращению образования отходов в соответствии с Директивой 2008/98/ЕС;">
              <w:r>
                <w:rPr>
                  <w:sz w:val="16"/>
                  <w:color w:val="0000ff"/>
                </w:rPr>
                <w:t xml:space="preserve">пункты "d"</w:t>
              </w:r>
            </w:hyperlink>
            <w:r>
              <w:rPr>
                <w:sz w:val="16"/>
              </w:rPr>
              <w:t xml:space="preserve"> и </w:t>
            </w:r>
          </w:p>
          <w:p>
            <w:pPr>
              <w:pStyle w:val="1"/>
              <w:jc w:val="both"/>
            </w:pPr>
            <w:r>
              <w:rPr>
                <w:sz w:val="16"/>
              </w:rPr>
            </w:r>
            <w:hyperlink w:history="0" w:anchor="P315" w:tooltip="e) образующиеся отходы в первоочередном порядке в соответствии с Директивой 2008/98/ЕС готовят для повторного использования, переработки, утилизации или при отсутствии технической и экономической возможности осуществляют их захоронение, предотвращая или сокращая любое воздействие на окружающую среду;">
              <w:r>
                <w:rPr>
                  <w:sz w:val="16"/>
                  <w:color w:val="0000ff"/>
                </w:rPr>
                <w:t xml:space="preserve">"e"</w:t>
              </w:r>
            </w:hyperlink>
            <w:r>
              <w:rPr>
                <w:sz w:val="16"/>
              </w:rPr>
            </w:r>
          </w:p>
        </w:tc>
      </w:tr>
      <w:tr>
        <w:trPr>
          <w:trHeight w:val="210" w:hRule="atLeast"/>
        </w:trPr>
        <w:tc>
          <w:tcPr>
            <w:tcW w:w="1188" w:type="dxa"/>
            <w:tcBorders>
              <w:top w:val="nil"/>
            </w:tcBorders>
          </w:tcPr>
          <w:p>
            <w:pPr>
              <w:pStyle w:val="1"/>
              <w:jc w:val="both"/>
            </w:pPr>
            <w:r>
              <w:rPr>
                <w:sz w:val="16"/>
              </w:rPr>
              <w:t xml:space="preserve">Статья 4  </w:t>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123"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4</w:t>
              </w:r>
            </w:hyperlink>
            <w:r>
              <w:rPr>
                <w:sz w:val="16"/>
              </w:rPr>
            </w:r>
          </w:p>
        </w:tc>
        <w:tc>
          <w:tcPr>
            <w:tcW w:w="1584" w:type="dxa"/>
            <w:tcBorders>
              <w:top w:val="nil"/>
            </w:tcBorders>
          </w:tcPr>
          <w:p>
            <w:pPr>
              <w:pStyle w:val="1"/>
              <w:jc w:val="both"/>
            </w:pPr>
            <w:r>
              <w:rPr>
                <w:sz w:val="16"/>
              </w:rPr>
              <w:t xml:space="preserve">Статья 3,     </w:t>
            </w:r>
          </w:p>
          <w:p>
            <w:pPr>
              <w:pStyle w:val="1"/>
              <w:jc w:val="both"/>
            </w:pPr>
            <w:r>
              <w:rPr>
                <w:sz w:val="16"/>
              </w:rPr>
            </w:r>
            <w:hyperlink w:history="0" r:id="rId124"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вводная фраза</w:t>
              </w:r>
            </w:hyperlink>
            <w:r>
              <w:rPr>
                <w:sz w:val="16"/>
              </w:rPr>
            </w:r>
          </w:p>
          <w:p>
            <w:pPr>
              <w:pStyle w:val="1"/>
              <w:jc w:val="both"/>
            </w:pPr>
            <w:r>
              <w:rPr>
                <w:sz w:val="16"/>
              </w:rPr>
              <w:t xml:space="preserve">и </w:t>
            </w:r>
            <w:hyperlink w:history="0" r:id="rId125"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(1)</w:t>
              </w:r>
            </w:hyperlink>
            <w:r>
              <w:rPr>
                <w:sz w:val="16"/>
              </w:rPr>
            </w:r>
          </w:p>
        </w:tc>
        <w:tc>
          <w:tcPr>
            <w:tcW w:w="1485" w:type="dxa"/>
            <w:tcBorders>
              <w:top w:val="nil"/>
            </w:tcBorders>
          </w:tcPr>
          <w:p>
            <w:pPr>
              <w:pStyle w:val="1"/>
              <w:jc w:val="both"/>
            </w:pPr>
            <w:r>
              <w:rPr>
                <w:sz w:val="16"/>
              </w:rPr>
            </w:r>
            <w:hyperlink w:history="0" r:id="rId126"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4 (1)</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 (1),</w:t>
            </w:r>
          </w:p>
          <w:p>
            <w:pPr>
              <w:pStyle w:val="1"/>
              <w:jc w:val="both"/>
            </w:pPr>
            <w:r>
              <w:rPr>
                <w:sz w:val="16"/>
              </w:rPr>
            </w:r>
            <w:hyperlink w:history="0" w:anchor="P243" w:tooltip="1. Государства-члены ЕС принимают необходимые меры по обеспечению того, чтобы функционирование установок, заводов по сжиганию, заводов по сжиганию отходов или заводов по совместному сжиганию отходов осуществлялось только при наличии разрешения.">
              <w:r>
                <w:rPr>
                  <w:sz w:val="16"/>
                  <w:color w:val="0000ff"/>
                </w:rPr>
                <w:t xml:space="preserve">первый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t xml:space="preserve">Статья 5  </w:t>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r>
            <w:hyperlink w:history="0" w:anchor="P314" w:tooltip="d) принимаются меры по предотвращению образования отходов в соответствии с Директивой 2008/98/ЕС;">
              <w:r>
                <w:rPr>
                  <w:sz w:val="16"/>
                  <w:color w:val="0000ff"/>
                </w:rPr>
                <w:t xml:space="preserve">пункты "d"</w:t>
              </w:r>
            </w:hyperlink>
            <w:r>
              <w:rPr>
                <w:sz w:val="16"/>
              </w:rPr>
              <w:t xml:space="preserve"> и </w:t>
            </w:r>
          </w:p>
          <w:p>
            <w:pPr>
              <w:pStyle w:val="1"/>
              <w:jc w:val="both"/>
            </w:pPr>
            <w:r>
              <w:rPr>
                <w:sz w:val="16"/>
              </w:rPr>
            </w:r>
            <w:hyperlink w:history="0" w:anchor="P315" w:tooltip="e) образующиеся отходы в первоочередном порядке в соответствии с Директивой 2008/98/ЕС готовят для повторного использования, переработки, утилизации или при отсутствии технической и экономической возможности осуществляют их захоронение, предотвращая или сокращая любое воздействие на окружающую среду;">
              <w:r>
                <w:rPr>
                  <w:sz w:val="16"/>
                  <w:color w:val="0000ff"/>
                </w:rPr>
                <w:t xml:space="preserve">"e"</w:t>
              </w:r>
            </w:hyperlink>
            <w:r>
              <w:rPr>
                <w:sz w:val="16"/>
              </w:rPr>
            </w:r>
          </w:p>
        </w:tc>
      </w:tr>
      <w:tr>
        <w:trPr>
          <w:trHeight w:val="210" w:hRule="atLeast"/>
        </w:trPr>
        <w:tc>
          <w:tcPr>
            <w:tcW w:w="1188" w:type="dxa"/>
            <w:tcBorders>
              <w:top w:val="nil"/>
            </w:tcBorders>
          </w:tcPr>
          <w:p>
            <w:pPr>
              <w:pStyle w:val="1"/>
              <w:jc w:val="both"/>
            </w:pPr>
            <w:r>
              <w:rPr>
                <w:sz w:val="16"/>
              </w:rPr>
              <w:t xml:space="preserve">Статья 6  </w:t>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t xml:space="preserve">пункты "d" и </w:t>
            </w:r>
          </w:p>
          <w:p>
            <w:pPr>
              <w:pStyle w:val="1"/>
              <w:jc w:val="both"/>
            </w:pPr>
            <w:r>
              <w:rPr>
                <w:sz w:val="16"/>
              </w:rPr>
              <w:t xml:space="preserve">"e"          </w:t>
            </w:r>
          </w:p>
        </w:tc>
      </w:tr>
      <w:tr>
        <w:trPr>
          <w:trHeight w:val="210" w:hRule="atLeast"/>
        </w:trPr>
        <w:tc>
          <w:tcPr>
            <w:tcW w:w="1188" w:type="dxa"/>
            <w:tcBorders>
              <w:top w:val="nil"/>
            </w:tcBorders>
          </w:tcPr>
          <w:p>
            <w:pPr>
              <w:pStyle w:val="1"/>
              <w:jc w:val="both"/>
            </w:pPr>
            <w:r>
              <w:rPr>
                <w:sz w:val="16"/>
              </w:rPr>
              <w:t xml:space="preserve">Статья 7  </w:t>
            </w:r>
          </w:p>
          <w:p>
            <w:pPr>
              <w:pStyle w:val="1"/>
              <w:jc w:val="both"/>
            </w:pPr>
            <w:r>
              <w:rPr>
                <w:sz w:val="16"/>
              </w:rPr>
              <w:t xml:space="preserve">(1)       </w:t>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10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085" w:tooltip="1. Государства-члены ЕС гарантируют проведение мониторинга выбросов в воду, позволяющего компетентному органу осуществлять проверки соблюдения условий разрешения и статьи 68 настоящей Директивы.">
              <w:r>
                <w:rPr>
                  <w:sz w:val="16"/>
                  <w:color w:val="0000ff"/>
                </w:rPr>
                <w:t xml:space="preserve">Статья 70 (1)</w:t>
              </w:r>
            </w:hyperlink>
          </w:p>
          <w:p>
            <w:pPr>
              <w:pStyle w:val="1"/>
              <w:jc w:val="both"/>
            </w:pPr>
            <w:r>
              <w:rPr>
                <w:sz w:val="16"/>
              </w:rPr>
              <w:t xml:space="preserve">и 70 (2),    </w:t>
            </w:r>
          </w:p>
          <w:p>
            <w:pPr>
              <w:pStyle w:val="1"/>
              <w:jc w:val="both"/>
            </w:pPr>
            <w:r>
              <w:rPr>
                <w:sz w:val="16"/>
              </w:rPr>
            </w:r>
            <w:hyperlink w:history="0" w:anchor="P1086" w:tooltip="2. Государства-члены ЕС гарантируют проведение мониторинга выбросов в воздух, позволяющего компетентному органу осуществлять проверки соблюдения условий разрешения и статьи 69 настоящей Директивы. Такой мониторинг должен включать, как минимум мониторинг выбросов, как предусмотрено частью 3 Приложения VIII к настоящей Директиве.">
              <w:r>
                <w:rPr>
                  <w:sz w:val="16"/>
                  <w:color w:val="0000ff"/>
                </w:rPr>
                <w:t xml:space="preserve">первое</w:t>
              </w:r>
            </w:hyperlink>
            <w:r>
              <w:rPr>
                <w:sz w:val="16"/>
              </w:rPr>
            </w:r>
          </w:p>
          <w:p>
            <w:pPr>
              <w:pStyle w:val="1"/>
              <w:jc w:val="both"/>
            </w:pPr>
            <w:r>
              <w:rPr>
                <w:sz w:val="16"/>
              </w:rPr>
              <w:t xml:space="preserve">предложение  </w:t>
            </w:r>
          </w:p>
        </w:tc>
      </w:tr>
      <w:tr>
        <w:trPr>
          <w:trHeight w:val="210" w:hRule="atLeast"/>
        </w:trPr>
        <w:tc>
          <w:tcPr>
            <w:tcW w:w="1188" w:type="dxa"/>
            <w:tcBorders>
              <w:top w:val="nil"/>
            </w:tcBorders>
          </w:tcPr>
          <w:p>
            <w:pPr>
              <w:pStyle w:val="1"/>
              <w:jc w:val="both"/>
            </w:pPr>
            <w:r>
              <w:rPr>
                <w:sz w:val="16"/>
              </w:rPr>
              <w:t xml:space="preserve">Статья 7  </w:t>
            </w:r>
          </w:p>
          <w:p>
            <w:pPr>
              <w:pStyle w:val="1"/>
              <w:jc w:val="both"/>
            </w:pPr>
            <w:r>
              <w:rPr>
                <w:sz w:val="16"/>
              </w:rPr>
              <w:t xml:space="preserve">(2) и (3) </w:t>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70 (2)</w:t>
            </w:r>
          </w:p>
          <w:p>
            <w:pPr>
              <w:pStyle w:val="1"/>
              <w:jc w:val="both"/>
            </w:pPr>
            <w:r>
              <w:rPr>
                <w:sz w:val="16"/>
              </w:rPr>
            </w:r>
            <w:hyperlink w:history="0" w:anchor="P1086" w:tooltip="2. Государства-члены ЕС гарантируют проведение мониторинга выбросов в воздух, позволяющего компетентному органу осуществлять проверки соблюдения условий разрешения и статьи 69 настоящей Директивы. Такой мониторинг должен включать, как минимум мониторинг выбросов, как предусмотрено частью 3 Приложения VIII к настоящей Директиве.">
              <w:r>
                <w:rPr>
                  <w:sz w:val="16"/>
                  <w:color w:val="0000ff"/>
                </w:rPr>
                <w:t xml:space="preserve">второе</w:t>
              </w:r>
            </w:hyperlink>
            <w:r>
              <w:rPr>
                <w:sz w:val="16"/>
              </w:rPr>
            </w:r>
          </w:p>
          <w:p>
            <w:pPr>
              <w:pStyle w:val="1"/>
              <w:jc w:val="both"/>
            </w:pPr>
            <w:r>
              <w:rPr>
                <w:sz w:val="16"/>
              </w:rPr>
              <w:t xml:space="preserve">предложение и</w:t>
            </w:r>
          </w:p>
          <w:p>
            <w:pPr>
              <w:pStyle w:val="1"/>
              <w:jc w:val="both"/>
            </w:pPr>
            <w:r>
              <w:rPr>
                <w:sz w:val="16"/>
              </w:rPr>
            </w:r>
            <w:hyperlink w:history="0" w:anchor="P1087" w:tooltip="3. Мониторинг проводится в соответствии со стандартами Европейского комитета по стандартизации (стандартами CEN) или, при невозможности применения стандартов CEN, в соответствии с международными стандартами (ISO), национальными или иными международными стандартами, которые гарантируют предоставление научных сведений эквивалентного качества.">
              <w:r>
                <w:rPr>
                  <w:sz w:val="16"/>
                  <w:color w:val="0000ff"/>
                </w:rPr>
                <w:t xml:space="preserve">70 (3)</w:t>
              </w:r>
            </w:hyperlink>
            <w:r>
              <w:rPr>
                <w:sz w:val="16"/>
              </w:rPr>
            </w:r>
          </w:p>
        </w:tc>
      </w:tr>
      <w:tr>
        <w:trPr>
          <w:trHeight w:val="210" w:hRule="atLeast"/>
        </w:trPr>
        <w:tc>
          <w:tcPr>
            <w:tcW w:w="1188" w:type="dxa"/>
            <w:tcBorders>
              <w:top w:val="nil"/>
            </w:tcBorders>
          </w:tcPr>
          <w:p>
            <w:pPr>
              <w:pStyle w:val="1"/>
              <w:jc w:val="both"/>
            </w:pPr>
            <w:r>
              <w:rPr>
                <w:sz w:val="16"/>
              </w:rPr>
              <w:t xml:space="preserve">Статья 8  </w:t>
            </w:r>
          </w:p>
          <w:p>
            <w:pPr>
              <w:pStyle w:val="1"/>
              <w:jc w:val="both"/>
            </w:pPr>
            <w:r>
              <w:rPr>
                <w:sz w:val="16"/>
              </w:rPr>
              <w:t xml:space="preserve">(1)       </w:t>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t xml:space="preserve">Статья 8  </w:t>
            </w:r>
          </w:p>
          <w:p>
            <w:pPr>
              <w:pStyle w:val="1"/>
              <w:jc w:val="both"/>
            </w:pPr>
            <w:r>
              <w:rPr>
                <w:sz w:val="16"/>
              </w:rPr>
              <w:t xml:space="preserve">(2)       </w:t>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26    </w:t>
            </w:r>
          </w:p>
          <w:p>
            <w:pPr>
              <w:pStyle w:val="1"/>
              <w:jc w:val="both"/>
            </w:pPr>
            <w:r>
              <w:rPr>
                <w:sz w:val="16"/>
              </w:rPr>
            </w:r>
            <w:hyperlink w:history="0" w:anchor="P562" w:tooltip="Такая информация служит основой проведения любых консультаций в рамках двусторонних отношений между государствами-членами ЕС на взаимной и эквивалентной основе.">
              <w:r>
                <w:rPr>
                  <w:sz w:val="16"/>
                  <w:color w:val="0000ff"/>
                </w:rPr>
                <w:t xml:space="preserve">(1), второй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t xml:space="preserve">Статья 9  </w:t>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t xml:space="preserve">Статья 10 </w:t>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t xml:space="preserve">Статья 11 </w:t>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320" w:tooltip="Статья 12">
              <w:r>
                <w:rPr>
                  <w:sz w:val="16"/>
                  <w:color w:val="0000ff"/>
                </w:rPr>
                <w:t xml:space="preserve">Статья 12</w:t>
              </w:r>
            </w:hyperlink>
            <w:r>
              <w:rPr>
                <w:sz w:val="16"/>
              </w:rPr>
            </w:r>
          </w:p>
        </w:tc>
      </w:tr>
      <w:tr>
        <w:trPr>
          <w:trHeight w:val="210" w:hRule="atLeast"/>
        </w:trPr>
        <w:tc>
          <w:tcPr>
            <w:tcW w:w="1188" w:type="dxa"/>
            <w:tcBorders>
              <w:top w:val="nil"/>
            </w:tcBorders>
          </w:tcPr>
          <w:p>
            <w:pPr>
              <w:pStyle w:val="1"/>
              <w:jc w:val="both"/>
            </w:pPr>
            <w:r>
              <w:rPr>
                <w:sz w:val="16"/>
              </w:rPr>
              <w:t xml:space="preserve">Статья 12 </w:t>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t xml:space="preserve">Статья 13 </w:t>
            </w:r>
          </w:p>
          <w:p>
            <w:pPr>
              <w:pStyle w:val="1"/>
              <w:jc w:val="both"/>
            </w:pPr>
            <w:r>
              <w:rPr>
                <w:sz w:val="16"/>
              </w:rPr>
              <w:t xml:space="preserve">(1)       </w:t>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17   </w:t>
            </w:r>
          </w:p>
          <w:p>
            <w:pPr>
              <w:pStyle w:val="1"/>
              <w:jc w:val="both"/>
            </w:pPr>
            <w:r>
              <w:rPr>
                <w:sz w:val="16"/>
              </w:rPr>
              <w:t xml:space="preserve">(1), первый </w:t>
            </w:r>
          </w:p>
          <w:p>
            <w:pPr>
              <w:pStyle w:val="1"/>
              <w:jc w:val="both"/>
            </w:pPr>
            <w:r>
              <w:rPr>
                <w:sz w:val="16"/>
              </w:rPr>
            </w:r>
            <w:hyperlink w:history="0" r:id="rId127"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подпараграф</w:t>
              </w:r>
            </w:hyperlink>
            <w:r>
              <w:rPr>
                <w:sz w:val="16"/>
              </w:rPr>
              <w:t xml:space="preserve">,</w:t>
            </w:r>
          </w:p>
          <w:p>
            <w:pPr>
              <w:pStyle w:val="1"/>
              <w:jc w:val="both"/>
            </w:pPr>
            <w:r>
              <w:rPr>
                <w:sz w:val="16"/>
              </w:rPr>
              <w:t xml:space="preserve">и </w:t>
            </w:r>
            <w:hyperlink w:history="0" r:id="rId128"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17 (3)</w:t>
              </w:r>
            </w:hyperlink>
            <w:r>
              <w:rPr>
                <w:sz w:val="16"/>
              </w:rPr>
              <w:t xml:space="preserve">,   </w:t>
            </w:r>
          </w:p>
          <w:p>
            <w:pPr>
              <w:pStyle w:val="1"/>
              <w:jc w:val="both"/>
            </w:pPr>
            <w:r>
              <w:rPr>
                <w:sz w:val="16"/>
              </w:rPr>
              <w:t xml:space="preserve">первый      </w:t>
            </w:r>
          </w:p>
          <w:p>
            <w:pPr>
              <w:pStyle w:val="1"/>
              <w:jc w:val="both"/>
            </w:pPr>
            <w:r>
              <w:rPr>
                <w:sz w:val="16"/>
              </w:rPr>
              <w:t xml:space="preserve">подпараграф,</w:t>
            </w:r>
          </w:p>
          <w:p>
            <w:pPr>
              <w:pStyle w:val="1"/>
              <w:jc w:val="both"/>
            </w:pPr>
            <w:r>
              <w:rPr>
                <w:sz w:val="16"/>
              </w:rPr>
              <w:t xml:space="preserve">первое      </w:t>
            </w:r>
          </w:p>
          <w:p>
            <w:pPr>
              <w:pStyle w:val="1"/>
              <w:jc w:val="both"/>
            </w:pPr>
            <w:r>
              <w:rPr>
                <w:sz w:val="16"/>
              </w:rPr>
              <w:t xml:space="preserve">предложение </w:t>
            </w:r>
          </w:p>
        </w:tc>
        <w:tc>
          <w:tcPr>
            <w:tcW w:w="1584" w:type="dxa"/>
            <w:tcBorders>
              <w:top w:val="nil"/>
            </w:tcBorders>
          </w:tcPr>
          <w:p>
            <w:pPr>
              <w:pStyle w:val="1"/>
              <w:jc w:val="both"/>
            </w:pPr>
            <w:r>
              <w:rPr>
                <w:sz w:val="16"/>
              </w:rPr>
            </w:r>
            <w:hyperlink w:history="0" r:id="rId129"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11 (1)</w:t>
              </w:r>
            </w:hyperlink>
            <w:r>
              <w:rPr>
                <w:sz w:val="16"/>
              </w:rPr>
              <w:t xml:space="preserve">,</w:t>
            </w:r>
          </w:p>
          <w:p>
            <w:pPr>
              <w:pStyle w:val="1"/>
              <w:jc w:val="both"/>
            </w:pPr>
            <w:r>
              <w:rPr>
                <w:sz w:val="16"/>
              </w:rPr>
              <w:t xml:space="preserve">первое        </w:t>
            </w:r>
          </w:p>
          <w:p>
            <w:pPr>
              <w:pStyle w:val="1"/>
              <w:jc w:val="both"/>
            </w:pPr>
            <w:r>
              <w:rPr>
                <w:sz w:val="16"/>
              </w:rPr>
              <w:t xml:space="preserve">предложение и </w:t>
            </w:r>
          </w:p>
          <w:p>
            <w:pPr>
              <w:pStyle w:val="1"/>
              <w:jc w:val="both"/>
            </w:pPr>
            <w:r>
              <w:rPr>
                <w:sz w:val="16"/>
              </w:rPr>
            </w:r>
            <w:hyperlink w:history="0" r:id="rId130"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11 (2)</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72    </w:t>
            </w:r>
          </w:p>
          <w:p>
            <w:pPr>
              <w:pStyle w:val="1"/>
              <w:jc w:val="both"/>
            </w:pPr>
            <w:r>
              <w:rPr>
                <w:sz w:val="16"/>
              </w:rPr>
            </w:r>
            <w:hyperlink w:history="0" w:anchor="P1101" w:tooltip="1. Государства-члены ЕС обеспечивают предоставление Европейской комиссии информации об имплементации настоящей Директивы, репрезентативных данных о выбросах и иных формах загрязнения, о пороговых значениях выбросов, о применении наилучших доступных технологий в соответствии со статьями 14 и 15 настоящей Директивы, в частности, о предоставлении исключений в соответствии со статьей 15 (4) настоящей Директивы, а также об успехах, достигнутых в развитии и применении новых технологий в соответствии со статьей...">
              <w:r>
                <w:rPr>
                  <w:sz w:val="16"/>
                  <w:color w:val="0000ff"/>
                </w:rPr>
                <w:t xml:space="preserve">(1), первое</w:t>
              </w:r>
            </w:hyperlink>
            <w:r>
              <w:rPr>
                <w:sz w:val="16"/>
              </w:rPr>
            </w:r>
          </w:p>
          <w:p>
            <w:pPr>
              <w:pStyle w:val="1"/>
              <w:jc w:val="both"/>
            </w:pPr>
            <w:r>
              <w:rPr>
                <w:sz w:val="16"/>
              </w:rPr>
              <w:t xml:space="preserve">предложение  </w:t>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72    </w:t>
            </w:r>
          </w:p>
          <w:p>
            <w:pPr>
              <w:pStyle w:val="1"/>
              <w:jc w:val="both"/>
            </w:pPr>
            <w:r>
              <w:rPr>
                <w:sz w:val="16"/>
              </w:rPr>
            </w:r>
            <w:hyperlink w:history="0" w:anchor="P1101" w:tooltip="1. Государства-члены ЕС обеспечивают предоставление Европейской комиссии информации об имплементации настоящей Директивы, репрезентативных данных о выбросах и иных формах загрязнения, о пороговых значениях выбросов, о применении наилучших доступных технологий в соответствии со статьями 14 и 15 настоящей Директивы, в частности, о предоставлении исключений в соответствии со статьей 15 (4) настоящей Директивы, а также об успехах, достигнутых в развитии и применении новых технологий в соответствии со статьей...">
              <w:r>
                <w:rPr>
                  <w:sz w:val="16"/>
                  <w:color w:val="0000ff"/>
                </w:rPr>
                <w:t xml:space="preserve">(1), второе</w:t>
              </w:r>
            </w:hyperlink>
            <w:r>
              <w:rPr>
                <w:sz w:val="16"/>
              </w:rPr>
            </w:r>
          </w:p>
          <w:p>
            <w:pPr>
              <w:pStyle w:val="1"/>
              <w:jc w:val="both"/>
            </w:pPr>
            <w:r>
              <w:rPr>
                <w:sz w:val="16"/>
              </w:rPr>
              <w:t xml:space="preserve">предложение  </w:t>
            </w:r>
          </w:p>
        </w:tc>
      </w:tr>
      <w:tr>
        <w:trPr>
          <w:trHeight w:val="210" w:hRule="atLeast"/>
        </w:trPr>
        <w:tc>
          <w:tcPr>
            <w:tcW w:w="1188" w:type="dxa"/>
            <w:tcBorders>
              <w:top w:val="nil"/>
            </w:tcBorders>
          </w:tcPr>
          <w:p>
            <w:pPr>
              <w:pStyle w:val="1"/>
              <w:jc w:val="both"/>
            </w:pPr>
            <w:r>
              <w:rPr>
                <w:sz w:val="16"/>
              </w:rPr>
              <w:t xml:space="preserve">Статья 13 </w:t>
            </w:r>
          </w:p>
          <w:p>
            <w:pPr>
              <w:pStyle w:val="1"/>
              <w:jc w:val="both"/>
            </w:pPr>
            <w:r>
              <w:rPr>
                <w:sz w:val="16"/>
              </w:rPr>
              <w:t xml:space="preserve">(2), (3) и</w:t>
            </w:r>
          </w:p>
          <w:p>
            <w:pPr>
              <w:pStyle w:val="1"/>
              <w:jc w:val="both"/>
            </w:pPr>
            <w:r>
              <w:rPr>
                <w:sz w:val="16"/>
              </w:rPr>
              <w:t xml:space="preserve">(4)       </w:t>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t xml:space="preserve">Статья 14 </w:t>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t xml:space="preserve">Статья 15 </w:t>
            </w:r>
          </w:p>
        </w:tc>
        <w:tc>
          <w:tcPr>
            <w:tcW w:w="1287" w:type="dxa"/>
            <w:tcBorders>
              <w:top w:val="nil"/>
            </w:tcBorders>
          </w:tcPr>
          <w:p>
            <w:pPr>
              <w:pStyle w:val="1"/>
              <w:jc w:val="both"/>
            </w:pPr>
            <w:r>
              <w:rPr>
                <w:sz w:val="16"/>
              </w:rPr>
              <w:t xml:space="preserve">Статья 14  </w:t>
            </w:r>
          </w:p>
        </w:tc>
        <w:tc>
          <w:tcPr>
            <w:tcW w:w="1188" w:type="dxa"/>
            <w:tcBorders>
              <w:top w:val="nil"/>
            </w:tcBorders>
          </w:tcPr>
          <w:p>
            <w:pPr>
              <w:pStyle w:val="1"/>
              <w:jc w:val="both"/>
            </w:pPr>
            <w:r>
              <w:rPr>
                <w:sz w:val="16"/>
              </w:rPr>
              <w:t xml:space="preserve">Статья 12 </w:t>
            </w:r>
          </w:p>
        </w:tc>
        <w:tc>
          <w:tcPr>
            <w:tcW w:w="1386" w:type="dxa"/>
            <w:tcBorders>
              <w:top w:val="nil"/>
            </w:tcBorders>
          </w:tcPr>
          <w:p>
            <w:pPr>
              <w:pStyle w:val="1"/>
              <w:jc w:val="both"/>
            </w:pPr>
            <w:r>
              <w:rPr>
                <w:sz w:val="16"/>
              </w:rPr>
            </w:r>
            <w:hyperlink w:history="0" r:id="rId131"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21</w:t>
              </w:r>
            </w:hyperlink>
            <w:r>
              <w:rPr>
                <w:sz w:val="16"/>
              </w:rPr>
            </w:r>
          </w:p>
        </w:tc>
        <w:tc>
          <w:tcPr>
            <w:tcW w:w="1584" w:type="dxa"/>
            <w:tcBorders>
              <w:top w:val="nil"/>
            </w:tcBorders>
          </w:tcPr>
          <w:p>
            <w:pPr>
              <w:pStyle w:val="1"/>
              <w:jc w:val="both"/>
            </w:pPr>
            <w:r>
              <w:rPr>
                <w:sz w:val="16"/>
              </w:rPr>
            </w:r>
            <w:hyperlink w:history="0" r:id="rId132"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15</w:t>
              </w:r>
            </w:hyperlink>
            <w:r>
              <w:rPr>
                <w:sz w:val="16"/>
              </w:rPr>
            </w:r>
          </w:p>
        </w:tc>
        <w:tc>
          <w:tcPr>
            <w:tcW w:w="1485" w:type="dxa"/>
            <w:tcBorders>
              <w:top w:val="nil"/>
            </w:tcBorders>
          </w:tcPr>
          <w:p>
            <w:pPr>
              <w:pStyle w:val="1"/>
              <w:jc w:val="both"/>
            </w:pPr>
            <w:r>
              <w:rPr>
                <w:sz w:val="16"/>
              </w:rPr>
            </w:r>
            <w:hyperlink w:history="0" r:id="rId133"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21</w:t>
              </w:r>
            </w:hyperlink>
            <w:r>
              <w:rPr>
                <w:sz w:val="16"/>
              </w:rPr>
            </w:r>
          </w:p>
        </w:tc>
        <w:tc>
          <w:tcPr>
            <w:tcW w:w="1386" w:type="dxa"/>
            <w:tcBorders>
              <w:top w:val="nil"/>
            </w:tcBorders>
          </w:tcPr>
          <w:p>
            <w:pPr>
              <w:pStyle w:val="1"/>
              <w:jc w:val="both"/>
            </w:pPr>
            <w:r>
              <w:rPr>
                <w:sz w:val="16"/>
              </w:rPr>
              <w:t xml:space="preserve">Статья 18   </w:t>
            </w:r>
          </w:p>
          <w:p>
            <w:pPr>
              <w:pStyle w:val="1"/>
              <w:jc w:val="both"/>
            </w:pPr>
            <w:r>
              <w:rPr>
                <w:sz w:val="16"/>
              </w:rPr>
            </w:r>
            <w:hyperlink w:history="0" r:id="rId134"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(1)</w:t>
              </w:r>
            </w:hyperlink>
            <w:r>
              <w:rPr>
                <w:sz w:val="16"/>
              </w:rPr>
              <w:t xml:space="preserve"> и </w:t>
            </w:r>
            <w:hyperlink w:history="0" r:id="rId135"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(3)</w:t>
              </w:r>
            </w:hyperlink>
            <w:r>
              <w:rPr>
                <w:sz w:val="16"/>
              </w:rPr>
            </w:r>
          </w:p>
        </w:tc>
        <w:tc>
          <w:tcPr>
            <w:tcW w:w="1485" w:type="dxa"/>
            <w:tcBorders>
              <w:top w:val="nil"/>
            </w:tcBorders>
          </w:tcPr>
          <w:p>
            <w:pPr>
              <w:pStyle w:val="1"/>
              <w:jc w:val="both"/>
            </w:pPr>
            <w:r>
              <w:rPr>
                <w:sz w:val="16"/>
              </w:rPr>
            </w:r>
            <w:hyperlink w:history="0" w:anchor="P1185" w:tooltip="Статья 80">
              <w:r>
                <w:rPr>
                  <w:sz w:val="16"/>
                  <w:color w:val="0000ff"/>
                </w:rPr>
                <w:t xml:space="preserve">Статья 80</w:t>
              </w:r>
            </w:hyperlink>
            <w:r>
              <w:rPr>
                <w:sz w:val="16"/>
              </w:rPr>
            </w:r>
          </w:p>
        </w:tc>
      </w:tr>
      <w:tr>
        <w:trPr>
          <w:trHeight w:val="210" w:hRule="atLeast"/>
        </w:trPr>
        <w:tc>
          <w:tcPr>
            <w:tcW w:w="1188" w:type="dxa"/>
            <w:tcBorders>
              <w:top w:val="nil"/>
            </w:tcBorders>
          </w:tcPr>
          <w:p>
            <w:pPr>
              <w:pStyle w:val="1"/>
              <w:jc w:val="both"/>
            </w:pPr>
            <w:r>
              <w:rPr>
                <w:sz w:val="16"/>
              </w:rPr>
              <w:t xml:space="preserve">Статья 16 </w:t>
            </w:r>
          </w:p>
        </w:tc>
        <w:tc>
          <w:tcPr>
            <w:tcW w:w="1287" w:type="dxa"/>
            <w:tcBorders>
              <w:top w:val="nil"/>
            </w:tcBorders>
          </w:tcPr>
          <w:p>
            <w:pPr>
              <w:pStyle w:val="1"/>
              <w:jc w:val="both"/>
            </w:pPr>
            <w:r>
              <w:rPr>
                <w:sz w:val="16"/>
              </w:rPr>
              <w:t xml:space="preserve">Статья 15  </w:t>
            </w:r>
          </w:p>
        </w:tc>
        <w:tc>
          <w:tcPr>
            <w:tcW w:w="1188" w:type="dxa"/>
            <w:tcBorders>
              <w:top w:val="nil"/>
            </w:tcBorders>
          </w:tcPr>
          <w:p>
            <w:pPr>
              <w:pStyle w:val="1"/>
              <w:jc w:val="both"/>
            </w:pPr>
            <w:r>
              <w:rPr>
                <w:sz w:val="16"/>
              </w:rPr>
              <w:t xml:space="preserve">Статья 13 </w:t>
            </w:r>
          </w:p>
        </w:tc>
        <w:tc>
          <w:tcPr>
            <w:tcW w:w="1386" w:type="dxa"/>
            <w:tcBorders>
              <w:top w:val="nil"/>
            </w:tcBorders>
          </w:tcPr>
          <w:p>
            <w:pPr>
              <w:pStyle w:val="1"/>
              <w:jc w:val="both"/>
            </w:pPr>
            <w:r>
              <w:rPr>
                <w:sz w:val="16"/>
              </w:rPr>
            </w:r>
            <w:hyperlink w:history="0" r:id="rId136"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23</w:t>
              </w:r>
            </w:hyperlink>
            <w:r>
              <w:rPr>
                <w:sz w:val="16"/>
              </w:rPr>
            </w:r>
          </w:p>
        </w:tc>
        <w:tc>
          <w:tcPr>
            <w:tcW w:w="1584" w:type="dxa"/>
            <w:tcBorders>
              <w:top w:val="nil"/>
            </w:tcBorders>
          </w:tcPr>
          <w:p>
            <w:pPr>
              <w:pStyle w:val="1"/>
              <w:jc w:val="both"/>
            </w:pPr>
            <w:r>
              <w:rPr>
                <w:sz w:val="16"/>
              </w:rPr>
            </w:r>
            <w:hyperlink w:history="0" r:id="rId137"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17</w:t>
              </w:r>
            </w:hyperlink>
            <w:r>
              <w:rPr>
                <w:sz w:val="16"/>
              </w:rPr>
            </w:r>
          </w:p>
        </w:tc>
        <w:tc>
          <w:tcPr>
            <w:tcW w:w="1485" w:type="dxa"/>
            <w:tcBorders>
              <w:top w:val="nil"/>
            </w:tcBorders>
          </w:tcPr>
          <w:p>
            <w:pPr>
              <w:pStyle w:val="1"/>
              <w:jc w:val="both"/>
            </w:pPr>
            <w:r>
              <w:rPr>
                <w:sz w:val="16"/>
              </w:rPr>
            </w:r>
            <w:hyperlink w:history="0" r:id="rId138"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23</w:t>
              </w:r>
            </w:hyperlink>
            <w:r>
              <w:rPr>
                <w:sz w:val="16"/>
              </w:rPr>
            </w:r>
          </w:p>
        </w:tc>
        <w:tc>
          <w:tcPr>
            <w:tcW w:w="1386" w:type="dxa"/>
            <w:tcBorders>
              <w:top w:val="nil"/>
            </w:tcBorders>
          </w:tcPr>
          <w:p>
            <w:pPr>
              <w:pStyle w:val="1"/>
              <w:jc w:val="both"/>
            </w:pPr>
            <w:r>
              <w:rPr>
                <w:sz w:val="16"/>
              </w:rPr>
            </w:r>
            <w:hyperlink w:history="0" r:id="rId139"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Статья 20</w:t>
              </w:r>
            </w:hyperlink>
            <w:r>
              <w:rPr>
                <w:sz w:val="16"/>
              </w:rPr>
            </w:r>
          </w:p>
        </w:tc>
        <w:tc>
          <w:tcPr>
            <w:tcW w:w="1485" w:type="dxa"/>
            <w:tcBorders>
              <w:top w:val="nil"/>
            </w:tcBorders>
          </w:tcPr>
          <w:p>
            <w:pPr>
              <w:pStyle w:val="1"/>
              <w:jc w:val="both"/>
            </w:pPr>
            <w:r>
              <w:rPr>
                <w:sz w:val="16"/>
              </w:rPr>
            </w:r>
            <w:hyperlink w:history="0" w:anchor="P1234" w:tooltip="Статья 84">
              <w:r>
                <w:rPr>
                  <w:sz w:val="16"/>
                  <w:color w:val="0000ff"/>
                </w:rPr>
                <w:t xml:space="preserve">Статья 84</w:t>
              </w:r>
            </w:hyperlink>
            <w:r>
              <w:rPr>
                <w:sz w:val="16"/>
              </w:rPr>
            </w:r>
          </w:p>
        </w:tc>
      </w:tr>
      <w:tr>
        <w:trPr>
          <w:trHeight w:val="210" w:hRule="atLeast"/>
        </w:trPr>
        <w:tc>
          <w:tcPr>
            <w:tcW w:w="1188" w:type="dxa"/>
            <w:tcBorders>
              <w:top w:val="nil"/>
            </w:tcBorders>
          </w:tcPr>
          <w:p>
            <w:pPr>
              <w:pStyle w:val="1"/>
              <w:jc w:val="both"/>
            </w:pPr>
            <w:r>
              <w:rPr>
                <w:sz w:val="16"/>
              </w:rPr>
              <w:t xml:space="preserve">Приложение</w:t>
            </w:r>
          </w:p>
          <w:p>
            <w:pPr>
              <w:pStyle w:val="1"/>
              <w:jc w:val="both"/>
            </w:pPr>
            <w:r>
              <w:rPr>
                <w:sz w:val="16"/>
              </w:rPr>
              <w:t xml:space="preserve">I         </w:t>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t xml:space="preserve">Приложение</w:t>
            </w:r>
          </w:p>
          <w:p>
            <w:pPr>
              <w:pStyle w:val="1"/>
              <w:jc w:val="both"/>
            </w:pPr>
            <w:r>
              <w:rPr>
                <w:sz w:val="16"/>
              </w:rPr>
              <w:t xml:space="preserve">II, раздел</w:t>
            </w:r>
          </w:p>
          <w:p>
            <w:pPr>
              <w:pStyle w:val="1"/>
              <w:jc w:val="both"/>
            </w:pPr>
            <w:r>
              <w:rPr>
                <w:sz w:val="16"/>
              </w:rPr>
              <w:t xml:space="preserve">A вводная </w:t>
            </w:r>
          </w:p>
          <w:p>
            <w:pPr>
              <w:pStyle w:val="1"/>
              <w:jc w:val="both"/>
            </w:pPr>
            <w:r>
              <w:rPr>
                <w:sz w:val="16"/>
              </w:rPr>
              <w:t xml:space="preserve">фраза и   </w:t>
            </w:r>
          </w:p>
          <w:p>
            <w:pPr>
              <w:pStyle w:val="1"/>
              <w:jc w:val="both"/>
            </w:pPr>
            <w:r>
              <w:rPr>
                <w:sz w:val="16"/>
              </w:rPr>
              <w:t xml:space="preserve">пункт 1   </w:t>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t xml:space="preserve">Приложение</w:t>
            </w:r>
          </w:p>
          <w:p>
            <w:pPr>
              <w:pStyle w:val="1"/>
              <w:jc w:val="both"/>
            </w:pPr>
            <w:r>
              <w:rPr>
                <w:sz w:val="16"/>
              </w:rPr>
              <w:t xml:space="preserve">II раздел </w:t>
            </w:r>
          </w:p>
          <w:p>
            <w:pPr>
              <w:pStyle w:val="1"/>
              <w:jc w:val="both"/>
            </w:pPr>
            <w:r>
              <w:rPr>
                <w:sz w:val="16"/>
              </w:rPr>
              <w:t xml:space="preserve">A пункт 2 </w:t>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t xml:space="preserve">Приложение</w:t>
            </w:r>
          </w:p>
          <w:p>
            <w:pPr>
              <w:pStyle w:val="1"/>
              <w:jc w:val="both"/>
            </w:pPr>
            <w:r>
              <w:rPr>
                <w:sz w:val="16"/>
              </w:rPr>
              <w:t xml:space="preserve">II раздел </w:t>
            </w:r>
          </w:p>
          <w:p>
            <w:pPr>
              <w:pStyle w:val="1"/>
              <w:jc w:val="both"/>
            </w:pPr>
            <w:r>
              <w:rPr>
                <w:sz w:val="16"/>
              </w:rPr>
              <w:t xml:space="preserve">B         </w:t>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t xml:space="preserve">Статья 2   </w:t>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t xml:space="preserve">Статья 3   </w:t>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t xml:space="preserve">Статья 4   </w:t>
            </w:r>
          </w:p>
          <w:p>
            <w:pPr>
              <w:pStyle w:val="1"/>
              <w:jc w:val="both"/>
            </w:pPr>
            <w:r>
              <w:rPr>
                <w:sz w:val="16"/>
              </w:rPr>
              <w:t xml:space="preserve">(1) и 4    </w:t>
            </w:r>
          </w:p>
          <w:p>
            <w:pPr>
              <w:pStyle w:val="1"/>
              <w:jc w:val="both"/>
            </w:pPr>
            <w:r>
              <w:rPr>
                <w:sz w:val="16"/>
              </w:rPr>
              <w:t xml:space="preserve">(2), первый</w:t>
            </w:r>
          </w:p>
          <w:p>
            <w:pPr>
              <w:pStyle w:val="1"/>
              <w:jc w:val="both"/>
            </w:pPr>
            <w:r>
              <w:rPr>
                <w:sz w:val="16"/>
              </w:rPr>
              <w:t xml:space="preserve">подпараграф</w:t>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t xml:space="preserve">Статья 4   </w:t>
            </w:r>
          </w:p>
          <w:p>
            <w:pPr>
              <w:pStyle w:val="1"/>
              <w:jc w:val="both"/>
            </w:pPr>
            <w:r>
              <w:rPr>
                <w:sz w:val="16"/>
              </w:rPr>
              <w:t xml:space="preserve">(2), второй</w:t>
            </w:r>
          </w:p>
          <w:p>
            <w:pPr>
              <w:pStyle w:val="1"/>
              <w:jc w:val="both"/>
            </w:pPr>
            <w:r>
              <w:rPr>
                <w:sz w:val="16"/>
              </w:rPr>
              <w:t xml:space="preserve">подпараграф</w:t>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t xml:space="preserve">Статья 4   </w:t>
            </w:r>
          </w:p>
          <w:p>
            <w:pPr>
              <w:pStyle w:val="1"/>
              <w:jc w:val="both"/>
            </w:pPr>
            <w:r>
              <w:rPr>
                <w:sz w:val="16"/>
              </w:rPr>
              <w:t xml:space="preserve">(3) и (4)  </w:t>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t xml:space="preserve">Статья 5   </w:t>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t xml:space="preserve">Статья 6   </w:t>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t xml:space="preserve">Статья 7   </w:t>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t xml:space="preserve">Статья 8   </w:t>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t xml:space="preserve">Статья 9   </w:t>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t xml:space="preserve">Статья 10  </w:t>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t xml:space="preserve">Статья 11  </w:t>
            </w:r>
          </w:p>
          <w:p>
            <w:pPr>
              <w:pStyle w:val="1"/>
              <w:jc w:val="both"/>
            </w:pPr>
            <w:r>
              <w:rPr>
                <w:sz w:val="16"/>
              </w:rPr>
              <w:t xml:space="preserve">(1)        </w:t>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140"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13 (1)</w:t>
              </w:r>
            </w:hyperlink>
            <w:r>
              <w:rPr>
                <w:sz w:val="16"/>
              </w:rPr>
            </w:r>
          </w:p>
        </w:tc>
        <w:tc>
          <w:tcPr>
            <w:tcW w:w="1485" w:type="dxa"/>
            <w:tcBorders>
              <w:top w:val="nil"/>
            </w:tcBorders>
          </w:tcPr>
          <w:p>
            <w:pPr>
              <w:pStyle w:val="1"/>
              <w:jc w:val="both"/>
            </w:pPr>
            <w:r>
              <w:rPr>
                <w:sz w:val="16"/>
              </w:rPr>
            </w:r>
            <w:hyperlink w:history="0" r:id="rId141"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17 (1)</w:t>
              </w:r>
            </w:hyperlink>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149" w:tooltip="1. Европейской комиссии содействует комитет.">
              <w:r>
                <w:rPr>
                  <w:sz w:val="16"/>
                  <w:color w:val="0000ff"/>
                </w:rPr>
                <w:t xml:space="preserve">Статья 75 (1)</w:t>
              </w:r>
            </w:hyperlink>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r>
            <w:hyperlink w:history="0" w:anchor="P1150" w:tooltip="2. При любых ссылках на настоящий параграф применяются положения статьи 5 и 7 Решения 1999/468/ЕС с учетом положений статьи 8 названного Решения.">
              <w:r>
                <w:rPr>
                  <w:sz w:val="16"/>
                  <w:color w:val="0000ff"/>
                </w:rPr>
                <w:t xml:space="preserve">Статья 75 (2)</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t xml:space="preserve">Статья 11  </w:t>
            </w:r>
          </w:p>
          <w:p>
            <w:pPr>
              <w:pStyle w:val="1"/>
              <w:jc w:val="both"/>
            </w:pPr>
            <w:r>
              <w:rPr>
                <w:sz w:val="16"/>
              </w:rPr>
              <w:t xml:space="preserve">(2)        </w:t>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142"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17 (2)</w:t>
              </w:r>
            </w:hyperlink>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t xml:space="preserve">Статья 11  </w:t>
            </w:r>
          </w:p>
          <w:p>
            <w:pPr>
              <w:pStyle w:val="1"/>
              <w:jc w:val="both"/>
            </w:pPr>
            <w:r>
              <w:rPr>
                <w:sz w:val="16"/>
              </w:rPr>
              <w:t xml:space="preserve">(3)        </w:t>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t xml:space="preserve">Статья 12  </w:t>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t xml:space="preserve">Статья 13  </w:t>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t xml:space="preserve">Приложение </w:t>
            </w:r>
          </w:p>
          <w:p>
            <w:pPr>
              <w:pStyle w:val="1"/>
              <w:jc w:val="both"/>
            </w:pPr>
            <w:r>
              <w:rPr>
                <w:sz w:val="16"/>
              </w:rPr>
              <w:t xml:space="preserve">I          </w:t>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t xml:space="preserve">Приложение </w:t>
            </w:r>
          </w:p>
          <w:p>
            <w:pPr>
              <w:pStyle w:val="1"/>
              <w:jc w:val="both"/>
            </w:pPr>
            <w:r>
              <w:rPr>
                <w:sz w:val="16"/>
              </w:rPr>
              <w:t xml:space="preserve">II         </w:t>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t xml:space="preserve">Приложение </w:t>
            </w:r>
          </w:p>
          <w:p>
            <w:pPr>
              <w:pStyle w:val="1"/>
              <w:jc w:val="both"/>
            </w:pPr>
            <w:r>
              <w:rPr>
                <w:sz w:val="16"/>
              </w:rPr>
              <w:t xml:space="preserve">III        </w:t>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t xml:space="preserve">Приложение </w:t>
            </w:r>
          </w:p>
          <w:p>
            <w:pPr>
              <w:pStyle w:val="1"/>
              <w:jc w:val="both"/>
            </w:pPr>
            <w:r>
              <w:rPr>
                <w:sz w:val="16"/>
              </w:rPr>
              <w:t xml:space="preserve">IV         </w:t>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t xml:space="preserve">Приложение </w:t>
            </w:r>
          </w:p>
          <w:p>
            <w:pPr>
              <w:pStyle w:val="1"/>
              <w:jc w:val="both"/>
            </w:pPr>
            <w:r>
              <w:rPr>
                <w:sz w:val="16"/>
              </w:rPr>
              <w:t xml:space="preserve">V          </w:t>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2  </w:t>
            </w:r>
          </w:p>
          <w:p>
            <w:pPr>
              <w:pStyle w:val="1"/>
              <w:jc w:val="both"/>
            </w:pPr>
            <w:r>
              <w:rPr>
                <w:sz w:val="16"/>
              </w:rPr>
              <w:t xml:space="preserve">(1),      </w:t>
            </w:r>
          </w:p>
          <w:p>
            <w:pPr>
              <w:pStyle w:val="1"/>
              <w:jc w:val="both"/>
            </w:pPr>
            <w:r>
              <w:rPr>
                <w:sz w:val="16"/>
              </w:rPr>
              <w:t xml:space="preserve">вводная   </w:t>
            </w:r>
          </w:p>
          <w:p>
            <w:pPr>
              <w:pStyle w:val="1"/>
              <w:jc w:val="both"/>
            </w:pPr>
            <w:r>
              <w:rPr>
                <w:sz w:val="16"/>
              </w:rPr>
              <w:t xml:space="preserve">фраза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2  </w:t>
            </w:r>
          </w:p>
          <w:p>
            <w:pPr>
              <w:pStyle w:val="1"/>
              <w:jc w:val="both"/>
            </w:pPr>
            <w:r>
              <w:rPr>
                <w:sz w:val="16"/>
              </w:rPr>
              <w:t xml:space="preserve">(1) "a"   </w:t>
            </w:r>
          </w:p>
          <w:p>
            <w:pPr>
              <w:pStyle w:val="1"/>
              <w:jc w:val="both"/>
            </w:pPr>
            <w:r>
              <w:rPr>
                <w:sz w:val="16"/>
              </w:rPr>
              <w:t xml:space="preserve">вводная   </w:t>
            </w:r>
          </w:p>
          <w:p>
            <w:pPr>
              <w:pStyle w:val="1"/>
              <w:jc w:val="both"/>
            </w:pPr>
            <w:r>
              <w:rPr>
                <w:sz w:val="16"/>
              </w:rPr>
              <w:t xml:space="preserve">фраза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2  </w:t>
            </w:r>
          </w:p>
          <w:p>
            <w:pPr>
              <w:pStyle w:val="1"/>
              <w:jc w:val="both"/>
            </w:pPr>
            <w:r>
              <w:rPr>
                <w:sz w:val="16"/>
              </w:rPr>
              <w:t xml:space="preserve">(1) "a",  </w:t>
            </w:r>
          </w:p>
          <w:p>
            <w:pPr>
              <w:pStyle w:val="1"/>
              <w:jc w:val="both"/>
            </w:pPr>
            <w:r>
              <w:rPr>
                <w:sz w:val="16"/>
              </w:rPr>
              <w:t xml:space="preserve">первый    </w:t>
            </w:r>
          </w:p>
          <w:p>
            <w:pPr>
              <w:pStyle w:val="1"/>
              <w:jc w:val="both"/>
            </w:pPr>
            <w:r>
              <w:rPr>
                <w:sz w:val="16"/>
              </w:rPr>
              <w:t xml:space="preserve">абзац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67,   </w:t>
            </w:r>
          </w:p>
          <w:p>
            <w:pPr>
              <w:pStyle w:val="1"/>
              <w:jc w:val="both"/>
            </w:pPr>
            <w:r>
              <w:rPr>
                <w:sz w:val="16"/>
              </w:rPr>
            </w:r>
            <w:hyperlink w:history="0" w:anchor="P1063" w:tooltip="a) твердые отходы;">
              <w:r>
                <w:rPr>
                  <w:sz w:val="16"/>
                  <w:color w:val="0000ff"/>
                </w:rPr>
                <w:t xml:space="preserve">пункт "a"</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2  </w:t>
            </w:r>
          </w:p>
          <w:p>
            <w:pPr>
              <w:pStyle w:val="1"/>
              <w:jc w:val="both"/>
            </w:pPr>
            <w:r>
              <w:rPr>
                <w:sz w:val="16"/>
              </w:rPr>
              <w:t xml:space="preserve">(1) "a",  </w:t>
            </w:r>
          </w:p>
          <w:p>
            <w:pPr>
              <w:pStyle w:val="1"/>
              <w:jc w:val="both"/>
            </w:pPr>
            <w:r>
              <w:rPr>
                <w:sz w:val="16"/>
              </w:rPr>
              <w:t xml:space="preserve">второй    </w:t>
            </w:r>
          </w:p>
          <w:p>
            <w:pPr>
              <w:pStyle w:val="1"/>
              <w:jc w:val="both"/>
            </w:pPr>
            <w:r>
              <w:rPr>
                <w:sz w:val="16"/>
              </w:rPr>
              <w:t xml:space="preserve">абзац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67,   </w:t>
            </w:r>
          </w:p>
          <w:p>
            <w:pPr>
              <w:pStyle w:val="1"/>
              <w:jc w:val="both"/>
            </w:pPr>
            <w:r>
              <w:rPr>
                <w:sz w:val="16"/>
              </w:rPr>
            </w:r>
            <w:hyperlink w:history="0" w:anchor="P1064" w:tooltip="b) материнские растворы, возникающие в фазе фильтрации, следующей за процессом гидролиза раствора сульфата титанила из установок, использующих сульфатный способ, в том числе кислотные отходы, связанные с такими растворами, содержащие в совокупности более 0,5% свободной серной кислоты и различных тяжелых металлов, а также материнские растворы, разведенные таким образом, что они содержат 0,5% или менее свободной серной кислоты;">
              <w:r>
                <w:rPr>
                  <w:sz w:val="16"/>
                  <w:color w:val="0000ff"/>
                </w:rPr>
                <w:t xml:space="preserve">пункт "b"</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2  </w:t>
            </w:r>
          </w:p>
          <w:p>
            <w:pPr>
              <w:pStyle w:val="1"/>
              <w:jc w:val="both"/>
            </w:pPr>
            <w:r>
              <w:rPr>
                <w:sz w:val="16"/>
              </w:rPr>
              <w:t xml:space="preserve">(1) "a"   </w:t>
            </w:r>
          </w:p>
          <w:p>
            <w:pPr>
              <w:pStyle w:val="1"/>
              <w:jc w:val="both"/>
            </w:pPr>
            <w:r>
              <w:rPr>
                <w:sz w:val="16"/>
              </w:rPr>
              <w:t xml:space="preserve">третий    </w:t>
            </w:r>
          </w:p>
          <w:p>
            <w:pPr>
              <w:pStyle w:val="1"/>
              <w:jc w:val="both"/>
            </w:pPr>
            <w:r>
              <w:rPr>
                <w:sz w:val="16"/>
              </w:rPr>
              <w:t xml:space="preserve">абзац и 2 </w:t>
            </w:r>
          </w:p>
          <w:p>
            <w:pPr>
              <w:pStyle w:val="1"/>
              <w:jc w:val="both"/>
            </w:pPr>
            <w:r>
              <w:rPr>
                <w:sz w:val="16"/>
              </w:rPr>
              <w:t xml:space="preserve">(1) "b"   </w:t>
            </w:r>
          </w:p>
          <w:p>
            <w:pPr>
              <w:pStyle w:val="1"/>
              <w:jc w:val="both"/>
            </w:pPr>
            <w:r>
              <w:rPr>
                <w:sz w:val="16"/>
              </w:rPr>
              <w:t xml:space="preserve">третий    </w:t>
            </w:r>
          </w:p>
          <w:p>
            <w:pPr>
              <w:pStyle w:val="1"/>
              <w:jc w:val="both"/>
            </w:pPr>
            <w:r>
              <w:rPr>
                <w:sz w:val="16"/>
              </w:rPr>
              <w:t xml:space="preserve">абзац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67,   </w:t>
            </w:r>
          </w:p>
          <w:p>
            <w:pPr>
              <w:pStyle w:val="1"/>
              <w:jc w:val="both"/>
            </w:pPr>
            <w:r>
              <w:rPr>
                <w:sz w:val="16"/>
              </w:rPr>
            </w:r>
            <w:hyperlink w:history="0" w:anchor="P1066" w:tooltip="d) соли, образующиеся в результате фильтрации, шламы и жидкие отходы, возникающие в процессе обработки (концентрации или нейтрализации) отходов, перечисленных в пунктах &quot;b&quot; и &quot;c&quot; настоящего параграфа и содержащих различные тяжелые металлы, за исключением нейтрализованных, отфильтрованных или отжатых отходов, содержащих малые количества тяжелых металлов, со значением pH более 5,5 до разведения.">
              <w:r>
                <w:rPr>
                  <w:sz w:val="16"/>
                  <w:color w:val="0000ff"/>
                </w:rPr>
                <w:t xml:space="preserve">пункт "d"</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2  </w:t>
            </w:r>
          </w:p>
          <w:p>
            <w:pPr>
              <w:pStyle w:val="1"/>
              <w:jc w:val="both"/>
            </w:pPr>
            <w:r>
              <w:rPr>
                <w:sz w:val="16"/>
              </w:rPr>
              <w:t xml:space="preserve">(1) "a",  </w:t>
            </w:r>
          </w:p>
          <w:p>
            <w:pPr>
              <w:pStyle w:val="1"/>
              <w:jc w:val="both"/>
            </w:pPr>
            <w:r>
              <w:rPr>
                <w:sz w:val="16"/>
              </w:rPr>
              <w:t xml:space="preserve">четвертый,</w:t>
            </w:r>
          </w:p>
          <w:p>
            <w:pPr>
              <w:pStyle w:val="1"/>
              <w:jc w:val="both"/>
            </w:pPr>
            <w:r>
              <w:rPr>
                <w:sz w:val="16"/>
              </w:rPr>
              <w:t xml:space="preserve">пятый,    </w:t>
            </w:r>
          </w:p>
          <w:p>
            <w:pPr>
              <w:pStyle w:val="1"/>
              <w:jc w:val="both"/>
            </w:pPr>
            <w:r>
              <w:rPr>
                <w:sz w:val="16"/>
              </w:rPr>
              <w:t xml:space="preserve">шестой и  </w:t>
            </w:r>
          </w:p>
          <w:p>
            <w:pPr>
              <w:pStyle w:val="1"/>
              <w:jc w:val="both"/>
            </w:pPr>
            <w:r>
              <w:rPr>
                <w:sz w:val="16"/>
              </w:rPr>
              <w:t xml:space="preserve">седьмой   </w:t>
            </w:r>
          </w:p>
          <w:p>
            <w:pPr>
              <w:pStyle w:val="1"/>
              <w:jc w:val="both"/>
            </w:pPr>
            <w:r>
              <w:rPr>
                <w:sz w:val="16"/>
              </w:rPr>
              <w:t xml:space="preserve">абзац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2  </w:t>
            </w:r>
          </w:p>
          <w:p>
            <w:pPr>
              <w:pStyle w:val="1"/>
              <w:jc w:val="both"/>
            </w:pPr>
            <w:r>
              <w:rPr>
                <w:sz w:val="16"/>
              </w:rPr>
              <w:t xml:space="preserve">(1) "b",  </w:t>
            </w:r>
          </w:p>
          <w:p>
            <w:pPr>
              <w:pStyle w:val="1"/>
              <w:jc w:val="both"/>
            </w:pPr>
            <w:r>
              <w:rPr>
                <w:sz w:val="16"/>
              </w:rPr>
              <w:t xml:space="preserve">вводная   </w:t>
            </w:r>
          </w:p>
          <w:p>
            <w:pPr>
              <w:pStyle w:val="1"/>
              <w:jc w:val="both"/>
            </w:pPr>
            <w:r>
              <w:rPr>
                <w:sz w:val="16"/>
              </w:rPr>
              <w:t xml:space="preserve">фраза и   </w:t>
            </w:r>
          </w:p>
          <w:p>
            <w:pPr>
              <w:pStyle w:val="1"/>
              <w:jc w:val="both"/>
            </w:pPr>
            <w:r>
              <w:rPr>
                <w:sz w:val="16"/>
              </w:rPr>
              <w:t xml:space="preserve">первый,   </w:t>
            </w:r>
          </w:p>
          <w:p>
            <w:pPr>
              <w:pStyle w:val="1"/>
              <w:jc w:val="both"/>
            </w:pPr>
            <w:r>
              <w:rPr>
                <w:sz w:val="16"/>
              </w:rPr>
              <w:t xml:space="preserve">четвертый,</w:t>
            </w:r>
          </w:p>
          <w:p>
            <w:pPr>
              <w:pStyle w:val="1"/>
              <w:jc w:val="both"/>
            </w:pPr>
            <w:r>
              <w:rPr>
                <w:sz w:val="16"/>
              </w:rPr>
              <w:t xml:space="preserve">пятый,    </w:t>
            </w:r>
          </w:p>
          <w:p>
            <w:pPr>
              <w:pStyle w:val="1"/>
              <w:jc w:val="both"/>
            </w:pPr>
            <w:r>
              <w:rPr>
                <w:sz w:val="16"/>
              </w:rPr>
              <w:t xml:space="preserve">шестой и  </w:t>
            </w:r>
          </w:p>
          <w:p>
            <w:pPr>
              <w:pStyle w:val="1"/>
              <w:jc w:val="both"/>
            </w:pPr>
            <w:r>
              <w:rPr>
                <w:sz w:val="16"/>
              </w:rPr>
              <w:t xml:space="preserve">седьмой   </w:t>
            </w:r>
          </w:p>
          <w:p>
            <w:pPr>
              <w:pStyle w:val="1"/>
              <w:jc w:val="both"/>
            </w:pPr>
            <w:r>
              <w:rPr>
                <w:sz w:val="16"/>
              </w:rPr>
              <w:t xml:space="preserve">абзац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2  </w:t>
            </w:r>
          </w:p>
          <w:p>
            <w:pPr>
              <w:pStyle w:val="1"/>
              <w:jc w:val="both"/>
            </w:pPr>
            <w:r>
              <w:rPr>
                <w:sz w:val="16"/>
              </w:rPr>
              <w:t xml:space="preserve">(1) "b",  </w:t>
            </w:r>
          </w:p>
          <w:p>
            <w:pPr>
              <w:pStyle w:val="1"/>
              <w:jc w:val="both"/>
            </w:pPr>
            <w:r>
              <w:rPr>
                <w:sz w:val="16"/>
              </w:rPr>
              <w:t xml:space="preserve">второй    </w:t>
            </w:r>
          </w:p>
          <w:p>
            <w:pPr>
              <w:pStyle w:val="1"/>
              <w:jc w:val="both"/>
            </w:pPr>
            <w:r>
              <w:rPr>
                <w:sz w:val="16"/>
              </w:rPr>
              <w:t xml:space="preserve">абзац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67,   </w:t>
            </w:r>
          </w:p>
          <w:p>
            <w:pPr>
              <w:pStyle w:val="1"/>
              <w:jc w:val="both"/>
            </w:pPr>
            <w:r>
              <w:rPr>
                <w:sz w:val="16"/>
              </w:rPr>
            </w:r>
            <w:hyperlink w:history="0" w:anchor="P1065" w:tooltip="c) отходы из установок, использующих хлоридный способ, содержащие более 0,5% свободной соляной кислоты и различных тяжелых металлов, в том числе растворы, разведенные таким образом, что они содержат 0,5% или менее свободной соляной кислоты;">
              <w:r>
                <w:rPr>
                  <w:sz w:val="16"/>
                  <w:color w:val="0000ff"/>
                </w:rPr>
                <w:t xml:space="preserve">пункт "c"</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2  </w:t>
            </w:r>
          </w:p>
          <w:p>
            <w:pPr>
              <w:pStyle w:val="1"/>
              <w:jc w:val="both"/>
            </w:pPr>
            <w:r>
              <w:rPr>
                <w:sz w:val="16"/>
              </w:rPr>
              <w:t xml:space="preserve">(1) "c"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2  </w:t>
            </w:r>
          </w:p>
          <w:p>
            <w:pPr>
              <w:pStyle w:val="1"/>
              <w:jc w:val="both"/>
            </w:pPr>
            <w:r>
              <w:rPr>
                <w:sz w:val="16"/>
              </w:rPr>
              <w:t xml:space="preserve">(2)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3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058" w:tooltip="Статья 67">
              <w:r>
                <w:rPr>
                  <w:sz w:val="16"/>
                  <w:color w:val="0000ff"/>
                </w:rPr>
                <w:t xml:space="preserve">Статья 67</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4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67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5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6, </w:t>
            </w:r>
          </w:p>
          <w:p>
            <w:pPr>
              <w:pStyle w:val="1"/>
              <w:jc w:val="both"/>
            </w:pPr>
            <w:r>
              <w:rPr>
                <w:sz w:val="16"/>
              </w:rPr>
              <w:t xml:space="preserve">первый    </w:t>
            </w:r>
          </w:p>
          <w:p>
            <w:pPr>
              <w:pStyle w:val="1"/>
              <w:jc w:val="both"/>
            </w:pPr>
            <w:r>
              <w:rPr>
                <w:sz w:val="16"/>
              </w:rPr>
              <w:t xml:space="preserve">параграф, </w:t>
            </w:r>
          </w:p>
          <w:p>
            <w:pPr>
              <w:pStyle w:val="1"/>
              <w:jc w:val="both"/>
            </w:pPr>
            <w:r>
              <w:rPr>
                <w:sz w:val="16"/>
              </w:rPr>
              <w:t xml:space="preserve">вводная   </w:t>
            </w:r>
          </w:p>
          <w:p>
            <w:pPr>
              <w:pStyle w:val="1"/>
              <w:jc w:val="both"/>
            </w:pPr>
            <w:r>
              <w:rPr>
                <w:sz w:val="16"/>
              </w:rPr>
              <w:t xml:space="preserve">фраза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068" w:tooltip="Статья 68">
              <w:r>
                <w:rPr>
                  <w:sz w:val="16"/>
                  <w:color w:val="0000ff"/>
                </w:rPr>
                <w:t xml:space="preserve">Статья 68</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6, </w:t>
            </w:r>
          </w:p>
          <w:p>
            <w:pPr>
              <w:pStyle w:val="1"/>
              <w:jc w:val="both"/>
            </w:pPr>
            <w:r>
              <w:rPr>
                <w:sz w:val="16"/>
              </w:rPr>
              <w:t xml:space="preserve">первый    </w:t>
            </w:r>
          </w:p>
          <w:p>
            <w:pPr>
              <w:pStyle w:val="1"/>
              <w:jc w:val="both"/>
            </w:pPr>
            <w:r>
              <w:rPr>
                <w:sz w:val="16"/>
              </w:rPr>
              <w:t xml:space="preserve">параграф, </w:t>
            </w:r>
          </w:p>
          <w:p>
            <w:pPr>
              <w:pStyle w:val="1"/>
              <w:jc w:val="both"/>
            </w:pPr>
            <w:r>
              <w:rPr>
                <w:sz w:val="16"/>
              </w:rPr>
              <w:t xml:space="preserve">пункт "a"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VIII, часть  </w:t>
            </w:r>
          </w:p>
          <w:p>
            <w:pPr>
              <w:pStyle w:val="1"/>
              <w:jc w:val="both"/>
            </w:pPr>
            <w:r>
              <w:rPr>
                <w:sz w:val="16"/>
              </w:rPr>
            </w:r>
            <w:hyperlink w:history="0" w:anchor="P3398" w:tooltip="1. Для установок, использующих сульфатный способ (в качестве среднегодового значения):">
              <w:r>
                <w:rPr>
                  <w:sz w:val="16"/>
                  <w:color w:val="0000ff"/>
                </w:rPr>
                <w:t xml:space="preserve">1, пункт 1</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6, </w:t>
            </w:r>
          </w:p>
          <w:p>
            <w:pPr>
              <w:pStyle w:val="1"/>
              <w:jc w:val="both"/>
            </w:pPr>
            <w:r>
              <w:rPr>
                <w:sz w:val="16"/>
              </w:rPr>
              <w:t xml:space="preserve">первый    </w:t>
            </w:r>
          </w:p>
          <w:p>
            <w:pPr>
              <w:pStyle w:val="1"/>
              <w:jc w:val="both"/>
            </w:pPr>
            <w:r>
              <w:rPr>
                <w:sz w:val="16"/>
              </w:rPr>
              <w:t xml:space="preserve">параграф, </w:t>
            </w:r>
          </w:p>
          <w:p>
            <w:pPr>
              <w:pStyle w:val="1"/>
              <w:jc w:val="both"/>
            </w:pPr>
            <w:r>
              <w:rPr>
                <w:sz w:val="16"/>
              </w:rPr>
              <w:t xml:space="preserve">пункт "b"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VIII, часть  </w:t>
            </w:r>
          </w:p>
          <w:p>
            <w:pPr>
              <w:pStyle w:val="1"/>
              <w:jc w:val="both"/>
            </w:pPr>
            <w:r>
              <w:rPr>
                <w:sz w:val="16"/>
              </w:rPr>
            </w:r>
            <w:hyperlink w:history="0" w:anchor="P3400" w:tooltip="2. Для установок, использующих хлоридный способ (в качестве среднегодового значения):">
              <w:r>
                <w:rPr>
                  <w:sz w:val="16"/>
                  <w:color w:val="0000ff"/>
                </w:rPr>
                <w:t xml:space="preserve">1, пункт 2</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6, </w:t>
            </w:r>
          </w:p>
          <w:p>
            <w:pPr>
              <w:pStyle w:val="1"/>
              <w:jc w:val="both"/>
            </w:pPr>
            <w:r>
              <w:rPr>
                <w:sz w:val="16"/>
              </w:rPr>
              <w:t xml:space="preserve">второй    </w:t>
            </w:r>
          </w:p>
          <w:p>
            <w:pPr>
              <w:pStyle w:val="1"/>
              <w:jc w:val="both"/>
            </w:pPr>
            <w:r>
              <w:rPr>
                <w:sz w:val="16"/>
              </w:rPr>
              <w:t xml:space="preserve">параграф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VIII, часть  </w:t>
            </w:r>
          </w:p>
          <w:p>
            <w:pPr>
              <w:pStyle w:val="1"/>
              <w:jc w:val="both"/>
            </w:pPr>
            <w:r>
              <w:rPr>
                <w:sz w:val="16"/>
              </w:rPr>
            </w:r>
            <w:hyperlink w:history="0" w:anchor="P3404" w:tooltip="3. Для установок, применяющих хлоридный способ и использующих несколько типов руды, пороговые значения выбросов, установленные пунктом 2 настоящей части, применяются пропорционально количеству используемой руды.">
              <w:r>
                <w:rPr>
                  <w:sz w:val="16"/>
                  <w:color w:val="0000ff"/>
                </w:rPr>
                <w:t xml:space="preserve">1, пункт 3</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7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8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9  </w:t>
            </w:r>
          </w:p>
          <w:p>
            <w:pPr>
              <w:pStyle w:val="1"/>
              <w:jc w:val="both"/>
            </w:pPr>
            <w:r>
              <w:rPr>
                <w:sz w:val="16"/>
              </w:rPr>
              <w:t xml:space="preserve">(1)       </w:t>
            </w:r>
          </w:p>
          <w:p>
            <w:pPr>
              <w:pStyle w:val="1"/>
              <w:jc w:val="both"/>
            </w:pPr>
            <w:r>
              <w:rPr>
                <w:sz w:val="16"/>
              </w:rPr>
              <w:t xml:space="preserve">вводная   </w:t>
            </w:r>
          </w:p>
          <w:p>
            <w:pPr>
              <w:pStyle w:val="1"/>
              <w:jc w:val="both"/>
            </w:pPr>
            <w:r>
              <w:rPr>
                <w:sz w:val="16"/>
              </w:rPr>
              <w:t xml:space="preserve">фраза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079" w:tooltip="2. Выбросы в воздух из установок не должны превышать пороговые значения выбросов, установленные частью 2 Приложения VIII к настоящей Директиве.">
              <w:r>
                <w:rPr>
                  <w:sz w:val="16"/>
                  <w:color w:val="0000ff"/>
                </w:rPr>
                <w:t xml:space="preserve">Статья 69 (2)</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9  </w:t>
            </w:r>
          </w:p>
          <w:p>
            <w:pPr>
              <w:pStyle w:val="1"/>
              <w:jc w:val="both"/>
            </w:pPr>
            <w:r>
              <w:rPr>
                <w:sz w:val="16"/>
              </w:rPr>
              <w:t xml:space="preserve">(1) "a"   </w:t>
            </w:r>
          </w:p>
          <w:p>
            <w:pPr>
              <w:pStyle w:val="1"/>
              <w:jc w:val="both"/>
            </w:pPr>
            <w:r>
              <w:rPr>
                <w:sz w:val="16"/>
              </w:rPr>
              <w:t xml:space="preserve">вводная   </w:t>
            </w:r>
          </w:p>
          <w:p>
            <w:pPr>
              <w:pStyle w:val="1"/>
              <w:jc w:val="both"/>
            </w:pPr>
            <w:r>
              <w:rPr>
                <w:sz w:val="16"/>
              </w:rPr>
              <w:t xml:space="preserve">фраза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9  </w:t>
            </w:r>
          </w:p>
          <w:p>
            <w:pPr>
              <w:pStyle w:val="1"/>
              <w:jc w:val="both"/>
            </w:pPr>
            <w:r>
              <w:rPr>
                <w:sz w:val="16"/>
              </w:rPr>
              <w:t xml:space="preserve">(1) "a"i"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VIII, часть  </w:t>
            </w:r>
          </w:p>
          <w:p>
            <w:pPr>
              <w:pStyle w:val="1"/>
              <w:jc w:val="both"/>
            </w:pPr>
            <w:r>
              <w:rPr>
                <w:sz w:val="16"/>
              </w:rPr>
            </w:r>
            <w:hyperlink w:history="0" w:anchor="P3415" w:tooltip="    2.  Пыль:  50  мг/Nm   в  качестве среднечасового значения для основных">
              <w:r>
                <w:rPr>
                  <w:sz w:val="16"/>
                  <w:color w:val="0000ff"/>
                </w:rPr>
                <w:t xml:space="preserve">2, пункт 2</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9  </w:t>
            </w:r>
          </w:p>
          <w:p>
            <w:pPr>
              <w:pStyle w:val="1"/>
              <w:jc w:val="both"/>
            </w:pPr>
            <w:r>
              <w:rPr>
                <w:sz w:val="16"/>
              </w:rPr>
              <w:t xml:space="preserve">(1) "a"ii"</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VIII, часть  </w:t>
            </w:r>
          </w:p>
          <w:p>
            <w:pPr>
              <w:pStyle w:val="1"/>
              <w:jc w:val="both"/>
            </w:pPr>
            <w:r>
              <w:rPr>
                <w:sz w:val="16"/>
              </w:rPr>
              <w:t xml:space="preserve">2, пункт 3,  </w:t>
            </w:r>
          </w:p>
          <w:p>
            <w:pPr>
              <w:pStyle w:val="1"/>
              <w:jc w:val="both"/>
            </w:pPr>
            <w:r>
              <w:rPr>
                <w:sz w:val="16"/>
              </w:rPr>
            </w:r>
            <w:hyperlink w:history="0" w:anchor="P3419" w:tooltip="    3.  Газообразные диоксид и триоксид серы, выделяемые при перегнивании и">
              <w:r>
                <w:rPr>
                  <w:sz w:val="16"/>
                  <w:color w:val="0000ff"/>
                </w:rPr>
                <w:t xml:space="preserve">вводная фраза</w:t>
              </w:r>
            </w:hyperlink>
          </w:p>
          <w:p>
            <w:pPr>
              <w:pStyle w:val="1"/>
              <w:jc w:val="both"/>
            </w:pPr>
            <w:r>
              <w:rPr>
                <w:sz w:val="16"/>
              </w:rPr>
              <w:t xml:space="preserve">и </w:t>
            </w:r>
            <w:hyperlink w:history="0" w:anchor="P3423" w:tooltip="a) 6 кг на тонну произведенного диоксида титана в качестве среднегодового значения;">
              <w:r>
                <w:rPr>
                  <w:sz w:val="16"/>
                  <w:color w:val="0000ff"/>
                </w:rPr>
                <w:t xml:space="preserve">пункт 3 "a"</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9  </w:t>
            </w:r>
          </w:p>
          <w:p>
            <w:pPr>
              <w:pStyle w:val="1"/>
              <w:jc w:val="both"/>
            </w:pPr>
            <w:r>
              <w:rPr>
                <w:sz w:val="16"/>
              </w:rPr>
              <w:t xml:space="preserve">(1)       </w:t>
            </w:r>
          </w:p>
          <w:p>
            <w:pPr>
              <w:pStyle w:val="1"/>
              <w:jc w:val="both"/>
            </w:pPr>
            <w:r>
              <w:rPr>
                <w:sz w:val="16"/>
              </w:rPr>
              <w:t xml:space="preserve">"a"iii"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078" w:tooltip="1. Необходимо предупреждать выбросы капель кислоты из установок.">
              <w:r>
                <w:rPr>
                  <w:sz w:val="16"/>
                  <w:color w:val="0000ff"/>
                </w:rPr>
                <w:t xml:space="preserve">Статья 69 (1)</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9  </w:t>
            </w:r>
          </w:p>
          <w:p>
            <w:pPr>
              <w:pStyle w:val="1"/>
              <w:jc w:val="both"/>
            </w:pPr>
            <w:r>
              <w:rPr>
                <w:sz w:val="16"/>
              </w:rPr>
              <w:t xml:space="preserve">(1) "a"iv"</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VIII, часть  </w:t>
            </w:r>
          </w:p>
          <w:p>
            <w:pPr>
              <w:pStyle w:val="1"/>
              <w:jc w:val="both"/>
            </w:pPr>
            <w:r>
              <w:rPr>
                <w:sz w:val="16"/>
              </w:rPr>
              <w:t xml:space="preserve">2, пункт 3   </w:t>
            </w:r>
          </w:p>
          <w:p>
            <w:pPr>
              <w:pStyle w:val="1"/>
              <w:jc w:val="both"/>
            </w:pPr>
            <w:r>
              <w:rPr>
                <w:sz w:val="16"/>
              </w:rPr>
            </w:r>
            <w:hyperlink w:history="0" w:anchor="P3425" w:tooltip="    b)  500  мг/Nm   в  качестве  среднечасового  значения для заводов, где">
              <w:r>
                <w:rPr>
                  <w:sz w:val="16"/>
                  <w:color w:val="0000ff"/>
                </w:rPr>
                <w:t xml:space="preserve">"b"</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9  </w:t>
            </w:r>
          </w:p>
          <w:p>
            <w:pPr>
              <w:pStyle w:val="1"/>
              <w:jc w:val="both"/>
            </w:pPr>
            <w:r>
              <w:rPr>
                <w:sz w:val="16"/>
              </w:rPr>
              <w:t xml:space="preserve">(1) "a"v"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9  </w:t>
            </w:r>
          </w:p>
          <w:p>
            <w:pPr>
              <w:pStyle w:val="1"/>
              <w:jc w:val="both"/>
            </w:pPr>
            <w:r>
              <w:rPr>
                <w:sz w:val="16"/>
              </w:rPr>
              <w:t xml:space="preserve">(1) "b"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VIII, часть  </w:t>
            </w:r>
          </w:p>
          <w:p>
            <w:pPr>
              <w:pStyle w:val="1"/>
              <w:jc w:val="both"/>
            </w:pPr>
            <w:r>
              <w:rPr>
                <w:sz w:val="16"/>
              </w:rPr>
            </w:r>
            <w:hyperlink w:history="0" w:anchor="P3427" w:tooltip="4. Хлор, если на установке применяется хлоридный способ:">
              <w:r>
                <w:rPr>
                  <w:sz w:val="16"/>
                  <w:color w:val="0000ff"/>
                </w:rPr>
                <w:t xml:space="preserve">2, пункт 4</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9  </w:t>
            </w:r>
          </w:p>
          <w:p>
            <w:pPr>
              <w:pStyle w:val="1"/>
              <w:jc w:val="both"/>
            </w:pPr>
            <w:r>
              <w:rPr>
                <w:sz w:val="16"/>
              </w:rPr>
              <w:t xml:space="preserve">(2) и (3)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Статья 11 </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r>
            <w:hyperlink w:history="0" w:anchor="P314" w:tooltip="d) принимаются меры по предотвращению образования отходов в соответствии с Директивой 2008/98/ЕС;">
              <w:r>
                <w:rPr>
                  <w:sz w:val="16"/>
                  <w:color w:val="0000ff"/>
                </w:rPr>
                <w:t xml:space="preserve">пункт "d"</w:t>
              </w:r>
            </w:hyperlink>
            <w:r>
              <w:rPr>
                <w:sz w:val="16"/>
              </w:rPr>
              <w:t xml:space="preserve"> и  </w:t>
            </w:r>
          </w:p>
          <w:p>
            <w:pPr>
              <w:pStyle w:val="1"/>
              <w:jc w:val="both"/>
            </w:pPr>
            <w:r>
              <w:rPr>
                <w:sz w:val="16"/>
              </w:rPr>
            </w:r>
            <w:hyperlink w:history="0" w:anchor="P315" w:tooltip="e) образующиеся отходы в первоочередном порядке в соответствии с Директивой 2008/98/ЕС готовят для повторного использования, переработки, утилизации или при отсутствии технической и экономической возможности осуществляют их захоронение, предотвращая или сокращая любое воздействие на окружающую среду;">
              <w:r>
                <w:rPr>
                  <w:sz w:val="16"/>
                  <w:color w:val="0000ff"/>
                </w:rPr>
                <w:t xml:space="preserve">"e"</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t xml:space="preserve">Приложение</w:t>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143"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1</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22" w:tooltip="Статья 1">
              <w:r>
                <w:rPr>
                  <w:sz w:val="16"/>
                  <w:color w:val="0000ff"/>
                </w:rPr>
                <w:t xml:space="preserve">Статья 1</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2,   </w:t>
            </w:r>
          </w:p>
          <w:p>
            <w:pPr>
              <w:pStyle w:val="1"/>
              <w:jc w:val="both"/>
            </w:pPr>
            <w:r>
              <w:rPr>
                <w:sz w:val="16"/>
              </w:rPr>
            </w:r>
            <w:hyperlink w:history="0" r:id="rId144"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вводная</w:t>
              </w:r>
            </w:hyperlink>
            <w:r>
              <w:rPr>
                <w:sz w:val="16"/>
              </w:rPr>
            </w:r>
          </w:p>
          <w:p>
            <w:pPr>
              <w:pStyle w:val="1"/>
              <w:jc w:val="both"/>
            </w:pPr>
            <w:r>
              <w:rPr>
                <w:sz w:val="16"/>
              </w:rPr>
              <w:t xml:space="preserve">фраза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3,    </w:t>
            </w:r>
          </w:p>
          <w:p>
            <w:pPr>
              <w:pStyle w:val="1"/>
              <w:jc w:val="both"/>
            </w:pPr>
            <w:r>
              <w:rPr>
                <w:sz w:val="16"/>
              </w:rPr>
            </w:r>
            <w:hyperlink w:history="0" w:anchor="P140" w:tooltip="В целях настоящей Директивы применяются следующие определения:">
              <w:r>
                <w:rPr>
                  <w:sz w:val="16"/>
                  <w:color w:val="0000ff"/>
                </w:rPr>
                <w:t xml:space="preserve">вводная фраза</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145"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2 (1)</w:t>
              </w:r>
            </w:hyperlink>
          </w:p>
        </w:tc>
        <w:tc>
          <w:tcPr>
            <w:tcW w:w="1584" w:type="dxa"/>
            <w:tcBorders>
              <w:top w:val="nil"/>
            </w:tcBorders>
          </w:tcPr>
          <w:p>
            <w:pPr>
              <w:pStyle w:val="1"/>
              <w:jc w:val="both"/>
            </w:pPr>
            <w:r>
              <w:rPr>
                <w:sz w:val="16"/>
              </w:rPr>
            </w:r>
            <w:hyperlink w:history="0" r:id="rId146"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(14)</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41" w:tooltip="1) под &quot;веществом&quot; понимается любой химический элемент и его соединения, за исключением следующих веществ:">
              <w:r>
                <w:rPr>
                  <w:sz w:val="16"/>
                  <w:color w:val="0000ff"/>
                </w:rPr>
                <w:t xml:space="preserve">Статья 3 (1)</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147"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2 (3)</w:t>
              </w:r>
            </w:hyperlink>
          </w:p>
        </w:tc>
        <w:tc>
          <w:tcPr>
            <w:tcW w:w="1584" w:type="dxa"/>
            <w:tcBorders>
              <w:top w:val="nil"/>
            </w:tcBorders>
          </w:tcPr>
          <w:p>
            <w:pPr>
              <w:pStyle w:val="1"/>
              <w:jc w:val="both"/>
            </w:pPr>
            <w:r>
              <w:rPr>
                <w:sz w:val="16"/>
              </w:rPr>
            </w:r>
            <w:hyperlink w:history="0" r:id="rId148"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(1)</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55" w:tooltip="3) под &quot;установкой&quot; понимается стационарное техническое сооружение, посредством которого осуществляется один или несколько видов деятельности, перечисленных в Приложении I или в части 1 Приложения VII к настоящей Директиве, а также иные виды деятельности, осуществляемые на том же участке, имеющие непосредственную техническую связь с видами деятельности, перечисленными в этих Приложениях, и оказывающими влияние на выбросы и загрязнение;">
              <w:r>
                <w:rPr>
                  <w:sz w:val="16"/>
                  <w:color w:val="0000ff"/>
                </w:rPr>
                <w:t xml:space="preserve">Статья 3 (3)</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149"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2 (4)</w:t>
              </w:r>
            </w:hyperlink>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150"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2 (5)</w:t>
              </w:r>
            </w:hyperlink>
          </w:p>
        </w:tc>
        <w:tc>
          <w:tcPr>
            <w:tcW w:w="1584" w:type="dxa"/>
            <w:tcBorders>
              <w:top w:val="nil"/>
            </w:tcBorders>
          </w:tcPr>
          <w:p>
            <w:pPr>
              <w:pStyle w:val="1"/>
              <w:jc w:val="both"/>
            </w:pPr>
            <w:r>
              <w:rPr>
                <w:sz w:val="16"/>
              </w:rPr>
            </w:r>
            <w:hyperlink w:history="0" r:id="rId151"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(9)</w:t>
              </w:r>
            </w:hyperlink>
            <w:r>
              <w:rPr>
                <w:sz w:val="16"/>
              </w:rPr>
            </w:r>
          </w:p>
        </w:tc>
        <w:tc>
          <w:tcPr>
            <w:tcW w:w="1485" w:type="dxa"/>
            <w:tcBorders>
              <w:top w:val="nil"/>
            </w:tcBorders>
          </w:tcPr>
          <w:p>
            <w:pPr>
              <w:pStyle w:val="1"/>
              <w:jc w:val="both"/>
            </w:pPr>
            <w:r>
              <w:rPr>
                <w:sz w:val="16"/>
              </w:rPr>
            </w:r>
            <w:hyperlink w:history="0" r:id="rId152"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3 (8)</w:t>
              </w:r>
            </w:hyperlink>
            <w:r>
              <w:rPr>
                <w:sz w:val="16"/>
              </w:rPr>
            </w:r>
          </w:p>
        </w:tc>
        <w:tc>
          <w:tcPr>
            <w:tcW w:w="1386" w:type="dxa"/>
            <w:tcBorders>
              <w:top w:val="nil"/>
            </w:tcBorders>
          </w:tcPr>
          <w:p>
            <w:pPr>
              <w:pStyle w:val="1"/>
              <w:jc w:val="both"/>
            </w:pPr>
            <w:r>
              <w:rPr>
                <w:sz w:val="16"/>
              </w:rPr>
            </w:r>
            <w:hyperlink w:history="0" r:id="rId153"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Статья 2 (1)</w:t>
              </w:r>
            </w:hyperlink>
          </w:p>
        </w:tc>
        <w:tc>
          <w:tcPr>
            <w:tcW w:w="1485" w:type="dxa"/>
            <w:tcBorders>
              <w:top w:val="nil"/>
            </w:tcBorders>
          </w:tcPr>
          <w:p>
            <w:pPr>
              <w:pStyle w:val="1"/>
              <w:jc w:val="both"/>
            </w:pPr>
            <w:r>
              <w:rPr>
                <w:sz w:val="16"/>
              </w:rPr>
            </w:r>
            <w:hyperlink w:history="0" w:anchor="P156" w:tooltip="4) под &quot;выбросами&quot; понимается прямое или косвенное выделение в воздух, воду или землю веществ, вибрации, горячих отработанных газов или шума из точечных или диффузных источников установки;">
              <w:r>
                <w:rPr>
                  <w:sz w:val="16"/>
                  <w:color w:val="0000ff"/>
                </w:rPr>
                <w:t xml:space="preserve">Статья 3 (4)</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2    </w:t>
            </w:r>
          </w:p>
          <w:p>
            <w:pPr>
              <w:pStyle w:val="1"/>
              <w:jc w:val="both"/>
            </w:pPr>
            <w:r>
              <w:rPr>
                <w:sz w:val="16"/>
              </w:rPr>
            </w:r>
            <w:hyperlink w:history="0" r:id="rId154"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(6), первое</w:t>
              </w:r>
            </w:hyperlink>
            <w:r>
              <w:rPr>
                <w:sz w:val="16"/>
              </w:rPr>
            </w:r>
          </w:p>
          <w:p>
            <w:pPr>
              <w:pStyle w:val="1"/>
              <w:jc w:val="both"/>
            </w:pPr>
            <w:r>
              <w:rPr>
                <w:sz w:val="16"/>
              </w:rPr>
              <w:t xml:space="preserve">предложение </w:t>
            </w:r>
          </w:p>
        </w:tc>
        <w:tc>
          <w:tcPr>
            <w:tcW w:w="1584" w:type="dxa"/>
            <w:tcBorders>
              <w:top w:val="nil"/>
            </w:tcBorders>
          </w:tcPr>
          <w:p>
            <w:pPr>
              <w:pStyle w:val="1"/>
              <w:jc w:val="both"/>
            </w:pPr>
            <w:r>
              <w:rPr>
                <w:sz w:val="16"/>
              </w:rPr>
            </w:r>
            <w:hyperlink w:history="0" r:id="rId155"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(13)</w:t>
              </w:r>
            </w:hyperlink>
            <w:r>
              <w:rPr>
                <w:sz w:val="16"/>
              </w:rPr>
            </w:r>
          </w:p>
        </w:tc>
        <w:tc>
          <w:tcPr>
            <w:tcW w:w="1485" w:type="dxa"/>
            <w:tcBorders>
              <w:top w:val="nil"/>
            </w:tcBorders>
          </w:tcPr>
          <w:p>
            <w:pPr>
              <w:pStyle w:val="1"/>
              <w:jc w:val="both"/>
            </w:pPr>
            <w:r>
              <w:rPr>
                <w:sz w:val="16"/>
              </w:rPr>
            </w:r>
            <w:hyperlink w:history="0" r:id="rId156"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3 (9)</w:t>
              </w:r>
            </w:hyperlink>
            <w:r>
              <w:rPr>
                <w:sz w:val="16"/>
              </w:rPr>
            </w:r>
          </w:p>
        </w:tc>
        <w:tc>
          <w:tcPr>
            <w:tcW w:w="1386" w:type="dxa"/>
            <w:tcBorders>
              <w:top w:val="nil"/>
            </w:tcBorders>
          </w:tcPr>
          <w:p>
            <w:pPr>
              <w:pStyle w:val="1"/>
              <w:jc w:val="both"/>
            </w:pPr>
            <w:r>
              <w:rPr>
                <w:sz w:val="16"/>
              </w:rPr>
              <w:t xml:space="preserve">Статья 2    </w:t>
            </w:r>
          </w:p>
          <w:p>
            <w:pPr>
              <w:pStyle w:val="1"/>
              <w:jc w:val="both"/>
            </w:pPr>
            <w:r>
              <w:rPr>
                <w:sz w:val="16"/>
              </w:rPr>
            </w:r>
            <w:hyperlink w:history="0" r:id="rId157"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(3), первая</w:t>
              </w:r>
            </w:hyperlink>
            <w:r>
              <w:rPr>
                <w:sz w:val="16"/>
              </w:rPr>
            </w:r>
          </w:p>
          <w:p>
            <w:pPr>
              <w:pStyle w:val="1"/>
              <w:jc w:val="both"/>
            </w:pPr>
            <w:r>
              <w:rPr>
                <w:sz w:val="16"/>
              </w:rPr>
              <w:t xml:space="preserve">часть       </w:t>
            </w:r>
          </w:p>
        </w:tc>
        <w:tc>
          <w:tcPr>
            <w:tcW w:w="1485" w:type="dxa"/>
            <w:tcBorders>
              <w:top w:val="nil"/>
            </w:tcBorders>
          </w:tcPr>
          <w:p>
            <w:pPr>
              <w:pStyle w:val="1"/>
              <w:jc w:val="both"/>
            </w:pPr>
            <w:r>
              <w:rPr>
                <w:sz w:val="16"/>
              </w:rPr>
            </w:r>
            <w:hyperlink w:history="0" w:anchor="P157" w:tooltip="5) под &quot;пороговым значением выбросов&quot; понимается масса, выраженная в виде определенных параметров, концентрации и/или уровня выбросов, которые не могут быть превышены в течение одного или нескольких периодов;">
              <w:r>
                <w:rPr>
                  <w:sz w:val="16"/>
                  <w:color w:val="0000ff"/>
                </w:rPr>
                <w:t xml:space="preserve">Статья 3 (5)</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2    </w:t>
            </w:r>
          </w:p>
          <w:p>
            <w:pPr>
              <w:pStyle w:val="1"/>
              <w:jc w:val="both"/>
            </w:pPr>
            <w:r>
              <w:rPr>
                <w:sz w:val="16"/>
              </w:rPr>
            </w:r>
            <w:hyperlink w:history="0" r:id="rId158"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(6), второе</w:t>
              </w:r>
            </w:hyperlink>
            <w:r>
              <w:rPr>
                <w:sz w:val="16"/>
              </w:rPr>
            </w:r>
          </w:p>
          <w:p>
            <w:pPr>
              <w:pStyle w:val="1"/>
              <w:jc w:val="both"/>
            </w:pPr>
            <w:r>
              <w:rPr>
                <w:sz w:val="16"/>
              </w:rPr>
              <w:t xml:space="preserve">предложение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393" w:tooltip="1. Пороговые значения выбросов для загрязняющих веществ применяются в месте выделения выбросов из установки, при этом любое их разжижение до этого места не учитывается при определении таких значений.">
              <w:r>
                <w:rPr>
                  <w:sz w:val="16"/>
                  <w:color w:val="0000ff"/>
                </w:rPr>
                <w:t xml:space="preserve">Статья 15 (1)</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159"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2 (7)</w:t>
              </w:r>
            </w:hyperlink>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58" w:tooltip="6) под &quot;стандартом качества окружающей среды&quot; понимается совокупность требований, которым должна отвечать окружающая среда или ее отдельные объекты в определенный момент времени, как определено законодательством Европейского Союза;">
              <w:r>
                <w:rPr>
                  <w:sz w:val="16"/>
                  <w:color w:val="0000ff"/>
                </w:rPr>
                <w:t xml:space="preserve">Статья 3 (6)</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160"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2 (8)</w:t>
              </w:r>
            </w:hyperlink>
          </w:p>
        </w:tc>
        <w:tc>
          <w:tcPr>
            <w:tcW w:w="1584" w:type="dxa"/>
            <w:tcBorders>
              <w:top w:val="nil"/>
            </w:tcBorders>
          </w:tcPr>
          <w:p>
            <w:pPr>
              <w:pStyle w:val="1"/>
              <w:jc w:val="both"/>
            </w:pPr>
            <w:r>
              <w:rPr>
                <w:sz w:val="16"/>
              </w:rPr>
            </w:r>
            <w:hyperlink w:history="0" r:id="rId161"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(5)</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091" w:tooltip="Статья 71">
              <w:r>
                <w:rPr>
                  <w:sz w:val="16"/>
                  <w:color w:val="0000ff"/>
                </w:rPr>
                <w:t xml:space="preserve">Статья 71</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2    </w:t>
            </w:r>
          </w:p>
          <w:p>
            <w:pPr>
              <w:pStyle w:val="1"/>
              <w:jc w:val="both"/>
            </w:pPr>
            <w:r>
              <w:rPr>
                <w:sz w:val="16"/>
              </w:rPr>
            </w:r>
            <w:hyperlink w:history="0" r:id="rId162"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(9), первое</w:t>
              </w:r>
            </w:hyperlink>
            <w:r>
              <w:rPr>
                <w:sz w:val="16"/>
              </w:rPr>
            </w:r>
          </w:p>
          <w:p>
            <w:pPr>
              <w:pStyle w:val="1"/>
              <w:jc w:val="both"/>
            </w:pPr>
            <w:r>
              <w:rPr>
                <w:sz w:val="16"/>
              </w:rPr>
              <w:t xml:space="preserve">предложение </w:t>
            </w:r>
          </w:p>
        </w:tc>
        <w:tc>
          <w:tcPr>
            <w:tcW w:w="1584" w:type="dxa"/>
            <w:tcBorders>
              <w:top w:val="nil"/>
            </w:tcBorders>
          </w:tcPr>
          <w:p>
            <w:pPr>
              <w:pStyle w:val="1"/>
              <w:jc w:val="both"/>
            </w:pPr>
            <w:r>
              <w:rPr>
                <w:sz w:val="16"/>
              </w:rPr>
            </w:r>
            <w:hyperlink w:history="0" r:id="rId163"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(7)</w:t>
              </w:r>
            </w:hyperlink>
            <w:r>
              <w:rPr>
                <w:sz w:val="16"/>
              </w:rPr>
            </w:r>
          </w:p>
        </w:tc>
        <w:tc>
          <w:tcPr>
            <w:tcW w:w="1485" w:type="dxa"/>
            <w:tcBorders>
              <w:top w:val="nil"/>
            </w:tcBorders>
          </w:tcPr>
          <w:p>
            <w:pPr>
              <w:pStyle w:val="1"/>
              <w:jc w:val="both"/>
            </w:pPr>
            <w:r>
              <w:rPr>
                <w:sz w:val="16"/>
              </w:rPr>
            </w:r>
            <w:hyperlink w:history="0" r:id="rId164"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3 (12)</w:t>
              </w:r>
            </w:hyperlink>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59" w:tooltip="7) под &quot;разрешением&quot; понимается письменное санкционирование эксплуатации всей или части установки, завода по сжиганию, завода по сжиганию отходов или завода по совместному сжиганию отходов;">
              <w:r>
                <w:rPr>
                  <w:sz w:val="16"/>
                  <w:color w:val="0000ff"/>
                </w:rPr>
                <w:t xml:space="preserve">Статья 3 (7)</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2    </w:t>
            </w:r>
          </w:p>
          <w:p>
            <w:pPr>
              <w:pStyle w:val="1"/>
              <w:jc w:val="both"/>
            </w:pPr>
            <w:r>
              <w:rPr>
                <w:sz w:val="16"/>
              </w:rPr>
            </w:r>
            <w:hyperlink w:history="0" r:id="rId165"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(9), второе</w:t>
              </w:r>
            </w:hyperlink>
            <w:r>
              <w:rPr>
                <w:sz w:val="16"/>
              </w:rPr>
            </w:r>
          </w:p>
          <w:p>
            <w:pPr>
              <w:pStyle w:val="1"/>
              <w:jc w:val="both"/>
            </w:pPr>
            <w:r>
              <w:rPr>
                <w:sz w:val="16"/>
              </w:rPr>
              <w:t xml:space="preserve">предложение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 (2),</w:t>
            </w:r>
          </w:p>
          <w:p>
            <w:pPr>
              <w:pStyle w:val="1"/>
              <w:jc w:val="both"/>
            </w:pPr>
            <w:r>
              <w:rPr>
                <w:sz w:val="16"/>
              </w:rPr>
            </w:r>
            <w:hyperlink w:history="0" w:anchor="P246" w:tooltip="2. Государства-члены ЕС вправе выдать разрешение на эксплуатацию двух или нескольких установок или частей установок, эксплуатируемых тем же оператором на том же участке.">
              <w:r>
                <w:rPr>
                  <w:sz w:val="16"/>
                  <w:color w:val="0000ff"/>
                </w:rPr>
                <w:t xml:space="preserve">первый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4 (2),</w:t>
            </w:r>
          </w:p>
          <w:p>
            <w:pPr>
              <w:pStyle w:val="1"/>
              <w:jc w:val="both"/>
            </w:pPr>
            <w:r>
              <w:rPr>
                <w:sz w:val="16"/>
              </w:rPr>
            </w:r>
            <w:hyperlink w:history="0" w:anchor="P247" w:tooltip="В случае если разрешение выдано на эксплуатацию двух или нескольких установок, оно должно содержать условия, гарантирующие соответствие каждой установки требованиям настоящей Директивы.">
              <w:r>
                <w:rPr>
                  <w:sz w:val="16"/>
                  <w:color w:val="0000ff"/>
                </w:rPr>
                <w:t xml:space="preserve">второй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r>
            <w:hyperlink w:history="0" w:anchor="P248" w:tooltip="3. Государства-члены ЕС вправе выдать разрешение на эксплуатацию нескольких частей установки различными операторами. В таких случаях разрешение должно предусматривать ответственность каждого оператора.">
              <w:r>
                <w:rPr>
                  <w:sz w:val="16"/>
                  <w:color w:val="0000ff"/>
                </w:rPr>
                <w:t xml:space="preserve">Статья 4 (3)</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2    </w:t>
            </w:r>
          </w:p>
          <w:p>
            <w:pPr>
              <w:pStyle w:val="1"/>
              <w:jc w:val="both"/>
            </w:pPr>
            <w:r>
              <w:rPr>
                <w:sz w:val="16"/>
              </w:rPr>
            </w:r>
            <w:hyperlink w:history="0" r:id="rId166"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(10)</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60" w:tooltip="8) под &quot;общими обязательными нормами&quot; понимаются пороговые значения выбросов или иные условия, установленные, как минимум, на отраслевом уровне, которые приняты с целью их непосредственного использования для определения условий разрешения;">
              <w:r>
                <w:rPr>
                  <w:sz w:val="16"/>
                  <w:color w:val="0000ff"/>
                </w:rPr>
                <w:t xml:space="preserve">Статья 3 (8)</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2    </w:t>
            </w:r>
          </w:p>
          <w:p>
            <w:pPr>
              <w:pStyle w:val="1"/>
              <w:jc w:val="both"/>
            </w:pPr>
            <w:r>
              <w:rPr>
                <w:sz w:val="16"/>
              </w:rPr>
            </w:r>
            <w:hyperlink w:history="0" r:id="rId167"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(11), первое</w:t>
              </w:r>
            </w:hyperlink>
          </w:p>
          <w:p>
            <w:pPr>
              <w:pStyle w:val="1"/>
              <w:jc w:val="both"/>
            </w:pPr>
            <w:r>
              <w:rPr>
                <w:sz w:val="16"/>
              </w:rPr>
              <w:t xml:space="preserve">предложение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61" w:tooltip="9) под &quot;существенным изменением&quot; понимается изменение в характере или функционировании, а также расширение установки, завода по сжиганию, завода по сжиганию отходов или завода по совместному сжиганию отходов, которое может оказать существенное отрицательное влияние на здоровье человека или окружающую среду;">
              <w:r>
                <w:rPr>
                  <w:sz w:val="16"/>
                  <w:color w:val="0000ff"/>
                </w:rPr>
                <w:t xml:space="preserve">Статья 3 (9)</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2    </w:t>
            </w:r>
          </w:p>
          <w:p>
            <w:pPr>
              <w:pStyle w:val="1"/>
              <w:jc w:val="both"/>
            </w:pPr>
            <w:r>
              <w:rPr>
                <w:sz w:val="16"/>
              </w:rPr>
            </w:r>
            <w:hyperlink w:history="0" r:id="rId168"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(11), второе</w:t>
              </w:r>
            </w:hyperlink>
          </w:p>
          <w:p>
            <w:pPr>
              <w:pStyle w:val="1"/>
              <w:jc w:val="both"/>
            </w:pPr>
            <w:r>
              <w:rPr>
                <w:sz w:val="16"/>
              </w:rPr>
              <w:t xml:space="preserve">предложение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447" w:tooltip="3. Любые изменения в характере или функционировании, а также расширение установки считается существенным, если такое изменение или расширение достигает пороговых уровней мощности, установленных в Приложении I к настоящей Директиве.">
              <w:r>
                <w:rPr>
                  <w:sz w:val="16"/>
                  <w:color w:val="0000ff"/>
                </w:rPr>
                <w:t xml:space="preserve">Статья 20 (3)</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2    </w:t>
            </w:r>
          </w:p>
          <w:p>
            <w:pPr>
              <w:pStyle w:val="1"/>
              <w:jc w:val="both"/>
            </w:pPr>
            <w:r>
              <w:rPr>
                <w:sz w:val="16"/>
              </w:rPr>
            </w:r>
            <w:hyperlink w:history="0" r:id="rId169"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(12), первый</w:t>
              </w:r>
            </w:hyperlink>
          </w:p>
          <w:p>
            <w:pPr>
              <w:pStyle w:val="1"/>
              <w:jc w:val="both"/>
            </w:pPr>
            <w:r>
              <w:rPr>
                <w:sz w:val="16"/>
              </w:rPr>
              <w:t xml:space="preserve">подпараграф,</w:t>
            </w:r>
          </w:p>
          <w:p>
            <w:pPr>
              <w:pStyle w:val="1"/>
              <w:jc w:val="both"/>
            </w:pPr>
            <w:r>
              <w:rPr>
                <w:sz w:val="16"/>
              </w:rPr>
              <w:t xml:space="preserve">и приложение</w:t>
            </w:r>
          </w:p>
          <w:p>
            <w:pPr>
              <w:pStyle w:val="1"/>
              <w:jc w:val="both"/>
            </w:pPr>
            <w:r>
              <w:rPr>
                <w:sz w:val="16"/>
              </w:rPr>
            </w:r>
            <w:hyperlink w:history="0" r:id="rId170"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IV, вводная</w:t>
              </w:r>
            </w:hyperlink>
            <w:r>
              <w:rPr>
                <w:sz w:val="16"/>
              </w:rPr>
            </w:r>
          </w:p>
          <w:p>
            <w:pPr>
              <w:pStyle w:val="1"/>
              <w:jc w:val="both"/>
            </w:pPr>
            <w:r>
              <w:rPr>
                <w:sz w:val="16"/>
              </w:rPr>
              <w:t xml:space="preserve">фраза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62" w:tooltip="10) под &quot;наилучшими доступными технологиями&quot; понимается наиболее эффективная и передовая стадия развития видов деятельности и методов их осуществления, которая свидетельствует о практической пригодности определенных технологий для соблюдения пороговых значений выбросов и иных условий разрешений, направленных на предотвращение или, в случае если это неосуществимо, на снижение выбросов и влияния на окружающую среду в целом:">
              <w:r>
                <w:rPr>
                  <w:sz w:val="16"/>
                  <w:color w:val="0000ff"/>
                </w:rPr>
                <w:t xml:space="preserve">Статья 3 (10)</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2    </w:t>
            </w:r>
          </w:p>
          <w:p>
            <w:pPr>
              <w:pStyle w:val="1"/>
              <w:jc w:val="both"/>
            </w:pPr>
            <w:r>
              <w:rPr>
                <w:sz w:val="16"/>
              </w:rPr>
            </w:r>
            <w:hyperlink w:history="0" r:id="rId171"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(12), второй</w:t>
              </w:r>
            </w:hyperlink>
          </w:p>
          <w:p>
            <w:pPr>
              <w:pStyle w:val="1"/>
              <w:jc w:val="both"/>
            </w:pPr>
            <w:r>
              <w:rPr>
                <w:sz w:val="16"/>
              </w:rPr>
              <w:t xml:space="preserve">подпараграф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14    </w:t>
            </w:r>
          </w:p>
          <w:p>
            <w:pPr>
              <w:pStyle w:val="1"/>
              <w:jc w:val="both"/>
            </w:pPr>
            <w:r>
              <w:rPr>
                <w:sz w:val="16"/>
              </w:rPr>
            </w:r>
            <w:hyperlink w:history="0" w:anchor="P382" w:tooltip="a) такая технология определена с учетом критериев, перечисленных в Приложении III к настоящей Директиве, а также">
              <w:r>
                <w:rPr>
                  <w:sz w:val="16"/>
                  <w:color w:val="0000ff"/>
                </w:rPr>
                <w:t xml:space="preserve">(5), пункт</w:t>
              </w:r>
            </w:hyperlink>
            <w:r>
              <w:rPr>
                <w:sz w:val="16"/>
              </w:rPr>
            </w:r>
          </w:p>
          <w:p>
            <w:pPr>
              <w:pStyle w:val="1"/>
              <w:jc w:val="both"/>
            </w:pPr>
            <w:r>
              <w:rPr>
                <w:sz w:val="16"/>
              </w:rPr>
              <w:t xml:space="preserve">"a" и </w:t>
            </w:r>
            <w:hyperlink w:history="0" w:anchor="P385" w:tooltip="6. В случае если деятельность или вид производственного процесса, осуществляемого в пределах установки, не описаны заключениями BAT или указанные заключения не охватывают все виды экологических последствий деятельности или производственного процесса, компетентный орган должен после предварительных консультаций с оператором определять условия разрешений на основе наилучших доступных технологий, которые были определены для соответствующих видов деятельности или процессов с учетом критериев, перечисленных в...">
              <w:r>
                <w:rPr>
                  <w:sz w:val="16"/>
                  <w:color w:val="0000ff"/>
                </w:rPr>
                <w:t xml:space="preserve">14 (6)</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2    </w:t>
            </w:r>
          </w:p>
          <w:p>
            <w:pPr>
              <w:pStyle w:val="1"/>
              <w:jc w:val="both"/>
            </w:pPr>
            <w:r>
              <w:rPr>
                <w:sz w:val="16"/>
              </w:rPr>
            </w:r>
            <w:hyperlink w:history="0" r:id="rId172"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(13)</w:t>
              </w:r>
            </w:hyperlink>
            <w:r>
              <w:rPr>
                <w:sz w:val="16"/>
              </w:rPr>
            </w:r>
          </w:p>
        </w:tc>
        <w:tc>
          <w:tcPr>
            <w:tcW w:w="1584" w:type="dxa"/>
            <w:tcBorders>
              <w:top w:val="nil"/>
            </w:tcBorders>
          </w:tcPr>
          <w:p>
            <w:pPr>
              <w:pStyle w:val="1"/>
              <w:jc w:val="both"/>
            </w:pPr>
            <w:r>
              <w:rPr>
                <w:sz w:val="16"/>
              </w:rPr>
            </w:r>
            <w:hyperlink w:history="0" r:id="rId173"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(6)</w:t>
              </w:r>
            </w:hyperlink>
            <w:r>
              <w:rPr>
                <w:sz w:val="16"/>
              </w:rPr>
            </w:r>
          </w:p>
        </w:tc>
        <w:tc>
          <w:tcPr>
            <w:tcW w:w="1485" w:type="dxa"/>
            <w:tcBorders>
              <w:top w:val="nil"/>
            </w:tcBorders>
          </w:tcPr>
          <w:p>
            <w:pPr>
              <w:pStyle w:val="1"/>
              <w:jc w:val="both"/>
            </w:pPr>
            <w:r>
              <w:rPr>
                <w:sz w:val="16"/>
              </w:rPr>
            </w:r>
            <w:hyperlink w:history="0" r:id="rId174"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3 (11)</w:t>
              </w:r>
            </w:hyperlink>
          </w:p>
        </w:tc>
        <w:tc>
          <w:tcPr>
            <w:tcW w:w="1386" w:type="dxa"/>
            <w:tcBorders>
              <w:top w:val="nil"/>
            </w:tcBorders>
          </w:tcPr>
          <w:p>
            <w:pPr>
              <w:pStyle w:val="1"/>
              <w:jc w:val="both"/>
            </w:pPr>
            <w:r>
              <w:rPr>
                <w:sz w:val="16"/>
              </w:rPr>
            </w:r>
            <w:hyperlink w:history="0" r:id="rId175"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Статья 2 (5)</w:t>
              </w:r>
            </w:hyperlink>
          </w:p>
        </w:tc>
        <w:tc>
          <w:tcPr>
            <w:tcW w:w="1485" w:type="dxa"/>
            <w:tcBorders>
              <w:top w:val="nil"/>
            </w:tcBorders>
          </w:tcPr>
          <w:p>
            <w:pPr>
              <w:pStyle w:val="1"/>
              <w:jc w:val="both"/>
            </w:pPr>
            <w:r>
              <w:rPr>
                <w:sz w:val="16"/>
              </w:rPr>
            </w:r>
            <w:hyperlink w:history="0" w:anchor="P170" w:tooltip="15) под &quot;оператором&quot; понимается любое физическое или юридическое лицо, которое осуществляет эксплуатацию или контроль установок, заводов по сжиганию, заводов по сжиганию отходов или заводов по совместному сжиганию отходов или их отдельных частей либо, если это предусмотрено национальным законодательством, лицо, которому делегированы решающие полномочия в отношении технического функционирования установок и заводов;">
              <w:r>
                <w:rPr>
                  <w:sz w:val="16"/>
                  <w:color w:val="0000ff"/>
                </w:rPr>
                <w:t xml:space="preserve">Статья 3 (15)</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2    </w:t>
            </w:r>
          </w:p>
          <w:p>
            <w:pPr>
              <w:pStyle w:val="1"/>
              <w:jc w:val="both"/>
            </w:pPr>
            <w:r>
              <w:rPr>
                <w:sz w:val="16"/>
              </w:rPr>
            </w:r>
            <w:hyperlink w:history="0" r:id="rId176"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(14)</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71" w:tooltip="16) под &quot;общественностью&quot; понимается одно или несколько физических или юридических лиц, а также их объединений, организаций или групп, как предусмотрено национальным законодательством или практикой;">
              <w:r>
                <w:rPr>
                  <w:sz w:val="16"/>
                  <w:color w:val="0000ff"/>
                </w:rPr>
                <w:t xml:space="preserve">Статья 3 (16)</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2    </w:t>
            </w:r>
          </w:p>
          <w:p>
            <w:pPr>
              <w:pStyle w:val="1"/>
              <w:jc w:val="both"/>
            </w:pPr>
            <w:r>
              <w:rPr>
                <w:sz w:val="16"/>
              </w:rPr>
            </w:r>
            <w:hyperlink w:history="0" r:id="rId177"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(15)</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72" w:tooltip="17) под &quot;заинтересованными членами общественности&quot; понимаются члены общественности, на которых влияет или может повлиять принятие решения о выдаче или изменении разрешения или условий разрешения, а также члены общественности, проявляющие интерес в принятии такого решения; в целях настоящего определения неправительственные организации, содействующие обеспечению защиты окружающей среды и соответствующие требованиям, установленным национальным законодательством, признаются заинтересованными;">
              <w:r>
                <w:rPr>
                  <w:sz w:val="16"/>
                  <w:color w:val="0000ff"/>
                </w:rPr>
                <w:t xml:space="preserve">Статья 3 (17)</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3     </w:t>
            </w:r>
          </w:p>
          <w:p>
            <w:pPr>
              <w:pStyle w:val="1"/>
              <w:jc w:val="both"/>
            </w:pPr>
            <w:r>
              <w:rPr>
                <w:sz w:val="16"/>
              </w:rPr>
            </w:r>
            <w:hyperlink w:history="0" w:anchor="P166" w:tooltip="11) под &quot;справочниками BAT&quot; понимаются документы, составленные в результате обмена информацией в соответствии со статьей 13 настоящей Директивы для определенных видов деятельности и описывающие, в частности, применяемые технологии, текущий уровень выбросов и потребления, методики, используемые для определения наилучших доступных технологий, а также заключения BAT и любые появляющиеся технологии с учетом критериев, перечисленных в Приложении III к настоящей Директиве;">
              <w:r>
                <w:rPr>
                  <w:sz w:val="16"/>
                  <w:color w:val="0000ff"/>
                </w:rPr>
                <w:t xml:space="preserve">(11)</w:t>
              </w:r>
            </w:hyperlink>
            <w:r>
              <w:rPr>
                <w:sz w:val="16"/>
              </w:rPr>
              <w:t xml:space="preserve"> - </w:t>
            </w:r>
            <w:hyperlink w:history="0" w:anchor="P169" w:tooltip="14) под &quot;появляющимися технологиями&quot; понимаются новаторские технологии для промышленной деятельности, которые при их коммерческом использовании могут обеспечить более высокий общий уровень защиты окружающей среды или по крайней мере такой же уровень защиты окружающей среды при достижении большей эффективности в сокращении затрат по сравнению с существующими наилучшими доступными технологиями;">
              <w:r>
                <w:rPr>
                  <w:sz w:val="16"/>
                  <w:color w:val="0000ff"/>
                </w:rPr>
                <w:t xml:space="preserve">(14)</w:t>
              </w:r>
            </w:hyperlink>
            <w:r>
              <w:rPr>
                <w:sz w:val="16"/>
              </w:rPr>
              <w:t xml:space="preserve">, </w:t>
            </w:r>
          </w:p>
          <w:p>
            <w:pPr>
              <w:pStyle w:val="1"/>
              <w:jc w:val="both"/>
            </w:pPr>
            <w:r>
              <w:rPr>
                <w:sz w:val="16"/>
              </w:rPr>
            </w:r>
            <w:hyperlink w:history="0" w:anchor="P173" w:tooltip="18) под &quot;опасными веществами&quot; понимаются вещества или смеси, как определено в статье 3 Регламента (ЕС) 1272/2008 Европейского парламента и Совета ЕС от 16 декабря 2008 г. о классификации, маркировке и упаковке веществ и смесей &lt;*&gt;;">
              <w:r>
                <w:rPr>
                  <w:sz w:val="16"/>
                  <w:color w:val="0000ff"/>
                </w:rPr>
                <w:t xml:space="preserve">(18)</w:t>
              </w:r>
            </w:hyperlink>
            <w:r>
              <w:rPr>
                <w:sz w:val="16"/>
              </w:rPr>
              <w:t xml:space="preserve"> - </w:t>
            </w:r>
            <w:hyperlink w:history="0" w:anchor="P184" w:tooltip="23) под &quot;домашней птицей&quot; понимается домашняя птица в значении пункта 1 статьи 2 Директивы 90/539/ЕЭС Совета ЕС от 15 октября 1990 г. об условиях охраны здоровья животных, регулирующих торговлю внутри Сообщества, а также импортные поставки домашней птицы и инкубационных яиц из третьих стран &lt;*&gt;;">
              <w:r>
                <w:rPr>
                  <w:sz w:val="16"/>
                  <w:color w:val="0000ff"/>
                </w:rPr>
                <w:t xml:space="preserve">(23)</w:t>
              </w:r>
            </w:hyperlink>
            <w:r>
              <w:rPr>
                <w:sz w:val="16"/>
              </w:rPr>
              <w:t xml:space="preserve">, </w:t>
            </w:r>
          </w:p>
          <w:p>
            <w:pPr>
              <w:pStyle w:val="1"/>
              <w:jc w:val="both"/>
            </w:pPr>
            <w:r>
              <w:rPr>
                <w:sz w:val="16"/>
              </w:rPr>
            </w:r>
            <w:hyperlink w:history="0" w:anchor="P190" w:tooltip="26) под &quot;дымовой трубой&quot; понимается структура, содержащая один или несколько газоходов, через которые осуществляется выброс отработанных газов в воздух;">
              <w:r>
                <w:rPr>
                  <w:sz w:val="16"/>
                  <w:color w:val="0000ff"/>
                </w:rPr>
                <w:t xml:space="preserve">(26)</w:t>
              </w:r>
            </w:hyperlink>
            <w:r>
              <w:rPr>
                <w:sz w:val="16"/>
              </w:rPr>
              <w:t xml:space="preserve"> - </w:t>
            </w:r>
            <w:hyperlink w:history="0" w:anchor="P194" w:tooltip="30) под &quot;определенным топливом&quot; понимается топливо, которое среди иных видов топлива в многотопливных заводах по сжиганию, использующих дистилляцию и конверсию остатков перегонки сырой нефти для собственных нужд отдельно или совместно с другими видами топлива, имеет наиболее высокое пороговое значение выбросов, как указано в части 1 Приложения V к настоящей Директиве; в случае если несколько видов топлива имеют одинаковое пороговое значение выбросов, под &quot;определенным&quot; понимается топливо с наибольшей теп...">
              <w:r>
                <w:rPr>
                  <w:sz w:val="16"/>
                  <w:color w:val="0000ff"/>
                </w:rPr>
                <w:t xml:space="preserve">(30)</w:t>
              </w:r>
            </w:hyperlink>
            <w:r>
              <w:rPr>
                <w:sz w:val="16"/>
              </w:rPr>
              <w:t xml:space="preserve"> и</w:t>
            </w:r>
          </w:p>
          <w:p>
            <w:pPr>
              <w:pStyle w:val="1"/>
              <w:jc w:val="both"/>
            </w:pPr>
            <w:r>
              <w:rPr>
                <w:sz w:val="16"/>
              </w:rPr>
            </w:r>
            <w:hyperlink w:history="0" w:anchor="P205" w:tooltip="34) под &quot;газовым двигателем&quot; понимается любой двигатель внутреннего сгорания, работающий по циклу Отто, с искровым зажиганием или, в отношении двухтопливного двигателя, с воспламенением от сжатия для сжигания топлива;">
              <w:r>
                <w:rPr>
                  <w:sz w:val="16"/>
                  <w:color w:val="0000ff"/>
                </w:rPr>
                <w:t xml:space="preserve">(34)</w:t>
              </w:r>
            </w:hyperlink>
            <w:r>
              <w:rPr>
                <w:sz w:val="16"/>
              </w:rPr>
              <w:t xml:space="preserve"> - </w:t>
            </w:r>
            <w:hyperlink w:history="0" w:anchor="P207" w:tooltip="36) под &quot;небольшой автономной системой&quot; понимается небольшая автономная система в значении пункта 26 статьи 2 Директивы 2003/54/ЕС Европейского парламента и Совета ЕС от 26 июня 2003 г. об общих правилах для внутреннего рынка электричества &lt;*&gt;;">
              <w:r>
                <w:rPr>
                  <w:sz w:val="16"/>
                  <w:color w:val="0000ff"/>
                </w:rPr>
                <w:t xml:space="preserve">(36)</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3 (1)</w:t>
            </w:r>
          </w:p>
          <w:p>
            <w:pPr>
              <w:pStyle w:val="1"/>
              <w:jc w:val="both"/>
            </w:pPr>
            <w:r>
              <w:rPr>
                <w:sz w:val="16"/>
              </w:rPr>
            </w:r>
            <w:hyperlink w:history="0" r:id="rId178"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вводная</w:t>
              </w:r>
            </w:hyperlink>
            <w:r>
              <w:rPr>
                <w:sz w:val="16"/>
              </w:rPr>
            </w:r>
          </w:p>
          <w:p>
            <w:pPr>
              <w:pStyle w:val="1"/>
              <w:jc w:val="both"/>
            </w:pPr>
            <w:r>
              <w:rPr>
                <w:sz w:val="16"/>
              </w:rPr>
              <w:t xml:space="preserve">фраза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r>
            <w:hyperlink w:history="0" w:anchor="P310" w:tooltip="Государства-члены ЕС принимают необходимые меры по обеспечению осуществления эксплуатации установок в соответствии со следующими принципами:">
              <w:r>
                <w:rPr>
                  <w:sz w:val="16"/>
                  <w:color w:val="0000ff"/>
                </w:rPr>
                <w:t xml:space="preserve">вводная фраза</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3    </w:t>
            </w:r>
          </w:p>
          <w:p>
            <w:pPr>
              <w:pStyle w:val="1"/>
              <w:jc w:val="both"/>
            </w:pPr>
            <w:r>
              <w:rPr>
                <w:sz w:val="16"/>
              </w:rPr>
              <w:t xml:space="preserve">(1),        </w:t>
            </w:r>
          </w:p>
          <w:p>
            <w:pPr>
              <w:pStyle w:val="1"/>
              <w:jc w:val="both"/>
            </w:pPr>
            <w:r>
              <w:rPr>
                <w:sz w:val="16"/>
              </w:rPr>
            </w:r>
            <w:hyperlink w:history="0" r:id="rId179"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пункт "a"</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r>
            <w:hyperlink w:history="0" w:anchor="P311" w:tooltip="a) приняты надлежащие превентивные меры по борьбе с загрязнением;">
              <w:r>
                <w:rPr>
                  <w:sz w:val="16"/>
                  <w:color w:val="0000ff"/>
                </w:rPr>
                <w:t xml:space="preserve">пункты "a"</w:t>
              </w:r>
            </w:hyperlink>
            <w:r>
              <w:rPr>
                <w:sz w:val="16"/>
              </w:rPr>
              <w:t xml:space="preserve"> и </w:t>
            </w:r>
          </w:p>
          <w:p>
            <w:pPr>
              <w:pStyle w:val="1"/>
              <w:jc w:val="both"/>
            </w:pPr>
            <w:r>
              <w:rPr>
                <w:sz w:val="16"/>
              </w:rPr>
            </w:r>
            <w:hyperlink w:history="0" w:anchor="P312" w:tooltip="b) применяются наилучшие доступные технологии;">
              <w:r>
                <w:rPr>
                  <w:sz w:val="16"/>
                  <w:color w:val="0000ff"/>
                </w:rPr>
                <w:t xml:space="preserve">"b"</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3    </w:t>
            </w:r>
          </w:p>
          <w:p>
            <w:pPr>
              <w:pStyle w:val="1"/>
              <w:jc w:val="both"/>
            </w:pPr>
            <w:r>
              <w:rPr>
                <w:sz w:val="16"/>
              </w:rPr>
              <w:t xml:space="preserve">(1),        </w:t>
            </w:r>
          </w:p>
          <w:p>
            <w:pPr>
              <w:pStyle w:val="1"/>
              <w:jc w:val="both"/>
            </w:pPr>
            <w:r>
              <w:rPr>
                <w:sz w:val="16"/>
              </w:rPr>
            </w:r>
            <w:hyperlink w:history="0" r:id="rId180"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пункт "b"</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r>
            <w:hyperlink w:history="0" w:anchor="P313" w:tooltip="c) отсутствует значительное загрязнение;">
              <w:r>
                <w:rPr>
                  <w:sz w:val="16"/>
                  <w:color w:val="0000ff"/>
                </w:rPr>
                <w:t xml:space="preserve">пункт "c"</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3    </w:t>
            </w:r>
          </w:p>
          <w:p>
            <w:pPr>
              <w:pStyle w:val="1"/>
              <w:jc w:val="both"/>
            </w:pPr>
            <w:r>
              <w:rPr>
                <w:sz w:val="16"/>
              </w:rPr>
              <w:t xml:space="preserve">(1),        </w:t>
            </w:r>
          </w:p>
          <w:p>
            <w:pPr>
              <w:pStyle w:val="1"/>
              <w:jc w:val="both"/>
            </w:pPr>
            <w:r>
              <w:rPr>
                <w:sz w:val="16"/>
              </w:rPr>
            </w:r>
            <w:hyperlink w:history="0" r:id="rId181"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пункт "c"</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r>
            <w:hyperlink w:history="0" w:anchor="P314" w:tooltip="d) принимаются меры по предотвращению образования отходов в соответствии с Директивой 2008/98/ЕС;">
              <w:r>
                <w:rPr>
                  <w:sz w:val="16"/>
                  <w:color w:val="0000ff"/>
                </w:rPr>
                <w:t xml:space="preserve">пункты "d"</w:t>
              </w:r>
            </w:hyperlink>
            <w:r>
              <w:rPr>
                <w:sz w:val="16"/>
              </w:rPr>
              <w:t xml:space="preserve"> и </w:t>
            </w:r>
          </w:p>
          <w:p>
            <w:pPr>
              <w:pStyle w:val="1"/>
              <w:jc w:val="both"/>
            </w:pPr>
            <w:r>
              <w:rPr>
                <w:sz w:val="16"/>
              </w:rPr>
            </w:r>
            <w:hyperlink w:history="0" w:anchor="P315" w:tooltip="e) образующиеся отходы в первоочередном порядке в соответствии с Директивой 2008/98/ЕС готовят для повторного использования, переработки, утилизации или при отсутствии технической и экономической возможности осуществляют их захоронение, предотвращая или сокращая любое воздействие на окружающую среду;">
              <w:r>
                <w:rPr>
                  <w:sz w:val="16"/>
                  <w:color w:val="0000ff"/>
                </w:rPr>
                <w:t xml:space="preserve">"e"</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3    </w:t>
            </w:r>
          </w:p>
          <w:p>
            <w:pPr>
              <w:pStyle w:val="1"/>
              <w:jc w:val="both"/>
            </w:pPr>
            <w:r>
              <w:rPr>
                <w:sz w:val="16"/>
              </w:rPr>
              <w:t xml:space="preserve">(1),        </w:t>
            </w:r>
          </w:p>
          <w:p>
            <w:pPr>
              <w:pStyle w:val="1"/>
              <w:jc w:val="both"/>
            </w:pPr>
            <w:r>
              <w:rPr>
                <w:sz w:val="16"/>
              </w:rPr>
            </w:r>
            <w:hyperlink w:history="0" r:id="rId182"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пункт "d"</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r>
            <w:hyperlink w:history="0" w:anchor="P316" w:tooltip="f) энергия используется эффективно;">
              <w:r>
                <w:rPr>
                  <w:sz w:val="16"/>
                  <w:color w:val="0000ff"/>
                </w:rPr>
                <w:t xml:space="preserve">пункт "f"</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3    </w:t>
            </w:r>
          </w:p>
          <w:p>
            <w:pPr>
              <w:pStyle w:val="1"/>
              <w:jc w:val="both"/>
            </w:pPr>
            <w:r>
              <w:rPr>
                <w:sz w:val="16"/>
              </w:rPr>
              <w:t xml:space="preserve">(1),        </w:t>
            </w:r>
          </w:p>
          <w:p>
            <w:pPr>
              <w:pStyle w:val="1"/>
              <w:jc w:val="both"/>
            </w:pPr>
            <w:r>
              <w:rPr>
                <w:sz w:val="16"/>
              </w:rPr>
            </w:r>
            <w:hyperlink w:history="0" r:id="rId183"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пункт "e"</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r>
            <w:hyperlink w:history="0" w:anchor="P317" w:tooltip="g) принимаются необходимые меры по предупреждению аварий и ограничению их последствий;">
              <w:r>
                <w:rPr>
                  <w:sz w:val="16"/>
                  <w:color w:val="0000ff"/>
                </w:rPr>
                <w:t xml:space="preserve">пункт "g"</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3    </w:t>
            </w:r>
          </w:p>
          <w:p>
            <w:pPr>
              <w:pStyle w:val="1"/>
              <w:jc w:val="both"/>
            </w:pPr>
            <w:r>
              <w:rPr>
                <w:sz w:val="16"/>
              </w:rPr>
              <w:t xml:space="preserve">(1),        </w:t>
            </w:r>
          </w:p>
          <w:p>
            <w:pPr>
              <w:pStyle w:val="1"/>
              <w:jc w:val="both"/>
            </w:pPr>
            <w:r>
              <w:rPr>
                <w:sz w:val="16"/>
              </w:rPr>
            </w:r>
            <w:hyperlink w:history="0" r:id="rId184"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пункт "f"</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r>
            <w:hyperlink w:history="0" w:anchor="P318" w:tooltip="h) после окончательного прекращения видов деятельности принимаются необходимые меры по предупреждению риска загрязнения и восстановлению участка эксплуатации до удовлетворительного состояния в соответствии со статьей 22 настоящей Директивы.">
              <w:r>
                <w:rPr>
                  <w:sz w:val="16"/>
                  <w:color w:val="0000ff"/>
                </w:rPr>
                <w:t xml:space="preserve">пункт "h"</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185"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3 (2)</w:t>
              </w:r>
            </w:hyperlink>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186"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5 (1)</w:t>
              </w:r>
            </w:hyperlink>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187"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5 (2)</w:t>
              </w:r>
            </w:hyperlink>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80    </w:t>
            </w:r>
          </w:p>
          <w:p>
            <w:pPr>
              <w:pStyle w:val="1"/>
              <w:jc w:val="both"/>
            </w:pPr>
            <w:r>
              <w:rPr>
                <w:sz w:val="16"/>
              </w:rPr>
            </w:r>
            <w:hyperlink w:history="0" w:anchor="P1190" w:tooltip="Указанные положения должны применяться с той же даты.">
              <w:r>
                <w:rPr>
                  <w:sz w:val="16"/>
                  <w:color w:val="0000ff"/>
                </w:rPr>
                <w:t xml:space="preserve">(1), второй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6    </w:t>
            </w:r>
          </w:p>
          <w:p>
            <w:pPr>
              <w:pStyle w:val="1"/>
              <w:jc w:val="both"/>
            </w:pPr>
            <w:r>
              <w:rPr>
                <w:sz w:val="16"/>
              </w:rPr>
            </w:r>
            <w:hyperlink w:history="0" r:id="rId188"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(1), вводная</w:t>
              </w:r>
            </w:hyperlink>
          </w:p>
          <w:p>
            <w:pPr>
              <w:pStyle w:val="1"/>
              <w:jc w:val="both"/>
            </w:pPr>
            <w:r>
              <w:rPr>
                <w:sz w:val="16"/>
              </w:rPr>
              <w:t xml:space="preserve">фраза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12    </w:t>
            </w:r>
          </w:p>
          <w:p>
            <w:pPr>
              <w:pStyle w:val="1"/>
              <w:jc w:val="both"/>
            </w:pPr>
            <w:r>
              <w:rPr>
                <w:sz w:val="16"/>
              </w:rPr>
              <w:t xml:space="preserve">(1), первый  </w:t>
            </w:r>
          </w:p>
          <w:p>
            <w:pPr>
              <w:pStyle w:val="1"/>
              <w:jc w:val="both"/>
            </w:pPr>
            <w:r>
              <w:rPr>
                <w:sz w:val="16"/>
              </w:rPr>
              <w:t xml:space="preserve">подпараграф, </w:t>
            </w:r>
          </w:p>
          <w:p>
            <w:pPr>
              <w:pStyle w:val="1"/>
              <w:jc w:val="both"/>
            </w:pPr>
            <w:r>
              <w:rPr>
                <w:sz w:val="16"/>
              </w:rPr>
            </w:r>
            <w:hyperlink w:history="0" w:anchor="P324" w:tooltip="1. Государства-члены ЕС принимают необходимые меры, гарантирующие, что заявление на выдачу разрешения содержит указание на:">
              <w:r>
                <w:rPr>
                  <w:sz w:val="16"/>
                  <w:color w:val="0000ff"/>
                </w:rPr>
                <w:t xml:space="preserve">вводная фраза</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6    </w:t>
            </w:r>
          </w:p>
          <w:p>
            <w:pPr>
              <w:pStyle w:val="1"/>
              <w:jc w:val="both"/>
            </w:pPr>
            <w:r>
              <w:rPr>
                <w:sz w:val="16"/>
              </w:rPr>
              <w:t xml:space="preserve">(1), первый </w:t>
            </w:r>
          </w:p>
          <w:p>
            <w:pPr>
              <w:pStyle w:val="1"/>
              <w:jc w:val="both"/>
            </w:pPr>
            <w:r>
              <w:rPr>
                <w:sz w:val="16"/>
              </w:rPr>
              <w:t xml:space="preserve">подпараграф,</w:t>
            </w:r>
          </w:p>
          <w:p>
            <w:pPr>
              <w:pStyle w:val="1"/>
              <w:jc w:val="both"/>
            </w:pPr>
            <w:r>
              <w:rPr>
                <w:sz w:val="16"/>
              </w:rPr>
            </w:r>
            <w:hyperlink w:history="0" r:id="rId189"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пункт "a"</w:t>
              </w:r>
            </w:hyperlink>
            <w:r>
              <w:rPr>
                <w:sz w:val="16"/>
              </w:rPr>
              <w:t xml:space="preserve"> - </w:t>
            </w:r>
          </w:p>
          <w:p>
            <w:pPr>
              <w:pStyle w:val="1"/>
              <w:jc w:val="both"/>
            </w:pPr>
            <w:r>
              <w:rPr>
                <w:sz w:val="16"/>
              </w:rPr>
            </w:r>
            <w:hyperlink w:history="0" r:id="rId190"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"d"</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12    </w:t>
            </w:r>
          </w:p>
          <w:p>
            <w:pPr>
              <w:pStyle w:val="1"/>
              <w:jc w:val="both"/>
            </w:pPr>
            <w:r>
              <w:rPr>
                <w:sz w:val="16"/>
              </w:rPr>
              <w:t xml:space="preserve">(1), первый  </w:t>
            </w:r>
          </w:p>
          <w:p>
            <w:pPr>
              <w:pStyle w:val="1"/>
              <w:jc w:val="both"/>
            </w:pPr>
            <w:r>
              <w:rPr>
                <w:sz w:val="16"/>
              </w:rPr>
              <w:t xml:space="preserve">подпараграф, </w:t>
            </w:r>
          </w:p>
          <w:p>
            <w:pPr>
              <w:pStyle w:val="1"/>
              <w:jc w:val="both"/>
            </w:pPr>
            <w:r>
              <w:rPr>
                <w:sz w:val="16"/>
              </w:rPr>
            </w:r>
            <w:hyperlink w:history="0" w:anchor="P325" w:tooltip="a) установки и виды их деятельности;">
              <w:r>
                <w:rPr>
                  <w:sz w:val="16"/>
                  <w:color w:val="0000ff"/>
                </w:rPr>
                <w:t xml:space="preserve">пункт "a"</w:t>
              </w:r>
            </w:hyperlink>
            <w:r>
              <w:rPr>
                <w:sz w:val="16"/>
              </w:rPr>
              <w:t xml:space="preserve"> -  </w:t>
            </w:r>
          </w:p>
          <w:p>
            <w:pPr>
              <w:pStyle w:val="1"/>
              <w:jc w:val="both"/>
            </w:pPr>
            <w:r>
              <w:rPr>
                <w:sz w:val="16"/>
              </w:rPr>
            </w:r>
            <w:hyperlink w:history="0" w:anchor="P328" w:tooltip="d) особенности участка установки;">
              <w:r>
                <w:rPr>
                  <w:sz w:val="16"/>
                  <w:color w:val="0000ff"/>
                </w:rPr>
                <w:t xml:space="preserve">"d"</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12    </w:t>
            </w:r>
          </w:p>
          <w:p>
            <w:pPr>
              <w:pStyle w:val="1"/>
              <w:jc w:val="both"/>
            </w:pPr>
            <w:r>
              <w:rPr>
                <w:sz w:val="16"/>
              </w:rPr>
              <w:t xml:space="preserve">(1), первый  </w:t>
            </w:r>
          </w:p>
          <w:p>
            <w:pPr>
              <w:pStyle w:val="1"/>
              <w:jc w:val="both"/>
            </w:pPr>
            <w:r>
              <w:rPr>
                <w:sz w:val="16"/>
              </w:rPr>
              <w:t xml:space="preserve">подпараграф, </w:t>
            </w:r>
          </w:p>
          <w:p>
            <w:pPr>
              <w:pStyle w:val="1"/>
              <w:jc w:val="both"/>
            </w:pPr>
            <w:r>
              <w:rPr>
                <w:sz w:val="16"/>
              </w:rPr>
            </w:r>
            <w:hyperlink w:history="0" w:anchor="P329" w:tooltip="e) если применимо, базовый отчет в соответствии со статьей 22 (2) настоящей Директивы;">
              <w:r>
                <w:rPr>
                  <w:sz w:val="16"/>
                  <w:color w:val="0000ff"/>
                </w:rPr>
                <w:t xml:space="preserve">пункт "e"</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6    </w:t>
            </w:r>
          </w:p>
          <w:p>
            <w:pPr>
              <w:pStyle w:val="1"/>
              <w:jc w:val="both"/>
            </w:pPr>
            <w:r>
              <w:rPr>
                <w:sz w:val="16"/>
              </w:rPr>
              <w:t xml:space="preserve">(1), первый </w:t>
            </w:r>
          </w:p>
          <w:p>
            <w:pPr>
              <w:pStyle w:val="1"/>
              <w:jc w:val="both"/>
            </w:pPr>
            <w:r>
              <w:rPr>
                <w:sz w:val="16"/>
              </w:rPr>
              <w:t xml:space="preserve">подпараграф,</w:t>
            </w:r>
          </w:p>
          <w:p>
            <w:pPr>
              <w:pStyle w:val="1"/>
              <w:jc w:val="both"/>
            </w:pPr>
            <w:r>
              <w:rPr>
                <w:sz w:val="16"/>
              </w:rPr>
            </w:r>
            <w:hyperlink w:history="0" r:id="rId191"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пункт "e"</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12    </w:t>
            </w:r>
          </w:p>
          <w:p>
            <w:pPr>
              <w:pStyle w:val="1"/>
              <w:jc w:val="both"/>
            </w:pPr>
            <w:r>
              <w:rPr>
                <w:sz w:val="16"/>
              </w:rPr>
              <w:t xml:space="preserve">(1), первый  </w:t>
            </w:r>
          </w:p>
          <w:p>
            <w:pPr>
              <w:pStyle w:val="1"/>
              <w:jc w:val="both"/>
            </w:pPr>
            <w:r>
              <w:rPr>
                <w:sz w:val="16"/>
              </w:rPr>
              <w:t xml:space="preserve">подпараграф, </w:t>
            </w:r>
          </w:p>
          <w:p>
            <w:pPr>
              <w:pStyle w:val="1"/>
              <w:jc w:val="both"/>
            </w:pPr>
            <w:r>
              <w:rPr>
                <w:sz w:val="16"/>
              </w:rPr>
            </w:r>
            <w:hyperlink w:history="0" w:anchor="P330" w:tooltip="f) природу и количество предполагаемых выбросов от установок в окружающую среду, а также значительное воздействие выбросов на окружающую среду;">
              <w:r>
                <w:rPr>
                  <w:sz w:val="16"/>
                  <w:color w:val="0000ff"/>
                </w:rPr>
                <w:t xml:space="preserve">пункт "f"</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6    </w:t>
            </w:r>
          </w:p>
          <w:p>
            <w:pPr>
              <w:pStyle w:val="1"/>
              <w:jc w:val="both"/>
            </w:pPr>
            <w:r>
              <w:rPr>
                <w:sz w:val="16"/>
              </w:rPr>
              <w:t xml:space="preserve">(1), первый </w:t>
            </w:r>
          </w:p>
          <w:p>
            <w:pPr>
              <w:pStyle w:val="1"/>
              <w:jc w:val="both"/>
            </w:pPr>
            <w:r>
              <w:rPr>
                <w:sz w:val="16"/>
              </w:rPr>
              <w:t xml:space="preserve">подпараграф,</w:t>
            </w:r>
          </w:p>
          <w:p>
            <w:pPr>
              <w:pStyle w:val="1"/>
              <w:jc w:val="both"/>
            </w:pPr>
            <w:r>
              <w:rPr>
                <w:sz w:val="16"/>
              </w:rPr>
            </w:r>
            <w:hyperlink w:history="0" r:id="rId192"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пункт "f"</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12    </w:t>
            </w:r>
          </w:p>
          <w:p>
            <w:pPr>
              <w:pStyle w:val="1"/>
              <w:jc w:val="both"/>
            </w:pPr>
            <w:r>
              <w:rPr>
                <w:sz w:val="16"/>
              </w:rPr>
              <w:t xml:space="preserve">(1), первый  </w:t>
            </w:r>
          </w:p>
          <w:p>
            <w:pPr>
              <w:pStyle w:val="1"/>
              <w:jc w:val="both"/>
            </w:pPr>
            <w:r>
              <w:rPr>
                <w:sz w:val="16"/>
              </w:rPr>
              <w:t xml:space="preserve">подпараграф, </w:t>
            </w:r>
          </w:p>
          <w:p>
            <w:pPr>
              <w:pStyle w:val="1"/>
              <w:jc w:val="both"/>
            </w:pPr>
            <w:r>
              <w:rPr>
                <w:sz w:val="16"/>
              </w:rPr>
            </w:r>
            <w:hyperlink w:history="0" w:anchor="P331" w:tooltip="g) предлагаемые технологии и иные методы предупреждения или, если это невозможно, сокращения выбросов от установок;">
              <w:r>
                <w:rPr>
                  <w:sz w:val="16"/>
                  <w:color w:val="0000ff"/>
                </w:rPr>
                <w:t xml:space="preserve">пункт "g"</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6    </w:t>
            </w:r>
          </w:p>
          <w:p>
            <w:pPr>
              <w:pStyle w:val="1"/>
              <w:jc w:val="both"/>
            </w:pPr>
            <w:r>
              <w:rPr>
                <w:sz w:val="16"/>
              </w:rPr>
              <w:t xml:space="preserve">(1), первый </w:t>
            </w:r>
          </w:p>
          <w:p>
            <w:pPr>
              <w:pStyle w:val="1"/>
              <w:jc w:val="both"/>
            </w:pPr>
            <w:r>
              <w:rPr>
                <w:sz w:val="16"/>
              </w:rPr>
              <w:t xml:space="preserve">подпараграф,</w:t>
            </w:r>
          </w:p>
          <w:p>
            <w:pPr>
              <w:pStyle w:val="1"/>
              <w:jc w:val="both"/>
            </w:pPr>
            <w:r>
              <w:rPr>
                <w:sz w:val="16"/>
              </w:rPr>
            </w:r>
            <w:hyperlink w:history="0" r:id="rId193"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пункт "g"</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12    </w:t>
            </w:r>
          </w:p>
          <w:p>
            <w:pPr>
              <w:pStyle w:val="1"/>
              <w:jc w:val="both"/>
            </w:pPr>
            <w:r>
              <w:rPr>
                <w:sz w:val="16"/>
              </w:rPr>
              <w:t xml:space="preserve">(1), первый  </w:t>
            </w:r>
          </w:p>
          <w:p>
            <w:pPr>
              <w:pStyle w:val="1"/>
              <w:jc w:val="both"/>
            </w:pPr>
            <w:r>
              <w:rPr>
                <w:sz w:val="16"/>
              </w:rPr>
              <w:t xml:space="preserve">подпараграф, </w:t>
            </w:r>
          </w:p>
          <w:p>
            <w:pPr>
              <w:pStyle w:val="1"/>
              <w:jc w:val="both"/>
            </w:pPr>
            <w:r>
              <w:rPr>
                <w:sz w:val="16"/>
              </w:rPr>
            </w:r>
            <w:hyperlink w:history="0" w:anchor="P332" w:tooltip="h) мероприятия по предотвращению образования отходов, а также мероприятия по подготовке к повторному использованию, переработке и утилизации отходов, генерируемых установкой;">
              <w:r>
                <w:rPr>
                  <w:sz w:val="16"/>
                  <w:color w:val="0000ff"/>
                </w:rPr>
                <w:t xml:space="preserve">пункт "h"</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6    </w:t>
            </w:r>
          </w:p>
          <w:p>
            <w:pPr>
              <w:pStyle w:val="1"/>
              <w:jc w:val="both"/>
            </w:pPr>
            <w:r>
              <w:rPr>
                <w:sz w:val="16"/>
              </w:rPr>
              <w:t xml:space="preserve">(1), первый </w:t>
            </w:r>
          </w:p>
          <w:p>
            <w:pPr>
              <w:pStyle w:val="1"/>
              <w:jc w:val="both"/>
            </w:pPr>
            <w:r>
              <w:rPr>
                <w:sz w:val="16"/>
              </w:rPr>
              <w:t xml:space="preserve">подпараграф,</w:t>
            </w:r>
          </w:p>
          <w:p>
            <w:pPr>
              <w:pStyle w:val="1"/>
              <w:jc w:val="both"/>
            </w:pPr>
            <w:r>
              <w:rPr>
                <w:sz w:val="16"/>
              </w:rPr>
            </w:r>
            <w:hyperlink w:history="0" r:id="rId194"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пункт "h"</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12    </w:t>
            </w:r>
          </w:p>
          <w:p>
            <w:pPr>
              <w:pStyle w:val="1"/>
              <w:jc w:val="both"/>
            </w:pPr>
            <w:r>
              <w:rPr>
                <w:sz w:val="16"/>
              </w:rPr>
              <w:t xml:space="preserve">(1), первый  </w:t>
            </w:r>
          </w:p>
          <w:p>
            <w:pPr>
              <w:pStyle w:val="1"/>
              <w:jc w:val="both"/>
            </w:pPr>
            <w:r>
              <w:rPr>
                <w:sz w:val="16"/>
              </w:rPr>
              <w:t xml:space="preserve">подпараграф, </w:t>
            </w:r>
          </w:p>
          <w:p>
            <w:pPr>
              <w:pStyle w:val="1"/>
              <w:jc w:val="both"/>
            </w:pPr>
            <w:r>
              <w:rPr>
                <w:sz w:val="16"/>
              </w:rPr>
            </w:r>
            <w:hyperlink w:history="0" w:anchor="P333" w:tooltip="i) дальнейшие мероприятия, направленные на соблюдение общих принципов, регулирующих основные обязанности оператора, которые предусмотрены статьей 11 настоящей Директивы;">
              <w:r>
                <w:rPr>
                  <w:sz w:val="16"/>
                  <w:color w:val="0000ff"/>
                </w:rPr>
                <w:t xml:space="preserve">пункт "i"</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6    </w:t>
            </w:r>
          </w:p>
          <w:p>
            <w:pPr>
              <w:pStyle w:val="1"/>
              <w:jc w:val="both"/>
            </w:pPr>
            <w:r>
              <w:rPr>
                <w:sz w:val="16"/>
              </w:rPr>
              <w:t xml:space="preserve">(1), первый </w:t>
            </w:r>
          </w:p>
          <w:p>
            <w:pPr>
              <w:pStyle w:val="1"/>
              <w:jc w:val="both"/>
            </w:pPr>
            <w:r>
              <w:rPr>
                <w:sz w:val="16"/>
              </w:rPr>
              <w:t xml:space="preserve">подпараграф,</w:t>
            </w:r>
          </w:p>
          <w:p>
            <w:pPr>
              <w:pStyle w:val="1"/>
              <w:jc w:val="both"/>
            </w:pPr>
            <w:r>
              <w:rPr>
                <w:sz w:val="16"/>
              </w:rPr>
            </w:r>
            <w:hyperlink w:history="0" r:id="rId195"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пункт "i"</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12    </w:t>
            </w:r>
          </w:p>
          <w:p>
            <w:pPr>
              <w:pStyle w:val="1"/>
              <w:jc w:val="both"/>
            </w:pPr>
            <w:r>
              <w:rPr>
                <w:sz w:val="16"/>
              </w:rPr>
              <w:t xml:space="preserve">(1), первый  </w:t>
            </w:r>
          </w:p>
          <w:p>
            <w:pPr>
              <w:pStyle w:val="1"/>
              <w:jc w:val="both"/>
            </w:pPr>
            <w:r>
              <w:rPr>
                <w:sz w:val="16"/>
              </w:rPr>
              <w:t xml:space="preserve">подпараграф, </w:t>
            </w:r>
          </w:p>
          <w:p>
            <w:pPr>
              <w:pStyle w:val="1"/>
              <w:jc w:val="both"/>
            </w:pPr>
            <w:r>
              <w:rPr>
                <w:sz w:val="16"/>
              </w:rPr>
            </w:r>
            <w:hyperlink w:history="0" w:anchor="P334" w:tooltip="j) мероприятия, направленные на мониторинг выбросов в окружающую среду;">
              <w:r>
                <w:rPr>
                  <w:sz w:val="16"/>
                  <w:color w:val="0000ff"/>
                </w:rPr>
                <w:t xml:space="preserve">пункт "j"</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6    </w:t>
            </w:r>
          </w:p>
          <w:p>
            <w:pPr>
              <w:pStyle w:val="1"/>
              <w:jc w:val="both"/>
            </w:pPr>
            <w:r>
              <w:rPr>
                <w:sz w:val="16"/>
              </w:rPr>
              <w:t xml:space="preserve">(1), первый </w:t>
            </w:r>
          </w:p>
          <w:p>
            <w:pPr>
              <w:pStyle w:val="1"/>
              <w:jc w:val="both"/>
            </w:pPr>
            <w:r>
              <w:rPr>
                <w:sz w:val="16"/>
              </w:rPr>
              <w:t xml:space="preserve">подпараграф,</w:t>
            </w:r>
          </w:p>
          <w:p>
            <w:pPr>
              <w:pStyle w:val="1"/>
              <w:jc w:val="both"/>
            </w:pPr>
            <w:r>
              <w:rPr>
                <w:sz w:val="16"/>
              </w:rPr>
            </w:r>
            <w:hyperlink w:history="0" r:id="rId196"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пункт "j"</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12    </w:t>
            </w:r>
          </w:p>
          <w:p>
            <w:pPr>
              <w:pStyle w:val="1"/>
              <w:jc w:val="both"/>
            </w:pPr>
            <w:r>
              <w:rPr>
                <w:sz w:val="16"/>
              </w:rPr>
              <w:t xml:space="preserve">(1), первый  </w:t>
            </w:r>
          </w:p>
          <w:p>
            <w:pPr>
              <w:pStyle w:val="1"/>
              <w:jc w:val="both"/>
            </w:pPr>
            <w:r>
              <w:rPr>
                <w:sz w:val="16"/>
              </w:rPr>
              <w:t xml:space="preserve">подпараграф, </w:t>
            </w:r>
          </w:p>
          <w:p>
            <w:pPr>
              <w:pStyle w:val="1"/>
              <w:jc w:val="both"/>
            </w:pPr>
            <w:r>
              <w:rPr>
                <w:sz w:val="16"/>
              </w:rPr>
            </w:r>
            <w:hyperlink w:history="0" w:anchor="P335" w:tooltip="k) основные альтернативы предлагаемым технологиям, методам и мерам, изученные заявителем в общих чертах.">
              <w:r>
                <w:rPr>
                  <w:sz w:val="16"/>
                  <w:color w:val="0000ff"/>
                </w:rPr>
                <w:t xml:space="preserve">пункт "k"</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6    </w:t>
            </w:r>
          </w:p>
          <w:p>
            <w:pPr>
              <w:pStyle w:val="1"/>
              <w:jc w:val="both"/>
            </w:pPr>
            <w:r>
              <w:rPr>
                <w:sz w:val="16"/>
              </w:rPr>
            </w:r>
            <w:hyperlink w:history="0" r:id="rId197"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(1), второй</w:t>
              </w:r>
            </w:hyperlink>
            <w:r>
              <w:rPr>
                <w:sz w:val="16"/>
              </w:rPr>
            </w:r>
          </w:p>
          <w:p>
            <w:pPr>
              <w:pStyle w:val="1"/>
              <w:jc w:val="both"/>
            </w:pPr>
            <w:r>
              <w:rPr>
                <w:sz w:val="16"/>
              </w:rPr>
              <w:t xml:space="preserve">подпараграф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12    </w:t>
            </w:r>
          </w:p>
          <w:p>
            <w:pPr>
              <w:pStyle w:val="1"/>
              <w:jc w:val="both"/>
            </w:pPr>
            <w:r>
              <w:rPr>
                <w:sz w:val="16"/>
              </w:rPr>
            </w:r>
            <w:hyperlink w:history="0" w:anchor="P336" w:tooltip="Заявление на выдачу разрешения также должно содержать общие выводы по информации, предусмотренной первым подпараграфом.">
              <w:r>
                <w:rPr>
                  <w:sz w:val="16"/>
                  <w:color w:val="0000ff"/>
                </w:rPr>
                <w:t xml:space="preserve">(1), второй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198"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6 (2)</w:t>
              </w:r>
            </w:hyperlink>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337" w:tooltip="2. В случае если информация, поданная в соответствии с требованиями Директивы 85/337/ЕЭС, или отчет о мерах безопасности, подготовленный в соответствии с Директивой 96/82/ЕС, или иная информация, представленная в соответствии с иным законодательством, соответствует требованиям параграфа 1 настоящей статьи, такая информация может быть включена в заявление или представлена в приложении к нему.">
              <w:r>
                <w:rPr>
                  <w:sz w:val="16"/>
                  <w:color w:val="0000ff"/>
                </w:rPr>
                <w:t xml:space="preserve">Статья 12 (2)</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199"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7</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255" w:tooltip="2. Государства-члены ЕС принимают необходимые меры по обеспечению координации условий и порядка выдачи разрешения в случаях, когда задействовано несколько компетентных органов или несколько операторов, а также в случаях выдачи нескольких разрешений, в целях применения всеми компетентными органами эффективного комплексного подхода к этой процедуре.">
              <w:r>
                <w:rPr>
                  <w:sz w:val="16"/>
                  <w:color w:val="0000ff"/>
                </w:rPr>
                <w:t xml:space="preserve">Статья 5 (2)</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8,   </w:t>
            </w:r>
          </w:p>
          <w:p>
            <w:pPr>
              <w:pStyle w:val="1"/>
              <w:jc w:val="both"/>
            </w:pPr>
            <w:r>
              <w:rPr>
                <w:sz w:val="16"/>
              </w:rPr>
            </w:r>
            <w:hyperlink w:history="0" r:id="rId200"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первый</w:t>
              </w:r>
            </w:hyperlink>
            <w:r>
              <w:rPr>
                <w:sz w:val="16"/>
              </w:rPr>
            </w:r>
          </w:p>
          <w:p>
            <w:pPr>
              <w:pStyle w:val="1"/>
              <w:jc w:val="both"/>
            </w:pPr>
            <w:r>
              <w:rPr>
                <w:sz w:val="16"/>
              </w:rPr>
              <w:t xml:space="preserve">параграф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201"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4 (3)</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254" w:tooltip="1. Без ущерба действию других требований, предусмотренных национальным законодательством или законодательством Европейского Союза, компетентный орган выдает разрешение, если установка соответствует требованиям настоящей Директивы.">
              <w:r>
                <w:rPr>
                  <w:sz w:val="16"/>
                  <w:color w:val="0000ff"/>
                </w:rPr>
                <w:t xml:space="preserve">Статья 5 (1)</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8,   </w:t>
            </w:r>
          </w:p>
          <w:p>
            <w:pPr>
              <w:pStyle w:val="1"/>
              <w:jc w:val="both"/>
            </w:pPr>
            <w:r>
              <w:rPr>
                <w:sz w:val="16"/>
              </w:rPr>
            </w:r>
            <w:hyperlink w:history="0" r:id="rId202"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второй</w:t>
              </w:r>
            </w:hyperlink>
            <w:r>
              <w:rPr>
                <w:sz w:val="16"/>
              </w:rPr>
            </w:r>
          </w:p>
          <w:p>
            <w:pPr>
              <w:pStyle w:val="1"/>
              <w:jc w:val="both"/>
            </w:pPr>
            <w:r>
              <w:rPr>
                <w:sz w:val="16"/>
              </w:rPr>
              <w:t xml:space="preserve">параграф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9    </w:t>
            </w:r>
          </w:p>
          <w:p>
            <w:pPr>
              <w:pStyle w:val="1"/>
              <w:jc w:val="both"/>
            </w:pPr>
            <w:r>
              <w:rPr>
                <w:sz w:val="16"/>
              </w:rPr>
            </w:r>
            <w:hyperlink w:history="0" r:id="rId203"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(1), первая</w:t>
              </w:r>
            </w:hyperlink>
            <w:r>
              <w:rPr>
                <w:sz w:val="16"/>
              </w:rPr>
            </w:r>
          </w:p>
          <w:p>
            <w:pPr>
              <w:pStyle w:val="1"/>
              <w:jc w:val="both"/>
            </w:pPr>
            <w:r>
              <w:rPr>
                <w:sz w:val="16"/>
              </w:rPr>
              <w:t xml:space="preserve">часть       </w:t>
            </w:r>
          </w:p>
          <w:p>
            <w:pPr>
              <w:pStyle w:val="1"/>
              <w:jc w:val="both"/>
            </w:pPr>
            <w:r>
              <w:rPr>
                <w:sz w:val="16"/>
              </w:rPr>
              <w:t xml:space="preserve">предложения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14    </w:t>
            </w:r>
          </w:p>
          <w:p>
            <w:pPr>
              <w:pStyle w:val="1"/>
              <w:jc w:val="both"/>
            </w:pPr>
            <w:r>
              <w:rPr>
                <w:sz w:val="16"/>
              </w:rPr>
            </w:r>
            <w:hyperlink w:history="0" w:anchor="P364" w:tooltip="1. Государства-члены ЕС гарантируют, что разрешение содержит все данные, необходимые для соблюдения требований статей 11 и 18 настоящей Директивы.">
              <w:r>
                <w:rPr>
                  <w:sz w:val="16"/>
                  <w:color w:val="0000ff"/>
                </w:rPr>
                <w:t xml:space="preserve">(1), первый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9    </w:t>
            </w:r>
          </w:p>
          <w:p>
            <w:pPr>
              <w:pStyle w:val="1"/>
              <w:jc w:val="both"/>
            </w:pPr>
            <w:r>
              <w:rPr>
                <w:sz w:val="16"/>
              </w:rPr>
            </w:r>
            <w:hyperlink w:history="0" r:id="rId204"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(1), вторая</w:t>
              </w:r>
            </w:hyperlink>
            <w:r>
              <w:rPr>
                <w:sz w:val="16"/>
              </w:rPr>
            </w:r>
          </w:p>
          <w:p>
            <w:pPr>
              <w:pStyle w:val="1"/>
              <w:jc w:val="both"/>
            </w:pPr>
            <w:r>
              <w:rPr>
                <w:sz w:val="16"/>
              </w:rPr>
              <w:t xml:space="preserve">часть       </w:t>
            </w:r>
          </w:p>
          <w:p>
            <w:pPr>
              <w:pStyle w:val="1"/>
              <w:jc w:val="both"/>
            </w:pPr>
            <w:r>
              <w:rPr>
                <w:sz w:val="16"/>
              </w:rPr>
              <w:t xml:space="preserve">предложения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205"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9 (2)</w:t>
              </w:r>
            </w:hyperlink>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256" w:tooltip="3. В отношении новых установок или при существенных изменениях, когда применяется статья 4 Директивы 85/337/ЕЭС, любая соответствующая информация или выводы, полученные в соответствии со статьями 5, 6, 7 и 9 указанной Директивы, должны быть рассмотрены и использованы в целях выдачи разрешения.">
              <w:r>
                <w:rPr>
                  <w:sz w:val="16"/>
                  <w:color w:val="0000ff"/>
                </w:rPr>
                <w:t xml:space="preserve">Статья 5 (3)</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9    </w:t>
            </w:r>
          </w:p>
          <w:p>
            <w:pPr>
              <w:pStyle w:val="1"/>
              <w:jc w:val="both"/>
            </w:pPr>
            <w:r>
              <w:rPr>
                <w:sz w:val="16"/>
              </w:rPr>
              <w:t xml:space="preserve">(3), первый </w:t>
            </w:r>
          </w:p>
          <w:p>
            <w:pPr>
              <w:pStyle w:val="1"/>
              <w:jc w:val="both"/>
            </w:pPr>
            <w:r>
              <w:rPr>
                <w:sz w:val="16"/>
              </w:rPr>
              <w:t xml:space="preserve">подпараграф,</w:t>
            </w:r>
          </w:p>
          <w:p>
            <w:pPr>
              <w:pStyle w:val="1"/>
              <w:jc w:val="both"/>
            </w:pPr>
            <w:r>
              <w:rPr>
                <w:sz w:val="16"/>
              </w:rPr>
            </w:r>
            <w:hyperlink w:history="0" r:id="rId206"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первое</w:t>
              </w:r>
            </w:hyperlink>
            <w:r>
              <w:rPr>
                <w:sz w:val="16"/>
              </w:rPr>
              <w:t xml:space="preserve"> и    </w:t>
            </w:r>
          </w:p>
          <w:p>
            <w:pPr>
              <w:pStyle w:val="1"/>
              <w:jc w:val="both"/>
            </w:pPr>
            <w:r>
              <w:rPr>
                <w:sz w:val="16"/>
              </w:rPr>
            </w:r>
            <w:hyperlink w:history="0" r:id="rId207"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второе</w:t>
              </w:r>
            </w:hyperlink>
            <w:r>
              <w:rPr>
                <w:sz w:val="16"/>
              </w:rPr>
            </w:r>
          </w:p>
          <w:p>
            <w:pPr>
              <w:pStyle w:val="1"/>
              <w:jc w:val="both"/>
            </w:pPr>
            <w:r>
              <w:rPr>
                <w:sz w:val="16"/>
              </w:rPr>
              <w:t xml:space="preserve">предложение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14    </w:t>
            </w:r>
          </w:p>
          <w:p>
            <w:pPr>
              <w:pStyle w:val="1"/>
              <w:jc w:val="both"/>
            </w:pPr>
            <w:r>
              <w:rPr>
                <w:sz w:val="16"/>
              </w:rPr>
              <w:t xml:space="preserve">(1), второй  </w:t>
            </w:r>
          </w:p>
          <w:p>
            <w:pPr>
              <w:pStyle w:val="1"/>
              <w:jc w:val="both"/>
            </w:pPr>
            <w:r>
              <w:rPr>
                <w:sz w:val="16"/>
              </w:rPr>
              <w:t xml:space="preserve">подпараграф  </w:t>
            </w:r>
          </w:p>
          <w:p>
            <w:pPr>
              <w:pStyle w:val="1"/>
              <w:jc w:val="both"/>
            </w:pPr>
            <w:r>
              <w:rPr>
                <w:sz w:val="16"/>
              </w:rPr>
            </w:r>
            <w:hyperlink w:history="0" w:anchor="P365" w:tooltip="Такие данные включают, как минимум, следующие:">
              <w:r>
                <w:rPr>
                  <w:sz w:val="16"/>
                  <w:color w:val="0000ff"/>
                </w:rPr>
                <w:t xml:space="preserve">вводная фраза</w:t>
              </w:r>
            </w:hyperlink>
          </w:p>
          <w:p>
            <w:pPr>
              <w:pStyle w:val="1"/>
              <w:jc w:val="both"/>
            </w:pPr>
            <w:r>
              <w:rPr>
                <w:sz w:val="16"/>
              </w:rPr>
              <w:t xml:space="preserve">и </w:t>
            </w:r>
            <w:hyperlink w:history="0" w:anchor="P366" w:tooltip="a) пороговые значения выбросов для загрязняющих веществ, перечисленных в Приложении II к настоящей Директиве, а также для иных загрязняющих веществ, которые могут выделяться из соответствующих установок в значительных количествах, с учетом их природы и потенциальной возможности переносить загрязнение от одного объекта окружающей среды к другому;">
              <w:r>
                <w:rPr>
                  <w:sz w:val="16"/>
                  <w:color w:val="0000ff"/>
                </w:rPr>
                <w:t xml:space="preserve">пункты "a"</w:t>
              </w:r>
            </w:hyperlink>
            <w:r>
              <w:rPr>
                <w:sz w:val="16"/>
              </w:rPr>
            </w:r>
          </w:p>
          <w:p>
            <w:pPr>
              <w:pStyle w:val="1"/>
              <w:jc w:val="both"/>
            </w:pPr>
            <w:r>
              <w:rPr>
                <w:sz w:val="16"/>
              </w:rPr>
              <w:t xml:space="preserve">и </w:t>
            </w:r>
            <w:hyperlink w:history="0" w:anchor="P367" w:tooltip="b) надлежащие требования, направленные на охрану почв и грунтовых вод, а также мероприятия по мониторингу и управлению образовавшимися отходами;">
              <w:r>
                <w:rPr>
                  <w:sz w:val="16"/>
                  <w:color w:val="0000ff"/>
                </w:rPr>
                <w:t xml:space="preserve">"b"</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9    </w:t>
            </w:r>
          </w:p>
          <w:p>
            <w:pPr>
              <w:pStyle w:val="1"/>
              <w:jc w:val="both"/>
            </w:pPr>
            <w:r>
              <w:rPr>
                <w:sz w:val="16"/>
              </w:rPr>
              <w:t xml:space="preserve">(3), первый </w:t>
            </w:r>
          </w:p>
          <w:p>
            <w:pPr>
              <w:pStyle w:val="1"/>
              <w:jc w:val="both"/>
            </w:pPr>
            <w:r>
              <w:rPr>
                <w:sz w:val="16"/>
              </w:rPr>
              <w:t xml:space="preserve">подпараграф,</w:t>
            </w:r>
          </w:p>
          <w:p>
            <w:pPr>
              <w:pStyle w:val="1"/>
              <w:jc w:val="both"/>
            </w:pPr>
            <w:r>
              <w:rPr>
                <w:sz w:val="16"/>
              </w:rPr>
            </w:r>
            <w:hyperlink w:history="0" r:id="rId208"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третье</w:t>
              </w:r>
            </w:hyperlink>
            <w:r>
              <w:rPr>
                <w:sz w:val="16"/>
              </w:rPr>
            </w:r>
          </w:p>
          <w:p>
            <w:pPr>
              <w:pStyle w:val="1"/>
              <w:jc w:val="both"/>
            </w:pPr>
            <w:r>
              <w:rPr>
                <w:sz w:val="16"/>
              </w:rPr>
              <w:t xml:space="preserve">предложение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378" w:tooltip="2. В целях параграфа 1 &quot;a&quot; настоящей статьи пороговые значения выбросов могут быть дополнены или заменены эквивалентными параметрами или техническими мероприятиями, обеспечивающими эквивалентный уровень защиты окружающей среды.">
              <w:r>
                <w:rPr>
                  <w:sz w:val="16"/>
                  <w:color w:val="0000ff"/>
                </w:rPr>
                <w:t xml:space="preserve">Статья 14 (2)</w:t>
              </w:r>
            </w:hyperlink>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14    </w:t>
            </w:r>
          </w:p>
          <w:p>
            <w:pPr>
              <w:pStyle w:val="1"/>
              <w:jc w:val="both"/>
            </w:pPr>
            <w:r>
              <w:rPr>
                <w:sz w:val="16"/>
              </w:rPr>
            </w:r>
            <w:hyperlink w:history="0" w:anchor="P379" w:tooltip="3. Необходимо делать ссылку на заключения BAT при разработке условий разрешения.">
              <w:r>
                <w:rPr>
                  <w:sz w:val="16"/>
                  <w:color w:val="0000ff"/>
                </w:rPr>
                <w:t xml:space="preserve">(3)</w:t>
              </w:r>
            </w:hyperlink>
            <w:r>
              <w:rPr>
                <w:sz w:val="16"/>
              </w:rPr>
              <w:t xml:space="preserve">, </w:t>
            </w:r>
            <w:hyperlink w:history="0" w:anchor="P380" w:tooltip="4. Без ущерба действия статьи 18 настоящей Директивы компетентный орган вправе устанавливать более жесткие условия разрешений по сравнению с условиями, достижимыми при использовании наилучших доступных технологий, как предусмотрено заключениями BAT. Государства-члены ЕС вправе предусмотреть нормы, в соответствии с которыми компетентный орган может определять такие условия.">
              <w:r>
                <w:rPr>
                  <w:sz w:val="16"/>
                  <w:color w:val="0000ff"/>
                </w:rPr>
                <w:t xml:space="preserve">(4)</w:t>
              </w:r>
            </w:hyperlink>
            <w:r>
              <w:rPr>
                <w:sz w:val="16"/>
              </w:rPr>
              <w:t xml:space="preserve"> и   </w:t>
            </w:r>
          </w:p>
          <w:p>
            <w:pPr>
              <w:pStyle w:val="1"/>
              <w:jc w:val="both"/>
            </w:pPr>
            <w:r>
              <w:rPr>
                <w:sz w:val="16"/>
              </w:rPr>
            </w:r>
            <w:hyperlink w:history="0" w:anchor="P386" w:tooltip="7. По отношению к установкам, предусмотренным в пункте 6.6 Приложения I к настоящей Директиве, параграфы 1 - 6 настоящей статьи применяются без ущерба действию законодательства о защите благосостояния животных.">
              <w:r>
                <w:rPr>
                  <w:sz w:val="16"/>
                  <w:color w:val="0000ff"/>
                </w:rPr>
                <w:t xml:space="preserve">(7)</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14    </w:t>
            </w:r>
          </w:p>
          <w:p>
            <w:pPr>
              <w:pStyle w:val="1"/>
              <w:jc w:val="both"/>
            </w:pPr>
            <w:r>
              <w:rPr>
                <w:sz w:val="16"/>
              </w:rPr>
            </w:r>
            <w:hyperlink w:history="0" w:anchor="P381" w:tooltip="5. В случае если компетентный орган определяет условия разрешений на основе наилучших доступных технологий, не описанных в соответствующих заключениях BAT, он должен гарантировать, что:">
              <w:r>
                <w:rPr>
                  <w:sz w:val="16"/>
                  <w:color w:val="0000ff"/>
                </w:rPr>
                <w:t xml:space="preserve">(5), вводная</w:t>
              </w:r>
            </w:hyperlink>
            <w:r>
              <w:rPr>
                <w:sz w:val="16"/>
              </w:rPr>
            </w:r>
          </w:p>
          <w:p>
            <w:pPr>
              <w:pStyle w:val="1"/>
              <w:jc w:val="both"/>
            </w:pPr>
            <w:r>
              <w:rPr>
                <w:sz w:val="16"/>
              </w:rPr>
              <w:t xml:space="preserve">фраза и пункт</w:t>
            </w:r>
          </w:p>
          <w:p>
            <w:pPr>
              <w:pStyle w:val="1"/>
              <w:jc w:val="both"/>
            </w:pPr>
            <w:r>
              <w:rPr>
                <w:sz w:val="16"/>
              </w:rPr>
            </w:r>
            <w:hyperlink w:history="0" w:anchor="P383" w:tooltip="b) требования статьи 15 настоящей Директивы соблюдены.">
              <w:r>
                <w:rPr>
                  <w:sz w:val="16"/>
                  <w:color w:val="0000ff"/>
                </w:rPr>
                <w:t xml:space="preserve">"b" первого</w:t>
              </w:r>
            </w:hyperlink>
            <w:r>
              <w:rPr>
                <w:sz w:val="16"/>
              </w:rPr>
            </w:r>
          </w:p>
          <w:p>
            <w:pPr>
              <w:pStyle w:val="1"/>
              <w:jc w:val="both"/>
            </w:pPr>
            <w:r>
              <w:rPr>
                <w:sz w:val="16"/>
              </w:rPr>
              <w:t xml:space="preserve">подпараграфа </w:t>
            </w:r>
          </w:p>
          <w:p>
            <w:pPr>
              <w:pStyle w:val="1"/>
              <w:jc w:val="both"/>
            </w:pPr>
            <w:r>
              <w:rPr>
                <w:sz w:val="16"/>
              </w:rPr>
              <w:t xml:space="preserve">и статья 14  </w:t>
            </w:r>
          </w:p>
          <w:p>
            <w:pPr>
              <w:pStyle w:val="1"/>
              <w:jc w:val="both"/>
            </w:pPr>
            <w:r>
              <w:rPr>
                <w:sz w:val="16"/>
              </w:rPr>
            </w:r>
            <w:hyperlink w:history="0" w:anchor="P384" w:tooltip="В случае если заключения BAT, предусмотренные первым подпараграфом настоящего параграфа, не содержат уровней выбросов, утвержденных в соответствии с наилучшими доступными технологиями, компетентный орган гарантирует, что технологии, предусмотренные первым подпараграфом настоящего параграфа, обеспечивают уровень защиты окружающей среды, эквивалентный использованию наилучших доступных технологий, описанных в заключениях BAT.">
              <w:r>
                <w:rPr>
                  <w:sz w:val="16"/>
                  <w:color w:val="0000ff"/>
                </w:rPr>
                <w:t xml:space="preserve">(5), второй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9    </w:t>
            </w:r>
          </w:p>
          <w:p>
            <w:pPr>
              <w:pStyle w:val="1"/>
              <w:jc w:val="both"/>
            </w:pPr>
            <w:r>
              <w:rPr>
                <w:sz w:val="16"/>
              </w:rPr>
            </w:r>
            <w:hyperlink w:history="0" r:id="rId209"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(3), второй</w:t>
              </w:r>
            </w:hyperlink>
            <w:r>
              <w:rPr>
                <w:sz w:val="16"/>
              </w:rPr>
            </w:r>
          </w:p>
          <w:p>
            <w:pPr>
              <w:pStyle w:val="1"/>
              <w:jc w:val="both"/>
            </w:pPr>
            <w:r>
              <w:rPr>
                <w:sz w:val="16"/>
              </w:rPr>
              <w:t xml:space="preserve">подпараграф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9    </w:t>
            </w:r>
          </w:p>
          <w:p>
            <w:pPr>
              <w:pStyle w:val="1"/>
              <w:jc w:val="both"/>
            </w:pPr>
            <w:r>
              <w:rPr>
                <w:sz w:val="16"/>
              </w:rPr>
            </w:r>
            <w:hyperlink w:history="0" r:id="rId210"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(3), третий</w:t>
              </w:r>
            </w:hyperlink>
            <w:r>
              <w:rPr>
                <w:sz w:val="16"/>
              </w:rPr>
            </w:r>
          </w:p>
          <w:p>
            <w:pPr>
              <w:pStyle w:val="1"/>
              <w:jc w:val="both"/>
            </w:pPr>
            <w:r>
              <w:rPr>
                <w:sz w:val="16"/>
              </w:rPr>
              <w:t xml:space="preserve">подпараграф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292" w:tooltip="1. В случае если выбросы парниковых газов от установок определены в приложении I к Директиве 2003/87/ЕС для видов деятельности, осуществляемых на таких установках, то в разрешении не нужно указывать пороговые значения для непосредственных выбросов таких газов, за исключением тех случаев, когда необходимо гарантировать отсутствие значительного загрязнения на местном уровне.">
              <w:r>
                <w:rPr>
                  <w:sz w:val="16"/>
                  <w:color w:val="0000ff"/>
                </w:rPr>
                <w:t xml:space="preserve">Статья 9 (1)</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9    </w:t>
            </w:r>
          </w:p>
          <w:p>
            <w:pPr>
              <w:pStyle w:val="1"/>
              <w:jc w:val="both"/>
            </w:pPr>
            <w:r>
              <w:rPr>
                <w:sz w:val="16"/>
              </w:rPr>
              <w:t xml:space="preserve">(3),        </w:t>
            </w:r>
          </w:p>
          <w:p>
            <w:pPr>
              <w:pStyle w:val="1"/>
              <w:jc w:val="both"/>
            </w:pPr>
            <w:r>
              <w:rPr>
                <w:sz w:val="16"/>
              </w:rPr>
            </w:r>
            <w:hyperlink w:history="0" r:id="rId211"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четвертый</w:t>
              </w:r>
            </w:hyperlink>
            <w:r>
              <w:rPr>
                <w:sz w:val="16"/>
              </w:rPr>
            </w:r>
          </w:p>
          <w:p>
            <w:pPr>
              <w:pStyle w:val="1"/>
              <w:jc w:val="both"/>
            </w:pPr>
            <w:r>
              <w:rPr>
                <w:sz w:val="16"/>
              </w:rPr>
              <w:t xml:space="preserve">подпараграф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293" w:tooltip="2. Для видов деятельности, перечисленных в приложении I к Директиве 2003/87/ЕС, государства-члены ЕС вправе не устанавливать требование об энергетической эффективности в отношении заводов по сжиганию или иных комплексов, выпускающих углекислый газ.">
              <w:r>
                <w:rPr>
                  <w:sz w:val="16"/>
                  <w:color w:val="0000ff"/>
                </w:rPr>
                <w:t xml:space="preserve">Статья 9 (2)</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9    </w:t>
            </w:r>
          </w:p>
          <w:p>
            <w:pPr>
              <w:pStyle w:val="1"/>
              <w:jc w:val="both"/>
            </w:pPr>
            <w:r>
              <w:rPr>
                <w:sz w:val="16"/>
              </w:rPr>
            </w:r>
            <w:hyperlink w:history="0" r:id="rId212"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(3), пятый</w:t>
              </w:r>
            </w:hyperlink>
            <w:r>
              <w:rPr>
                <w:sz w:val="16"/>
              </w:rPr>
            </w:r>
          </w:p>
          <w:p>
            <w:pPr>
              <w:pStyle w:val="1"/>
              <w:jc w:val="both"/>
            </w:pPr>
            <w:r>
              <w:rPr>
                <w:sz w:val="16"/>
              </w:rPr>
              <w:t xml:space="preserve">подпараграф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294" w:tooltip="3. При необходимости компетентные органы вносят в разрешение изменения.">
              <w:r>
                <w:rPr>
                  <w:sz w:val="16"/>
                  <w:color w:val="0000ff"/>
                </w:rPr>
                <w:t xml:space="preserve">Статья 9 (3)</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9    </w:t>
            </w:r>
          </w:p>
          <w:p>
            <w:pPr>
              <w:pStyle w:val="1"/>
              <w:jc w:val="both"/>
            </w:pPr>
            <w:r>
              <w:rPr>
                <w:sz w:val="16"/>
              </w:rPr>
            </w:r>
            <w:hyperlink w:history="0" r:id="rId213"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(3), шестой</w:t>
              </w:r>
            </w:hyperlink>
            <w:r>
              <w:rPr>
                <w:sz w:val="16"/>
              </w:rPr>
            </w:r>
          </w:p>
          <w:p>
            <w:pPr>
              <w:pStyle w:val="1"/>
              <w:jc w:val="both"/>
            </w:pPr>
            <w:r>
              <w:rPr>
                <w:sz w:val="16"/>
              </w:rPr>
              <w:t xml:space="preserve">подпараграф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295" w:tooltip="4. Параграфы 1 - 3 настоящей статьи не применяются к установкам, которые временно исключены из сферы действия схемы торговли квотами на выброс парниковых газов в Европейском Союзе, предусмотренной статьей 27 Директивы 2003/87/ЕС.">
              <w:r>
                <w:rPr>
                  <w:sz w:val="16"/>
                  <w:color w:val="0000ff"/>
                </w:rPr>
                <w:t xml:space="preserve">Статья 9 (4)</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r>
            <w:hyperlink w:history="0" w:anchor="P300" w:tooltip="Статья 10">
              <w:r>
                <w:rPr>
                  <w:sz w:val="16"/>
                  <w:color w:val="0000ff"/>
                </w:rPr>
                <w:t xml:space="preserve">Статья 10</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9    </w:t>
            </w:r>
          </w:p>
          <w:p>
            <w:pPr>
              <w:pStyle w:val="1"/>
              <w:jc w:val="both"/>
            </w:pPr>
            <w:r>
              <w:rPr>
                <w:sz w:val="16"/>
              </w:rPr>
            </w:r>
            <w:hyperlink w:history="0" r:id="rId214"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(4), первая</w:t>
              </w:r>
            </w:hyperlink>
            <w:r>
              <w:rPr>
                <w:sz w:val="16"/>
              </w:rPr>
            </w:r>
          </w:p>
          <w:p>
            <w:pPr>
              <w:pStyle w:val="1"/>
              <w:jc w:val="both"/>
            </w:pPr>
            <w:r>
              <w:rPr>
                <w:sz w:val="16"/>
              </w:rPr>
              <w:t xml:space="preserve">часть       </w:t>
            </w:r>
          </w:p>
          <w:p>
            <w:pPr>
              <w:pStyle w:val="1"/>
              <w:jc w:val="both"/>
            </w:pPr>
            <w:r>
              <w:rPr>
                <w:sz w:val="16"/>
              </w:rPr>
              <w:t xml:space="preserve">первого     </w:t>
            </w:r>
          </w:p>
          <w:p>
            <w:pPr>
              <w:pStyle w:val="1"/>
              <w:jc w:val="both"/>
            </w:pPr>
            <w:r>
              <w:rPr>
                <w:sz w:val="16"/>
              </w:rPr>
              <w:t xml:space="preserve">предложения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395" w:tooltip="2. Без ущерба действия статьи 18 настоящей Директивы пороговые значения выбросов, эквивалентные параметры и технические мероприятия, предусмотренные в статье 14 (1) и (2) настоящей Директивы, должны быть основаны на наилучших доступных технологиях; при этом не предписывается использование определенных технологий.">
              <w:r>
                <w:rPr>
                  <w:sz w:val="16"/>
                  <w:color w:val="0000ff"/>
                </w:rPr>
                <w:t xml:space="preserve">Статья 15 (2)</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9    </w:t>
            </w:r>
          </w:p>
          <w:p>
            <w:pPr>
              <w:pStyle w:val="1"/>
              <w:jc w:val="both"/>
            </w:pPr>
            <w:r>
              <w:rPr>
                <w:sz w:val="16"/>
              </w:rPr>
            </w:r>
            <w:hyperlink w:history="0" r:id="rId215"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(4), вторая</w:t>
              </w:r>
            </w:hyperlink>
            <w:r>
              <w:rPr>
                <w:sz w:val="16"/>
              </w:rPr>
            </w:r>
          </w:p>
          <w:p>
            <w:pPr>
              <w:pStyle w:val="1"/>
              <w:jc w:val="both"/>
            </w:pPr>
            <w:r>
              <w:rPr>
                <w:sz w:val="16"/>
              </w:rPr>
              <w:t xml:space="preserve">часть       </w:t>
            </w:r>
          </w:p>
          <w:p>
            <w:pPr>
              <w:pStyle w:val="1"/>
              <w:jc w:val="both"/>
            </w:pPr>
            <w:r>
              <w:rPr>
                <w:sz w:val="16"/>
              </w:rPr>
              <w:t xml:space="preserve">первого     </w:t>
            </w:r>
          </w:p>
          <w:p>
            <w:pPr>
              <w:pStyle w:val="1"/>
              <w:jc w:val="both"/>
            </w:pPr>
            <w:r>
              <w:rPr>
                <w:sz w:val="16"/>
              </w:rPr>
              <w:t xml:space="preserve">предложения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15    </w:t>
            </w:r>
          </w:p>
          <w:p>
            <w:pPr>
              <w:pStyle w:val="1"/>
              <w:jc w:val="both"/>
            </w:pPr>
            <w:r>
              <w:rPr>
                <w:sz w:val="16"/>
              </w:rPr>
            </w:r>
            <w:hyperlink w:history="0" w:anchor="P400" w:tooltip="4. В порядке частичного отступления от параграфа 3 настоящей статьи и без ущерба действия статьи 18 настоящей Директивы компетентный орган вправе в особых случаях устанавливать менее жесткие пороговые значения выбросов. Такое отступление может применяться только в случае, если оценка показывает, что достижение уровней выбросов, утвержденных в соответствии с наилучшими доступными технологиями, как указано в заключениях BAT, приведет к высоким издержкам, несоразмерным по сравнению с выгодами для окружающей...">
              <w:r>
                <w:rPr>
                  <w:sz w:val="16"/>
                  <w:color w:val="0000ff"/>
                </w:rPr>
                <w:t xml:space="preserve">(4), первый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15    </w:t>
            </w:r>
          </w:p>
          <w:p>
            <w:pPr>
              <w:pStyle w:val="1"/>
              <w:jc w:val="both"/>
            </w:pPr>
            <w:r>
              <w:rPr>
                <w:sz w:val="16"/>
              </w:rPr>
            </w:r>
            <w:hyperlink w:history="0" w:anchor="P403" w:tooltip="В приложениях к выданным разрешениям компетентный орган указывает причины применения первого подпараграфа, в том числе результаты оценки и обоснование вводимых условий.">
              <w:r>
                <w:rPr>
                  <w:sz w:val="16"/>
                  <w:color w:val="0000ff"/>
                </w:rPr>
                <w:t xml:space="preserve">(4), второй</w:t>
              </w:r>
            </w:hyperlink>
            <w:r>
              <w:rPr>
                <w:sz w:val="16"/>
              </w:rPr>
              <w:t xml:space="preserve"> -</w:t>
            </w:r>
          </w:p>
          <w:p>
            <w:pPr>
              <w:pStyle w:val="1"/>
              <w:jc w:val="both"/>
            </w:pPr>
            <w:r>
              <w:rPr>
                <w:sz w:val="16"/>
              </w:rPr>
            </w:r>
            <w:hyperlink w:history="0" w:anchor="P406" w:tooltip="На основе информации, предоставленной государствами-членами ЕС в соответствии со статьей 72 (1) настоящей Директивы, в частности, относительно применения настоящего параграфа, Европейская комиссия вправе при необходимости оценивать и впоследствии разъяснять путем рекомендаций критерии, которые должны быть учтены при применении настоящего параграфа.">
              <w:r>
                <w:rPr>
                  <w:sz w:val="16"/>
                  <w:color w:val="0000ff"/>
                </w:rPr>
                <w:t xml:space="preserve">пятый</w:t>
              </w:r>
            </w:hyperlink>
            <w:r>
              <w:rPr>
                <w:sz w:val="16"/>
              </w:rPr>
            </w:r>
          </w:p>
          <w:p>
            <w:pPr>
              <w:pStyle w:val="1"/>
              <w:jc w:val="both"/>
            </w:pPr>
            <w:r>
              <w:rPr>
                <w:sz w:val="16"/>
              </w:rPr>
              <w:t xml:space="preserve">подпараграфы,</w:t>
            </w:r>
          </w:p>
          <w:p>
            <w:pPr>
              <w:pStyle w:val="1"/>
              <w:jc w:val="both"/>
            </w:pPr>
            <w:r>
              <w:rPr>
                <w:sz w:val="16"/>
              </w:rPr>
              <w:t xml:space="preserve">и статья 15  </w:t>
            </w:r>
          </w:p>
          <w:p>
            <w:pPr>
              <w:pStyle w:val="1"/>
              <w:jc w:val="both"/>
            </w:pPr>
            <w:r>
              <w:rPr>
                <w:sz w:val="16"/>
              </w:rPr>
            </w:r>
            <w:hyperlink w:history="0" w:anchor="P408" w:tooltip="5. Компетентный орган вправе допустить временное частичное отступление от требований параграфов 2 и 3 настоящей статьи, а также от требований статьи 11 &quot;a&quot; и &quot;b&quot; настоящей Директивы в отношении тестирования и использования появляющихся технологий на весь период, не превышающий девяти месяцев, при условии, что по окончании указанного периода применение технологии прекращено или обеспечено достижение как минимум уровней выбросов, утвержденных в соответствии с наилучшими доступными технологиями.">
              <w:r>
                <w:rPr>
                  <w:sz w:val="16"/>
                  <w:color w:val="0000ff"/>
                </w:rPr>
                <w:t xml:space="preserve">(5)</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9    </w:t>
            </w:r>
          </w:p>
          <w:p>
            <w:pPr>
              <w:pStyle w:val="1"/>
              <w:jc w:val="both"/>
            </w:pPr>
            <w:r>
              <w:rPr>
                <w:sz w:val="16"/>
              </w:rPr>
            </w:r>
            <w:hyperlink w:history="0" r:id="rId216"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(4), второе</w:t>
              </w:r>
            </w:hyperlink>
            <w:r>
              <w:rPr>
                <w:sz w:val="16"/>
              </w:rPr>
            </w:r>
          </w:p>
          <w:p>
            <w:pPr>
              <w:pStyle w:val="1"/>
              <w:jc w:val="both"/>
            </w:pPr>
            <w:r>
              <w:rPr>
                <w:sz w:val="16"/>
              </w:rPr>
              <w:t xml:space="preserve">предложение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14    </w:t>
            </w:r>
          </w:p>
          <w:p>
            <w:pPr>
              <w:pStyle w:val="1"/>
              <w:jc w:val="both"/>
            </w:pPr>
            <w:r>
              <w:rPr>
                <w:sz w:val="16"/>
              </w:rPr>
              <w:t xml:space="preserve">(1), второй  </w:t>
            </w:r>
          </w:p>
          <w:p>
            <w:pPr>
              <w:pStyle w:val="1"/>
              <w:jc w:val="both"/>
            </w:pPr>
            <w:r>
              <w:rPr>
                <w:sz w:val="16"/>
              </w:rPr>
              <w:t xml:space="preserve">подпараграф, </w:t>
            </w:r>
          </w:p>
          <w:p>
            <w:pPr>
              <w:pStyle w:val="1"/>
              <w:jc w:val="both"/>
            </w:pPr>
            <w:r>
              <w:rPr>
                <w:sz w:val="16"/>
              </w:rPr>
            </w:r>
            <w:hyperlink w:history="0" w:anchor="P376" w:tooltip="g) положения о минимизации трансграничного загрязнения или загрязнения на большие расстояния;">
              <w:r>
                <w:rPr>
                  <w:sz w:val="16"/>
                  <w:color w:val="0000ff"/>
                </w:rPr>
                <w:t xml:space="preserve">пункт "g"</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14    </w:t>
            </w:r>
          </w:p>
          <w:p>
            <w:pPr>
              <w:pStyle w:val="1"/>
              <w:jc w:val="both"/>
            </w:pPr>
            <w:r>
              <w:rPr>
                <w:sz w:val="16"/>
              </w:rPr>
              <w:t xml:space="preserve">(1), второй  </w:t>
            </w:r>
          </w:p>
          <w:p>
            <w:pPr>
              <w:pStyle w:val="1"/>
              <w:jc w:val="both"/>
            </w:pPr>
            <w:r>
              <w:rPr>
                <w:sz w:val="16"/>
              </w:rPr>
              <w:t xml:space="preserve">подпараграф, </w:t>
            </w:r>
          </w:p>
          <w:p>
            <w:pPr>
              <w:pStyle w:val="1"/>
              <w:jc w:val="both"/>
            </w:pPr>
            <w:r>
              <w:rPr>
                <w:sz w:val="16"/>
              </w:rPr>
            </w:r>
            <w:hyperlink w:history="0" w:anchor="P377" w:tooltip="h) условия оценки соблюдения пороговых значений выбросов или ссылка на применяемые требования, определенные в иных документах.">
              <w:r>
                <w:rPr>
                  <w:sz w:val="16"/>
                  <w:color w:val="0000ff"/>
                </w:rPr>
                <w:t xml:space="preserve">пункт "h"</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r>
            <w:hyperlink w:history="0" w:anchor="P396" w:tooltip="3. Компетентный орган устанавливает пороговые значения выбросов с тем, чтобы при нормальных условиях эксплуатации выбросы не превышали уровней выбросов, утвержденных в соответствии с наилучшими доступными технологиями, как указано в решениях о заключениях BAT, предусмотренных статьей 13 (5) настоящей Директивы, посредством:">
              <w:r>
                <w:rPr>
                  <w:sz w:val="16"/>
                  <w:color w:val="0000ff"/>
                </w:rPr>
                <w:t xml:space="preserve">Статья 15 (3)</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r>
            <w:hyperlink w:history="0" w:anchor="P410" w:tooltip="Статья 16">
              <w:r>
                <w:rPr>
                  <w:sz w:val="16"/>
                  <w:color w:val="0000ff"/>
                </w:rPr>
                <w:t xml:space="preserve">Статья 16</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9    </w:t>
            </w:r>
          </w:p>
          <w:p>
            <w:pPr>
              <w:pStyle w:val="1"/>
              <w:jc w:val="both"/>
            </w:pPr>
            <w:r>
              <w:rPr>
                <w:sz w:val="16"/>
              </w:rPr>
            </w:r>
            <w:hyperlink w:history="0" r:id="rId217"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(5), первый</w:t>
              </w:r>
            </w:hyperlink>
            <w:r>
              <w:rPr>
                <w:sz w:val="16"/>
              </w:rPr>
            </w:r>
          </w:p>
          <w:p>
            <w:pPr>
              <w:pStyle w:val="1"/>
              <w:jc w:val="both"/>
            </w:pPr>
            <w:r>
              <w:rPr>
                <w:sz w:val="16"/>
              </w:rPr>
              <w:t xml:space="preserve">подпараграф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14    </w:t>
            </w:r>
          </w:p>
          <w:p>
            <w:pPr>
              <w:pStyle w:val="1"/>
              <w:jc w:val="both"/>
            </w:pPr>
            <w:r>
              <w:rPr>
                <w:sz w:val="16"/>
              </w:rPr>
              <w:t xml:space="preserve">(1), второй  </w:t>
            </w:r>
          </w:p>
          <w:p>
            <w:pPr>
              <w:pStyle w:val="1"/>
              <w:jc w:val="both"/>
            </w:pPr>
            <w:r>
              <w:rPr>
                <w:sz w:val="16"/>
              </w:rPr>
              <w:t xml:space="preserve">подпараграф, </w:t>
            </w:r>
          </w:p>
          <w:p>
            <w:pPr>
              <w:pStyle w:val="1"/>
              <w:jc w:val="both"/>
            </w:pPr>
            <w:r>
              <w:rPr>
                <w:sz w:val="16"/>
              </w:rPr>
            </w:r>
            <w:hyperlink w:history="0" w:anchor="P369" w:tooltip="i) методику измерения, частоту проведения и порядок оценки, а также">
              <w:r>
                <w:rPr>
                  <w:sz w:val="16"/>
                  <w:color w:val="0000ff"/>
                </w:rPr>
                <w:t xml:space="preserve">пункт "c"i"</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14    </w:t>
            </w:r>
          </w:p>
          <w:p>
            <w:pPr>
              <w:pStyle w:val="1"/>
              <w:jc w:val="both"/>
            </w:pPr>
            <w:r>
              <w:rPr>
                <w:sz w:val="16"/>
              </w:rPr>
              <w:t xml:space="preserve">(1), второй  </w:t>
            </w:r>
          </w:p>
          <w:p>
            <w:pPr>
              <w:pStyle w:val="1"/>
              <w:jc w:val="both"/>
            </w:pPr>
            <w:r>
              <w:rPr>
                <w:sz w:val="16"/>
              </w:rPr>
              <w:t xml:space="preserve">подпараграф, </w:t>
            </w:r>
          </w:p>
          <w:p>
            <w:pPr>
              <w:pStyle w:val="1"/>
              <w:jc w:val="both"/>
            </w:pPr>
            <w:r>
              <w:rPr>
                <w:sz w:val="16"/>
              </w:rPr>
            </w:r>
            <w:hyperlink w:history="0" w:anchor="P370" w:tooltip="ii) если применяется статья 15 (3) &quot;b&quot; настоящей Директивы, устанавливающие, что результаты мониторинга выбросов доступны в течение тех же сроков и при тех же нормальных условиях, что и уровни выбросов, утвержденные в соответствии с наилучшими доступными технологиями;">
              <w:r>
                <w:rPr>
                  <w:sz w:val="16"/>
                  <w:color w:val="0000ff"/>
                </w:rPr>
                <w:t xml:space="preserve">пункт "c"ii"</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14    </w:t>
            </w:r>
          </w:p>
          <w:p>
            <w:pPr>
              <w:pStyle w:val="1"/>
              <w:jc w:val="both"/>
            </w:pPr>
            <w:r>
              <w:rPr>
                <w:sz w:val="16"/>
              </w:rPr>
              <w:t xml:space="preserve">(1), второй  </w:t>
            </w:r>
          </w:p>
          <w:p>
            <w:pPr>
              <w:pStyle w:val="1"/>
              <w:jc w:val="both"/>
            </w:pPr>
            <w:r>
              <w:rPr>
                <w:sz w:val="16"/>
              </w:rPr>
              <w:t xml:space="preserve">подпараграф, </w:t>
            </w:r>
          </w:p>
          <w:p>
            <w:pPr>
              <w:pStyle w:val="1"/>
              <w:jc w:val="both"/>
            </w:pPr>
            <w:r>
              <w:rPr>
                <w:sz w:val="16"/>
              </w:rPr>
            </w:r>
            <w:hyperlink w:history="0" w:anchor="P371" w:tooltip="d) обязательство предоставлять компетентному органу регулярно и по крайней мере ежегодно:">
              <w:r>
                <w:rPr>
                  <w:sz w:val="16"/>
                  <w:color w:val="0000ff"/>
                </w:rPr>
                <w:t xml:space="preserve">пункт "d"</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9    </w:t>
            </w:r>
          </w:p>
          <w:p>
            <w:pPr>
              <w:pStyle w:val="1"/>
              <w:jc w:val="both"/>
            </w:pPr>
            <w:r>
              <w:rPr>
                <w:sz w:val="16"/>
              </w:rPr>
            </w:r>
            <w:hyperlink w:history="0" r:id="rId218"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(5), второй</w:t>
              </w:r>
            </w:hyperlink>
            <w:r>
              <w:rPr>
                <w:sz w:val="16"/>
              </w:rPr>
            </w:r>
          </w:p>
          <w:p>
            <w:pPr>
              <w:pStyle w:val="1"/>
              <w:jc w:val="both"/>
            </w:pPr>
            <w:r>
              <w:rPr>
                <w:sz w:val="16"/>
              </w:rPr>
              <w:t xml:space="preserve">подпараграф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14    </w:t>
            </w:r>
          </w:p>
          <w:p>
            <w:pPr>
              <w:pStyle w:val="1"/>
              <w:jc w:val="both"/>
            </w:pPr>
            <w:r>
              <w:rPr>
                <w:sz w:val="16"/>
              </w:rPr>
              <w:t xml:space="preserve">(1), второй  </w:t>
            </w:r>
          </w:p>
          <w:p>
            <w:pPr>
              <w:pStyle w:val="1"/>
              <w:jc w:val="both"/>
            </w:pPr>
            <w:r>
              <w:rPr>
                <w:sz w:val="16"/>
              </w:rPr>
              <w:t xml:space="preserve">подпараграф, </w:t>
            </w:r>
          </w:p>
          <w:p>
            <w:pPr>
              <w:pStyle w:val="1"/>
              <w:jc w:val="both"/>
            </w:pPr>
            <w:r>
              <w:rPr>
                <w:sz w:val="16"/>
              </w:rPr>
            </w:r>
            <w:hyperlink w:history="0" w:anchor="P374" w:tooltip="e) надлежащие требования к регулярному обслуживанию, а также к регулярному наблюдению за применением мер по предупреждению выбросов в почву и грунтовые воды в соответствии с пунктом &quot;b&quot; настоящего подпараграфа, а также надлежащие требования к проведению периодического мониторинга почв и грунтовых вод на предмет наличия на участке опасных веществ и на предмет возможного загрязнения почв и грунтовых вод на участке установки;">
              <w:r>
                <w:rPr>
                  <w:sz w:val="16"/>
                  <w:color w:val="0000ff"/>
                </w:rPr>
                <w:t xml:space="preserve">пункт "e"</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9    </w:t>
            </w:r>
          </w:p>
          <w:p>
            <w:pPr>
              <w:pStyle w:val="1"/>
              <w:jc w:val="both"/>
            </w:pPr>
            <w:r>
              <w:rPr>
                <w:sz w:val="16"/>
              </w:rPr>
            </w:r>
            <w:hyperlink w:history="0" r:id="rId219"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(6), первый</w:t>
              </w:r>
            </w:hyperlink>
            <w:r>
              <w:rPr>
                <w:sz w:val="16"/>
              </w:rPr>
            </w:r>
          </w:p>
          <w:p>
            <w:pPr>
              <w:pStyle w:val="1"/>
              <w:jc w:val="both"/>
            </w:pPr>
            <w:r>
              <w:rPr>
                <w:sz w:val="16"/>
              </w:rPr>
              <w:t xml:space="preserve">подпараграф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14    </w:t>
            </w:r>
          </w:p>
          <w:p>
            <w:pPr>
              <w:pStyle w:val="1"/>
              <w:jc w:val="both"/>
            </w:pPr>
            <w:r>
              <w:rPr>
                <w:sz w:val="16"/>
              </w:rPr>
              <w:t xml:space="preserve">(1), второй  </w:t>
            </w:r>
          </w:p>
          <w:p>
            <w:pPr>
              <w:pStyle w:val="1"/>
              <w:jc w:val="both"/>
            </w:pPr>
            <w:r>
              <w:rPr>
                <w:sz w:val="16"/>
              </w:rPr>
              <w:t xml:space="preserve">подпараграф, </w:t>
            </w:r>
          </w:p>
          <w:p>
            <w:pPr>
              <w:pStyle w:val="1"/>
              <w:jc w:val="both"/>
            </w:pPr>
            <w:r>
              <w:rPr>
                <w:sz w:val="16"/>
              </w:rPr>
            </w:r>
            <w:hyperlink w:history="0" w:anchor="P375" w:tooltip="f) мероприятия, связанные с условиями, отличными от нормальных, в частности, с периодами включения и отключения, утечками, нарушениями функционирования, кратковременными перебоями и окончательным прекращением функционирования;">
              <w:r>
                <w:rPr>
                  <w:sz w:val="16"/>
                  <w:color w:val="0000ff"/>
                </w:rPr>
                <w:t xml:space="preserve">пункт "f"</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9    </w:t>
            </w:r>
          </w:p>
          <w:p>
            <w:pPr>
              <w:pStyle w:val="1"/>
              <w:jc w:val="both"/>
            </w:pPr>
            <w:r>
              <w:rPr>
                <w:sz w:val="16"/>
              </w:rPr>
            </w:r>
            <w:hyperlink w:history="0" r:id="rId220"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(6), второй</w:t>
              </w:r>
            </w:hyperlink>
            <w:r>
              <w:rPr>
                <w:sz w:val="16"/>
              </w:rPr>
            </w:r>
          </w:p>
          <w:p>
            <w:pPr>
              <w:pStyle w:val="1"/>
              <w:jc w:val="both"/>
            </w:pPr>
            <w:r>
              <w:rPr>
                <w:sz w:val="16"/>
              </w:rPr>
              <w:t xml:space="preserve">подпараграф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221"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9 (7)</w:t>
              </w:r>
            </w:hyperlink>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222"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9 (8)</w:t>
              </w:r>
            </w:hyperlink>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258" w:tooltip="Статья 6">
              <w:r>
                <w:rPr>
                  <w:sz w:val="16"/>
                  <w:color w:val="0000ff"/>
                </w:rPr>
                <w:t xml:space="preserve">Статья 6</w:t>
              </w:r>
            </w:hyperlink>
            <w:r>
              <w:rPr>
                <w:sz w:val="16"/>
              </w:rPr>
              <w:t xml:space="preserve"> и   </w:t>
            </w:r>
          </w:p>
          <w:p>
            <w:pPr>
              <w:pStyle w:val="1"/>
              <w:jc w:val="both"/>
            </w:pPr>
            <w:r>
              <w:rPr>
                <w:sz w:val="16"/>
              </w:rPr>
            </w:r>
            <w:hyperlink w:history="0" w:anchor="P423" w:tooltip="1. Принимая общие обязательные нормы, государства-члены ЕС гарантируют применение комплексного подхода и высокий уровень защиты окружающей среды, эквивалентный уровню, достижимому посредством условий, предусмотренных отдельными разрешениями.">
              <w:r>
                <w:rPr>
                  <w:sz w:val="16"/>
                  <w:color w:val="0000ff"/>
                </w:rPr>
                <w:t xml:space="preserve">статья 17 (1)</w:t>
              </w:r>
            </w:hyperlink>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17    </w:t>
            </w:r>
          </w:p>
          <w:p>
            <w:pPr>
              <w:pStyle w:val="1"/>
              <w:jc w:val="both"/>
            </w:pPr>
            <w:r>
              <w:rPr>
                <w:sz w:val="16"/>
              </w:rPr>
            </w:r>
            <w:hyperlink w:history="0" w:anchor="P424" w:tooltip="2. Общие обязательные нормы должны быть основаны на наилучших доступных технологиях, при этом не следует предписывать использование определенных технологий в целях соблюдения статей 14 и 15 настоящей Директивы.">
              <w:r>
                <w:rPr>
                  <w:sz w:val="16"/>
                  <w:color w:val="0000ff"/>
                </w:rPr>
                <w:t xml:space="preserve">(2)</w:t>
              </w:r>
            </w:hyperlink>
            <w:r>
              <w:rPr>
                <w:sz w:val="16"/>
              </w:rPr>
              <w:t xml:space="preserve">, </w:t>
            </w:r>
            <w:hyperlink w:history="0" w:anchor="P425" w:tooltip="3. Государства-члены ЕС обеспечивают пересмотр общих обязательных норм с учетом изменений наилучших доступных технологий в целях соблюдения статьи 21 настоящей Директивы">
              <w:r>
                <w:rPr>
                  <w:sz w:val="16"/>
                  <w:color w:val="0000ff"/>
                </w:rPr>
                <w:t xml:space="preserve">(3)</w:t>
              </w:r>
            </w:hyperlink>
            <w:r>
              <w:rPr>
                <w:sz w:val="16"/>
              </w:rPr>
              <w:t xml:space="preserve"> и   </w:t>
            </w:r>
          </w:p>
          <w:p>
            <w:pPr>
              <w:pStyle w:val="1"/>
              <w:jc w:val="both"/>
            </w:pPr>
            <w:r>
              <w:rPr>
                <w:sz w:val="16"/>
              </w:rPr>
            </w:r>
            <w:hyperlink w:history="0" w:anchor="P426" w:tooltip="4. Общие обязательные нормы, принятые в соответствии с параграфами 1 - 3 настоящей статьи, должны содержать ссылку на настоящую Директиву или сопровождаться такой ссылкой в случае их официальной публикации.">
              <w:r>
                <w:rPr>
                  <w:sz w:val="16"/>
                  <w:color w:val="0000ff"/>
                </w:rPr>
                <w:t xml:space="preserve">(4)</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223"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10</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428" w:tooltip="Статья 18">
              <w:r>
                <w:rPr>
                  <w:sz w:val="16"/>
                  <w:color w:val="0000ff"/>
                </w:rPr>
                <w:t xml:space="preserve">Статья 18</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224"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11</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434" w:tooltip="Статья 19">
              <w:r>
                <w:rPr>
                  <w:sz w:val="16"/>
                  <w:color w:val="0000ff"/>
                </w:rPr>
                <w:t xml:space="preserve">Статья 19</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12   </w:t>
            </w:r>
          </w:p>
          <w:p>
            <w:pPr>
              <w:pStyle w:val="1"/>
              <w:jc w:val="both"/>
            </w:pPr>
            <w:r>
              <w:rPr>
                <w:sz w:val="16"/>
              </w:rPr>
            </w:r>
            <w:hyperlink w:history="0" r:id="rId225"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(1)</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444" w:tooltip="1. Государства-члены ЕС принимают необходимые меры, гарантирующие, что оператор информирует компетентный орган о любых запланированных изменениях в характере или функционировании, а также о расширении установки, что может оказать влияние на окружающую среду. При необходимости компетентный орган вносит изменения в выданное разрешение.">
              <w:r>
                <w:rPr>
                  <w:sz w:val="16"/>
                  <w:color w:val="0000ff"/>
                </w:rPr>
                <w:t xml:space="preserve">Статья 20 (1)</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12   </w:t>
            </w:r>
          </w:p>
          <w:p>
            <w:pPr>
              <w:pStyle w:val="1"/>
              <w:jc w:val="both"/>
            </w:pPr>
            <w:r>
              <w:rPr>
                <w:sz w:val="16"/>
              </w:rPr>
            </w:r>
            <w:hyperlink w:history="0" r:id="rId226"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(2) первое</w:t>
              </w:r>
            </w:hyperlink>
            <w:r>
              <w:rPr>
                <w:sz w:val="16"/>
              </w:rPr>
            </w:r>
          </w:p>
          <w:p>
            <w:pPr>
              <w:pStyle w:val="1"/>
              <w:jc w:val="both"/>
            </w:pPr>
            <w:r>
              <w:rPr>
                <w:sz w:val="16"/>
              </w:rPr>
              <w:t xml:space="preserve">предложение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20    </w:t>
            </w:r>
          </w:p>
          <w:p>
            <w:pPr>
              <w:pStyle w:val="1"/>
              <w:jc w:val="both"/>
            </w:pPr>
            <w:r>
              <w:rPr>
                <w:sz w:val="16"/>
              </w:rPr>
            </w:r>
            <w:hyperlink w:history="0" w:anchor="P445" w:tooltip="2. Государства-члены ЕС принимают необходимые меры, гарантирующие, что оператор вносит запланированные существенные изменения только при наличии разрешения, выданного в соответствии с настоящей Директивой.">
              <w:r>
                <w:rPr>
                  <w:sz w:val="16"/>
                  <w:color w:val="0000ff"/>
                </w:rPr>
                <w:t xml:space="preserve">(2), первый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12   </w:t>
            </w:r>
          </w:p>
          <w:p>
            <w:pPr>
              <w:pStyle w:val="1"/>
              <w:jc w:val="both"/>
            </w:pPr>
            <w:r>
              <w:rPr>
                <w:sz w:val="16"/>
              </w:rPr>
            </w:r>
            <w:hyperlink w:history="0" r:id="rId227"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(2), второе</w:t>
              </w:r>
            </w:hyperlink>
            <w:r>
              <w:rPr>
                <w:sz w:val="16"/>
              </w:rPr>
            </w:r>
          </w:p>
          <w:p>
            <w:pPr>
              <w:pStyle w:val="1"/>
              <w:jc w:val="both"/>
            </w:pPr>
            <w:r>
              <w:rPr>
                <w:sz w:val="16"/>
              </w:rPr>
              <w:t xml:space="preserve">предложение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20    </w:t>
            </w:r>
          </w:p>
          <w:p>
            <w:pPr>
              <w:pStyle w:val="1"/>
              <w:jc w:val="both"/>
            </w:pPr>
            <w:r>
              <w:rPr>
                <w:sz w:val="16"/>
              </w:rPr>
            </w:r>
            <w:hyperlink w:history="0" w:anchor="P446" w:tooltip="Заявление на выдачу разрешения и решение компетентного органа должны содержать указание на такие части установки и на такие сведения, перечисленные в статье 12 настоящей Директивы, на которые существенное изменение может оказать влияние.">
              <w:r>
                <w:rPr>
                  <w:sz w:val="16"/>
                  <w:color w:val="0000ff"/>
                </w:rPr>
                <w:t xml:space="preserve">(2), второй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12   </w:t>
            </w:r>
          </w:p>
          <w:p>
            <w:pPr>
              <w:pStyle w:val="1"/>
              <w:jc w:val="both"/>
            </w:pPr>
            <w:r>
              <w:rPr>
                <w:sz w:val="16"/>
              </w:rPr>
            </w:r>
            <w:hyperlink w:history="0" r:id="rId228"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(2), третье</w:t>
              </w:r>
            </w:hyperlink>
            <w:r>
              <w:rPr>
                <w:sz w:val="16"/>
              </w:rPr>
            </w:r>
          </w:p>
          <w:p>
            <w:pPr>
              <w:pStyle w:val="1"/>
              <w:jc w:val="both"/>
            </w:pPr>
            <w:r>
              <w:rPr>
                <w:sz w:val="16"/>
              </w:rPr>
              <w:t xml:space="preserve">предложение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13   </w:t>
            </w:r>
          </w:p>
          <w:p>
            <w:pPr>
              <w:pStyle w:val="1"/>
              <w:jc w:val="both"/>
            </w:pPr>
            <w:r>
              <w:rPr>
                <w:sz w:val="16"/>
              </w:rPr>
            </w:r>
            <w:hyperlink w:history="0" r:id="rId229"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(1)</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454" w:tooltip="1. Государства-члены ЕС принимают необходимые меры, гарантирующие, что компетентный орган периодически пересматривает условия выдачи разрешений в соответствии с параграфами 2 - 5 настоящей статьи и, если необходимо обеспечить соблюдение настоящей Директивы, изменяет указанные условия.">
              <w:r>
                <w:rPr>
                  <w:sz w:val="16"/>
                  <w:color w:val="0000ff"/>
                </w:rPr>
                <w:t xml:space="preserve">Статья 21 (1)</w:t>
              </w:r>
            </w:hyperlink>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21    </w:t>
            </w:r>
          </w:p>
          <w:p>
            <w:pPr>
              <w:pStyle w:val="1"/>
              <w:jc w:val="both"/>
            </w:pPr>
            <w:r>
              <w:rPr>
                <w:sz w:val="16"/>
              </w:rPr>
            </w:r>
            <w:hyperlink w:history="0" w:anchor="P455" w:tooltip="2. По запросу компетентного органа оператор передает всю информацию, необходимую для пересмотра условий разрешений, в том числе, в частности, результаты мониторинга выбросов и иные данные, позволяющие сравнить функционирование установки с наилучшими доступными технологиями, описанными в применяемых заключениях BAT, а также с уровнями выбросов, утвержденными в соответствии с наилучшими доступными технологиями.">
              <w:r>
                <w:rPr>
                  <w:sz w:val="16"/>
                  <w:color w:val="0000ff"/>
                </w:rPr>
                <w:t xml:space="preserve">(2)</w:t>
              </w:r>
            </w:hyperlink>
            <w:r>
              <w:rPr>
                <w:sz w:val="16"/>
              </w:rPr>
              <w:t xml:space="preserve">, </w:t>
            </w:r>
            <w:hyperlink w:history="0" w:anchor="P457" w:tooltip="3. В течение четырех лет после публикации решений о заключениях BAT в соответствии со статьей 13 (5) настоящей Директивы, относящихся к основной деятельности установки, компетентный орган гарантирует, что:">
              <w:r>
                <w:rPr>
                  <w:sz w:val="16"/>
                  <w:color w:val="0000ff"/>
                </w:rPr>
                <w:t xml:space="preserve">(3)</w:t>
              </w:r>
            </w:hyperlink>
            <w:r>
              <w:rPr>
                <w:sz w:val="16"/>
              </w:rPr>
              <w:t xml:space="preserve"> и   </w:t>
            </w:r>
          </w:p>
          <w:p>
            <w:pPr>
              <w:pStyle w:val="1"/>
              <w:jc w:val="both"/>
            </w:pPr>
            <w:r>
              <w:rPr>
                <w:sz w:val="16"/>
              </w:rPr>
            </w:r>
            <w:hyperlink w:history="0" w:anchor="P461" w:tooltip="4. Если заключения BAT не распространяются на установку, условия разрешения должны быть пересмотрены и при необходимости изменены, если изменения в наилучших доступных технологиях позволяют достичь существенного сокращения выбросов.">
              <w:r>
                <w:rPr>
                  <w:sz w:val="16"/>
                  <w:color w:val="0000ff"/>
                </w:rPr>
                <w:t xml:space="preserve">(4)</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13   </w:t>
            </w:r>
          </w:p>
          <w:p>
            <w:pPr>
              <w:pStyle w:val="1"/>
              <w:jc w:val="both"/>
            </w:pPr>
            <w:r>
              <w:rPr>
                <w:sz w:val="16"/>
              </w:rPr>
            </w:r>
            <w:hyperlink w:history="0" r:id="rId230"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(2) вводная</w:t>
              </w:r>
            </w:hyperlink>
            <w:r>
              <w:rPr>
                <w:sz w:val="16"/>
              </w:rPr>
            </w:r>
          </w:p>
          <w:p>
            <w:pPr>
              <w:pStyle w:val="1"/>
              <w:jc w:val="both"/>
            </w:pPr>
            <w:r>
              <w:rPr>
                <w:sz w:val="16"/>
              </w:rPr>
              <w:t xml:space="preserve">фраза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21    </w:t>
            </w:r>
          </w:p>
          <w:p>
            <w:pPr>
              <w:pStyle w:val="1"/>
              <w:jc w:val="both"/>
            </w:pPr>
            <w:r>
              <w:rPr>
                <w:sz w:val="16"/>
              </w:rPr>
            </w:r>
            <w:hyperlink w:history="0" w:anchor="P462" w:tooltip="5. Условия разрешения должны быть пересмотрены и при необходимости изменены как минимум в следующих случаях:">
              <w:r>
                <w:rPr>
                  <w:sz w:val="16"/>
                  <w:color w:val="0000ff"/>
                </w:rPr>
                <w:t xml:space="preserve">(5), вводная</w:t>
              </w:r>
            </w:hyperlink>
            <w:r>
              <w:rPr>
                <w:sz w:val="16"/>
              </w:rPr>
            </w:r>
          </w:p>
          <w:p>
            <w:pPr>
              <w:pStyle w:val="1"/>
              <w:jc w:val="both"/>
            </w:pPr>
            <w:r>
              <w:rPr>
                <w:sz w:val="16"/>
              </w:rPr>
              <w:t xml:space="preserve">фраза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13   </w:t>
            </w:r>
          </w:p>
          <w:p>
            <w:pPr>
              <w:pStyle w:val="1"/>
              <w:jc w:val="both"/>
            </w:pPr>
            <w:r>
              <w:rPr>
                <w:sz w:val="16"/>
              </w:rPr>
            </w:r>
            <w:hyperlink w:history="0" r:id="rId231"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(2) "a"</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21 (5)</w:t>
            </w:r>
          </w:p>
          <w:p>
            <w:pPr>
              <w:pStyle w:val="1"/>
              <w:jc w:val="both"/>
            </w:pPr>
            <w:r>
              <w:rPr>
                <w:sz w:val="16"/>
              </w:rPr>
            </w:r>
            <w:hyperlink w:history="0" w:anchor="P463" w:tooltip="a) загрязнение от установки настолько существенно, что указанные в разрешении пороговые значения выбросов должны быть пересмотрены или в разрешение необходимо включить новые значения;">
              <w:r>
                <w:rPr>
                  <w:sz w:val="16"/>
                  <w:color w:val="0000ff"/>
                </w:rPr>
                <w:t xml:space="preserve">пункт "a"</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13   </w:t>
            </w:r>
          </w:p>
          <w:p>
            <w:pPr>
              <w:pStyle w:val="1"/>
              <w:jc w:val="both"/>
            </w:pPr>
            <w:r>
              <w:rPr>
                <w:sz w:val="16"/>
              </w:rPr>
            </w:r>
            <w:hyperlink w:history="0" r:id="rId232"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(2) "b"</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13   </w:t>
            </w:r>
          </w:p>
          <w:p>
            <w:pPr>
              <w:pStyle w:val="1"/>
              <w:jc w:val="both"/>
            </w:pPr>
            <w:r>
              <w:rPr>
                <w:sz w:val="16"/>
              </w:rPr>
            </w:r>
            <w:hyperlink w:history="0" r:id="rId233"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(2) "c"</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21 (5)</w:t>
            </w:r>
          </w:p>
          <w:p>
            <w:pPr>
              <w:pStyle w:val="1"/>
              <w:jc w:val="both"/>
            </w:pPr>
            <w:r>
              <w:rPr>
                <w:sz w:val="16"/>
              </w:rPr>
            </w:r>
            <w:hyperlink w:history="0" w:anchor="P464" w:tooltip="b) безопасность функционирования требует использования других технологий;">
              <w:r>
                <w:rPr>
                  <w:sz w:val="16"/>
                  <w:color w:val="0000ff"/>
                </w:rPr>
                <w:t xml:space="preserve">пункт "b"</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13   </w:t>
            </w:r>
          </w:p>
          <w:p>
            <w:pPr>
              <w:pStyle w:val="1"/>
              <w:jc w:val="both"/>
            </w:pPr>
            <w:r>
              <w:rPr>
                <w:sz w:val="16"/>
              </w:rPr>
            </w:r>
            <w:hyperlink w:history="0" r:id="rId234"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(2) "d"</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21 (5)</w:t>
            </w:r>
          </w:p>
          <w:p>
            <w:pPr>
              <w:pStyle w:val="1"/>
              <w:jc w:val="both"/>
            </w:pPr>
            <w:r>
              <w:rPr>
                <w:sz w:val="16"/>
              </w:rPr>
            </w:r>
            <w:hyperlink w:history="0" w:anchor="P465" w:tooltip="c) в случае если необходимо обеспечить соблюдение новых или пересмотренных стандартов качества окружающей среды в соответствии со статьей 18 настоящей Директивы.">
              <w:r>
                <w:rPr>
                  <w:sz w:val="16"/>
                  <w:color w:val="0000ff"/>
                </w:rPr>
                <w:t xml:space="preserve">пункт "c"</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r>
            <w:hyperlink w:history="0" w:anchor="P467" w:tooltip="Статья 22">
              <w:r>
                <w:rPr>
                  <w:sz w:val="16"/>
                  <w:color w:val="0000ff"/>
                </w:rPr>
                <w:t xml:space="preserve">Статья 22</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23    </w:t>
            </w:r>
          </w:p>
          <w:p>
            <w:pPr>
              <w:pStyle w:val="1"/>
              <w:jc w:val="both"/>
            </w:pPr>
            <w:r>
              <w:rPr>
                <w:sz w:val="16"/>
              </w:rPr>
            </w:r>
            <w:hyperlink w:history="0" w:anchor="P490" w:tooltip="1. Государства-члены ЕС учреждают систему экологических проверок установок, направленных на исследование всех соответствующих экологических последствий функционирования таких установок.">
              <w:r>
                <w:rPr>
                  <w:sz w:val="16"/>
                  <w:color w:val="0000ff"/>
                </w:rPr>
                <w:t xml:space="preserve">(1), первый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14,  </w:t>
            </w:r>
          </w:p>
          <w:p>
            <w:pPr>
              <w:pStyle w:val="1"/>
              <w:jc w:val="both"/>
            </w:pPr>
            <w:r>
              <w:rPr>
                <w:sz w:val="16"/>
              </w:rPr>
            </w:r>
            <w:hyperlink w:history="0" r:id="rId235"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вводная</w:t>
              </w:r>
            </w:hyperlink>
            <w:r>
              <w:rPr>
                <w:sz w:val="16"/>
              </w:rPr>
            </w:r>
          </w:p>
          <w:p>
            <w:pPr>
              <w:pStyle w:val="1"/>
              <w:jc w:val="both"/>
            </w:pPr>
            <w:r>
              <w:rPr>
                <w:sz w:val="16"/>
              </w:rPr>
              <w:t xml:space="preserve">фраза и     </w:t>
            </w:r>
          </w:p>
          <w:p>
            <w:pPr>
              <w:pStyle w:val="1"/>
              <w:jc w:val="both"/>
            </w:pPr>
            <w:r>
              <w:rPr>
                <w:sz w:val="16"/>
              </w:rPr>
            </w:r>
            <w:hyperlink w:history="0" r:id="rId236"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пункт "a"</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281" w:tooltip="1. Государства-члены ЕС должны принимать необходимые меры по обеспечению соблюдения условий разрешения.">
              <w:r>
                <w:rPr>
                  <w:sz w:val="16"/>
                  <w:color w:val="0000ff"/>
                </w:rPr>
                <w:t xml:space="preserve">Статья 8 (1)</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14,  </w:t>
            </w:r>
          </w:p>
          <w:p>
            <w:pPr>
              <w:pStyle w:val="1"/>
              <w:jc w:val="both"/>
            </w:pPr>
            <w:r>
              <w:rPr>
                <w:sz w:val="16"/>
              </w:rPr>
            </w:r>
            <w:hyperlink w:history="0" r:id="rId237"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пункт "b"</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7,    </w:t>
            </w:r>
          </w:p>
          <w:p>
            <w:pPr>
              <w:pStyle w:val="1"/>
              <w:jc w:val="both"/>
            </w:pPr>
            <w:r>
              <w:rPr>
                <w:sz w:val="16"/>
              </w:rPr>
            </w:r>
            <w:hyperlink w:history="0" w:anchor="P273" w:tooltip="a) оператор незамедлительно информирует компетентный орган;">
              <w:r>
                <w:rPr>
                  <w:sz w:val="16"/>
                  <w:color w:val="0000ff"/>
                </w:rPr>
                <w:t xml:space="preserve">пункт "a"</w:t>
              </w:r>
            </w:hyperlink>
            <w:r>
              <w:rPr>
                <w:sz w:val="16"/>
              </w:rPr>
              <w:t xml:space="preserve"> и  </w:t>
            </w:r>
          </w:p>
          <w:p>
            <w:pPr>
              <w:pStyle w:val="1"/>
              <w:jc w:val="both"/>
            </w:pPr>
            <w:r>
              <w:rPr>
                <w:sz w:val="16"/>
              </w:rPr>
              <w:t xml:space="preserve">статья 14    </w:t>
            </w:r>
          </w:p>
          <w:p>
            <w:pPr>
              <w:pStyle w:val="1"/>
              <w:jc w:val="both"/>
            </w:pPr>
            <w:r>
              <w:rPr>
                <w:sz w:val="16"/>
              </w:rPr>
              <w:t xml:space="preserve">(1), пункт   </w:t>
            </w:r>
          </w:p>
          <w:p>
            <w:pPr>
              <w:pStyle w:val="1"/>
              <w:jc w:val="both"/>
            </w:pPr>
            <w:r>
              <w:rPr>
                <w:sz w:val="16"/>
              </w:rPr>
            </w:r>
            <w:hyperlink w:history="0" w:anchor="P372" w:tooltip="i) информацию, полученную по результатам мониторинга выбросов, указанного в пункте &quot;c&quot; настоящего подпараграфа, и иные данные, необходимые компетентному органу для проверки соблюдения предусмотренных разрешением условий;">
              <w:r>
                <w:rPr>
                  <w:sz w:val="16"/>
                  <w:color w:val="0000ff"/>
                </w:rPr>
                <w:t xml:space="preserve">"d"i"</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7     </w:t>
            </w:r>
          </w:p>
          <w:p>
            <w:pPr>
              <w:pStyle w:val="1"/>
              <w:jc w:val="both"/>
            </w:pPr>
            <w:r>
              <w:rPr>
                <w:sz w:val="16"/>
              </w:rPr>
            </w:r>
            <w:hyperlink w:history="0" w:anchor="P269" w:tooltip="Без ущерба действию Директивы 2004/35/ЕС Европейского парламента и Совета ЕС от 21 апреля 2004 г. об экологической ответственности, направленной на предотвращение ущерба окружающей среде &lt;*&gt;, в случае инцидента или аварии, которые оказывают значительное влияние на окружающую среду, государства-члены ЕС должны принимать необходимые меры, гарантирующие, что:">
              <w:r>
                <w:rPr>
                  <w:sz w:val="16"/>
                  <w:color w:val="0000ff"/>
                </w:rPr>
                <w:t xml:space="preserve">вводная фраза</w:t>
              </w:r>
            </w:hyperlink>
          </w:p>
          <w:p>
            <w:pPr>
              <w:pStyle w:val="1"/>
              <w:jc w:val="both"/>
            </w:pPr>
            <w:r>
              <w:rPr>
                <w:sz w:val="16"/>
              </w:rPr>
              <w:t xml:space="preserve">и </w:t>
            </w:r>
            <w:hyperlink w:history="0" w:anchor="P274" w:tooltip="b) оператор незамедлительно принимает меры по ограничению экологических последствий и по предотвращению потенциальных инцидентов или аварий;">
              <w:r>
                <w:rPr>
                  <w:sz w:val="16"/>
                  <w:color w:val="0000ff"/>
                </w:rPr>
                <w:t xml:space="preserve">пункты "b"</w:t>
              </w:r>
            </w:hyperlink>
            <w:r>
              <w:rPr>
                <w:sz w:val="16"/>
              </w:rPr>
            </w:r>
          </w:p>
          <w:p>
            <w:pPr>
              <w:pStyle w:val="1"/>
              <w:jc w:val="both"/>
            </w:pPr>
            <w:r>
              <w:rPr>
                <w:sz w:val="16"/>
              </w:rPr>
              <w:t xml:space="preserve">и </w:t>
            </w:r>
            <w:hyperlink w:history="0" w:anchor="P275" w:tooltip="c) компетентный орган требует от оператора принятия надлежащих дополнительных мер, которые указанный орган сочтет необходимыми для ограничения экологических последствий и предотвращения потенциальных инцидентов или аварий.">
              <w:r>
                <w:rPr>
                  <w:sz w:val="16"/>
                  <w:color w:val="0000ff"/>
                </w:rPr>
                <w:t xml:space="preserve">"c"</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14    </w:t>
            </w:r>
          </w:p>
          <w:p>
            <w:pPr>
              <w:pStyle w:val="1"/>
              <w:jc w:val="both"/>
            </w:pPr>
            <w:r>
              <w:rPr>
                <w:sz w:val="16"/>
              </w:rPr>
              <w:t xml:space="preserve">(1), пункт   </w:t>
            </w:r>
          </w:p>
          <w:p>
            <w:pPr>
              <w:pStyle w:val="1"/>
              <w:jc w:val="both"/>
            </w:pPr>
            <w:r>
              <w:rPr>
                <w:sz w:val="16"/>
              </w:rPr>
            </w:r>
            <w:hyperlink w:history="0" w:anchor="P373" w:tooltip="ii) если применяется статья 15 (3) &quot;b&quot; настоящей Директивы, выводы по результатам мониторинга выбросов, позволяющие провести сравнение с уровнями выбросов, утвержденными в соответствии с наилучшими доступными технологиями;">
              <w:r>
                <w:rPr>
                  <w:sz w:val="16"/>
                  <w:color w:val="0000ff"/>
                </w:rPr>
                <w:t xml:space="preserve">"d"ii"</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14,  </w:t>
            </w:r>
          </w:p>
          <w:p>
            <w:pPr>
              <w:pStyle w:val="1"/>
              <w:jc w:val="both"/>
            </w:pPr>
            <w:r>
              <w:rPr>
                <w:sz w:val="16"/>
              </w:rPr>
            </w:r>
            <w:hyperlink w:history="0" r:id="rId238"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пункт "c"</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23    </w:t>
            </w:r>
          </w:p>
          <w:p>
            <w:pPr>
              <w:pStyle w:val="1"/>
              <w:jc w:val="both"/>
            </w:pPr>
            <w:r>
              <w:rPr>
                <w:sz w:val="16"/>
              </w:rPr>
            </w:r>
            <w:hyperlink w:history="0" w:anchor="P491" w:tooltip="Государства-члены ЕС гарантируют, что оператор оказывает компетентным органам необходимую помощь, что позволит последним посещать участки, брать образцы и собирать любую информацию, необходимую им для выполнения своих обязанностей в целях настоящей Директивы.">
              <w:r>
                <w:rPr>
                  <w:sz w:val="16"/>
                  <w:color w:val="0000ff"/>
                </w:rPr>
                <w:t xml:space="preserve">(1), второй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23    </w:t>
            </w:r>
          </w:p>
          <w:p>
            <w:pPr>
              <w:pStyle w:val="1"/>
              <w:jc w:val="both"/>
            </w:pPr>
            <w:r>
              <w:rPr>
                <w:sz w:val="16"/>
              </w:rPr>
            </w:r>
            <w:hyperlink w:history="0" w:anchor="P492" w:tooltip="2. Государства-члены ЕС гарантируют, что все установки включены в план проведения экологических проверок, утвержденный на национальном, региональном или местном уровнях, а также обеспечивают регулярный пересмотр и, если применимо, изменение указанного плана.">
              <w:r>
                <w:rPr>
                  <w:sz w:val="16"/>
                  <w:color w:val="0000ff"/>
                </w:rPr>
                <w:t xml:space="preserve">(2)</w:t>
              </w:r>
            </w:hyperlink>
            <w:r>
              <w:rPr>
                <w:sz w:val="16"/>
              </w:rPr>
              <w:t xml:space="preserve"> - </w:t>
            </w:r>
            <w:hyperlink w:history="0" w:anchor="P512" w:tooltip="6. По результатам каждого посещения участка компетентный орган готовит отчет, содержащий данные о соблюдении условий разрешения, а также заключение о необходимости совершения дальнейших действий.">
              <w:r>
                <w:rPr>
                  <w:sz w:val="16"/>
                  <w:color w:val="0000ff"/>
                </w:rPr>
                <w:t xml:space="preserve">(6)</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15   </w:t>
            </w:r>
          </w:p>
          <w:p>
            <w:pPr>
              <w:pStyle w:val="1"/>
              <w:jc w:val="both"/>
            </w:pPr>
            <w:r>
              <w:rPr>
                <w:sz w:val="16"/>
              </w:rPr>
              <w:t xml:space="preserve">(1), первый </w:t>
            </w:r>
          </w:p>
          <w:p>
            <w:pPr>
              <w:pStyle w:val="1"/>
              <w:jc w:val="both"/>
            </w:pPr>
            <w:r>
              <w:rPr>
                <w:sz w:val="16"/>
              </w:rPr>
              <w:t xml:space="preserve">подпараграф,</w:t>
            </w:r>
          </w:p>
          <w:p>
            <w:pPr>
              <w:pStyle w:val="1"/>
              <w:jc w:val="both"/>
            </w:pPr>
            <w:r>
              <w:rPr>
                <w:sz w:val="16"/>
              </w:rPr>
            </w:r>
            <w:hyperlink w:history="0" r:id="rId239"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вводная</w:t>
              </w:r>
            </w:hyperlink>
            <w:r>
              <w:rPr>
                <w:sz w:val="16"/>
              </w:rPr>
            </w:r>
          </w:p>
          <w:p>
            <w:pPr>
              <w:pStyle w:val="1"/>
              <w:jc w:val="both"/>
            </w:pPr>
            <w:r>
              <w:rPr>
                <w:sz w:val="16"/>
              </w:rPr>
              <w:t xml:space="preserve">фраза и     </w:t>
            </w:r>
          </w:p>
          <w:p>
            <w:pPr>
              <w:pStyle w:val="1"/>
              <w:jc w:val="both"/>
            </w:pPr>
            <w:r>
              <w:rPr>
                <w:sz w:val="16"/>
              </w:rPr>
            </w:r>
            <w:hyperlink w:history="0" r:id="rId240"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пункты "a"</w:t>
              </w:r>
            </w:hyperlink>
            <w:r>
              <w:rPr>
                <w:sz w:val="16"/>
              </w:rPr>
              <w:t xml:space="preserve"> и</w:t>
            </w:r>
          </w:p>
          <w:p>
            <w:pPr>
              <w:pStyle w:val="1"/>
              <w:jc w:val="both"/>
            </w:pPr>
            <w:r>
              <w:rPr>
                <w:sz w:val="16"/>
              </w:rPr>
            </w:r>
            <w:hyperlink w:history="0" r:id="rId241"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"b"</w:t>
              </w:r>
            </w:hyperlink>
            <w:r>
              <w:rPr>
                <w:sz w:val="16"/>
              </w:rPr>
            </w:r>
          </w:p>
        </w:tc>
        <w:tc>
          <w:tcPr>
            <w:tcW w:w="1584" w:type="dxa"/>
            <w:tcBorders>
              <w:top w:val="nil"/>
            </w:tcBorders>
          </w:tcPr>
          <w:p>
            <w:pPr>
              <w:pStyle w:val="1"/>
              <w:jc w:val="both"/>
            </w:pPr>
            <w:r>
              <w:rPr>
                <w:sz w:val="16"/>
              </w:rPr>
            </w:r>
            <w:hyperlink w:history="0" r:id="rId242"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12 (1)</w:t>
              </w:r>
            </w:hyperlink>
            <w:r>
              <w:rPr>
                <w:sz w:val="16"/>
              </w:rPr>
              <w:t xml:space="preserve">,</w:t>
            </w:r>
          </w:p>
          <w:p>
            <w:pPr>
              <w:pStyle w:val="1"/>
              <w:jc w:val="both"/>
            </w:pPr>
            <w:r>
              <w:rPr>
                <w:sz w:val="16"/>
              </w:rPr>
              <w:t xml:space="preserve">первый        </w:t>
            </w:r>
          </w:p>
          <w:p>
            <w:pPr>
              <w:pStyle w:val="1"/>
              <w:jc w:val="both"/>
            </w:pPr>
            <w:r>
              <w:rPr>
                <w:sz w:val="16"/>
              </w:rPr>
              <w:t xml:space="preserve">подпараграф   </w:t>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24    </w:t>
            </w:r>
          </w:p>
          <w:p>
            <w:pPr>
              <w:pStyle w:val="1"/>
              <w:jc w:val="both"/>
            </w:pPr>
            <w:r>
              <w:rPr>
                <w:sz w:val="16"/>
              </w:rPr>
              <w:t xml:space="preserve">(1), первый  </w:t>
            </w:r>
          </w:p>
          <w:p>
            <w:pPr>
              <w:pStyle w:val="1"/>
              <w:jc w:val="both"/>
            </w:pPr>
            <w:r>
              <w:rPr>
                <w:sz w:val="16"/>
              </w:rPr>
              <w:t xml:space="preserve">подпараграф, </w:t>
            </w:r>
          </w:p>
          <w:p>
            <w:pPr>
              <w:pStyle w:val="1"/>
              <w:jc w:val="both"/>
            </w:pPr>
            <w:r>
              <w:rPr>
                <w:sz w:val="16"/>
              </w:rPr>
            </w:r>
            <w:hyperlink w:history="0" w:anchor="P524" w:tooltip="1. Государства-члены ЕС гарантируют предоставление заинтересованным членам общественности возможности своевременно и эффективно участвовать в следующих процессах:">
              <w:r>
                <w:rPr>
                  <w:sz w:val="16"/>
                  <w:color w:val="0000ff"/>
                </w:rPr>
                <w:t xml:space="preserve">вводная фраза</w:t>
              </w:r>
            </w:hyperlink>
          </w:p>
          <w:p>
            <w:pPr>
              <w:pStyle w:val="1"/>
              <w:jc w:val="both"/>
            </w:pPr>
            <w:r>
              <w:rPr>
                <w:sz w:val="16"/>
              </w:rPr>
              <w:t xml:space="preserve">и </w:t>
            </w:r>
            <w:hyperlink w:history="0" w:anchor="P525" w:tooltip="a) выдача разрешения на новую установку;">
              <w:r>
                <w:rPr>
                  <w:sz w:val="16"/>
                  <w:color w:val="0000ff"/>
                </w:rPr>
                <w:t xml:space="preserve">пункты "a"</w:t>
              </w:r>
            </w:hyperlink>
            <w:r>
              <w:rPr>
                <w:sz w:val="16"/>
              </w:rPr>
            </w:r>
          </w:p>
          <w:p>
            <w:pPr>
              <w:pStyle w:val="1"/>
              <w:jc w:val="both"/>
            </w:pPr>
            <w:r>
              <w:rPr>
                <w:sz w:val="16"/>
              </w:rPr>
              <w:t xml:space="preserve">и </w:t>
            </w:r>
            <w:hyperlink w:history="0" w:anchor="P526" w:tooltip="b) выдача разрешения на внесение существенных изменений;">
              <w:r>
                <w:rPr>
                  <w:sz w:val="16"/>
                  <w:color w:val="0000ff"/>
                </w:rPr>
                <w:t xml:space="preserve">"b"</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15   </w:t>
            </w:r>
          </w:p>
          <w:p>
            <w:pPr>
              <w:pStyle w:val="1"/>
              <w:jc w:val="both"/>
            </w:pPr>
            <w:r>
              <w:rPr>
                <w:sz w:val="16"/>
              </w:rPr>
              <w:t xml:space="preserve">(1), первый </w:t>
            </w:r>
          </w:p>
          <w:p>
            <w:pPr>
              <w:pStyle w:val="1"/>
              <w:jc w:val="both"/>
            </w:pPr>
            <w:r>
              <w:rPr>
                <w:sz w:val="16"/>
              </w:rPr>
              <w:t xml:space="preserve">подпараграф,</w:t>
            </w:r>
          </w:p>
          <w:p>
            <w:pPr>
              <w:pStyle w:val="1"/>
              <w:jc w:val="both"/>
            </w:pPr>
            <w:r>
              <w:rPr>
                <w:sz w:val="16"/>
              </w:rPr>
            </w:r>
            <w:hyperlink w:history="0" r:id="rId243"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пункт "c"</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24    </w:t>
            </w:r>
          </w:p>
          <w:p>
            <w:pPr>
              <w:pStyle w:val="1"/>
              <w:jc w:val="both"/>
            </w:pPr>
            <w:r>
              <w:rPr>
                <w:sz w:val="16"/>
              </w:rPr>
              <w:t xml:space="preserve">(1), первый  </w:t>
            </w:r>
          </w:p>
          <w:p>
            <w:pPr>
              <w:pStyle w:val="1"/>
              <w:jc w:val="both"/>
            </w:pPr>
            <w:r>
              <w:rPr>
                <w:sz w:val="16"/>
              </w:rPr>
              <w:t xml:space="preserve">подпараграф, </w:t>
            </w:r>
          </w:p>
          <w:p>
            <w:pPr>
              <w:pStyle w:val="1"/>
              <w:jc w:val="both"/>
            </w:pPr>
            <w:r>
              <w:rPr>
                <w:sz w:val="16"/>
              </w:rPr>
            </w:r>
            <w:hyperlink w:history="0" w:anchor="P527" w:tooltip="c) выдача или изменение разрешения для установки, когда применяется статья 15 (4) настоящей Директивы;">
              <w:r>
                <w:rPr>
                  <w:sz w:val="16"/>
                  <w:color w:val="0000ff"/>
                </w:rPr>
                <w:t xml:space="preserve">пункт "c"</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15   </w:t>
            </w:r>
          </w:p>
          <w:p>
            <w:pPr>
              <w:pStyle w:val="1"/>
              <w:jc w:val="both"/>
            </w:pPr>
            <w:r>
              <w:rPr>
                <w:sz w:val="16"/>
              </w:rPr>
            </w:r>
            <w:hyperlink w:history="0" r:id="rId244"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(1), второй</w:t>
              </w:r>
            </w:hyperlink>
            <w:r>
              <w:rPr>
                <w:sz w:val="16"/>
              </w:rPr>
            </w:r>
          </w:p>
          <w:p>
            <w:pPr>
              <w:pStyle w:val="1"/>
              <w:jc w:val="both"/>
            </w:pPr>
            <w:r>
              <w:rPr>
                <w:sz w:val="16"/>
              </w:rPr>
              <w:t xml:space="preserve">подпараграф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24    </w:t>
            </w:r>
          </w:p>
          <w:p>
            <w:pPr>
              <w:pStyle w:val="1"/>
              <w:jc w:val="both"/>
            </w:pPr>
            <w:r>
              <w:rPr>
                <w:sz w:val="16"/>
              </w:rPr>
            </w:r>
            <w:hyperlink w:history="0" w:anchor="P529" w:tooltip="Такое участие осуществляется в порядке, установленном в Приложении IV к настоящей Директиве.">
              <w:r>
                <w:rPr>
                  <w:sz w:val="16"/>
                  <w:color w:val="0000ff"/>
                </w:rPr>
                <w:t xml:space="preserve">(1), второй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15   </w:t>
            </w:r>
          </w:p>
          <w:p>
            <w:pPr>
              <w:pStyle w:val="1"/>
              <w:jc w:val="both"/>
            </w:pPr>
            <w:r>
              <w:rPr>
                <w:sz w:val="16"/>
              </w:rPr>
            </w:r>
            <w:hyperlink w:history="0" r:id="rId245"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(2)</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24 (3)</w:t>
            </w:r>
          </w:p>
          <w:p>
            <w:pPr>
              <w:pStyle w:val="1"/>
              <w:jc w:val="both"/>
            </w:pPr>
            <w:r>
              <w:rPr>
                <w:sz w:val="16"/>
              </w:rPr>
            </w:r>
            <w:hyperlink w:history="0" w:anchor="P539" w:tooltip="b) результаты мониторинга выбросов, проведенного компетентным органом в соответствии с условиями разрешения.">
              <w:r>
                <w:rPr>
                  <w:sz w:val="16"/>
                  <w:color w:val="0000ff"/>
                </w:rPr>
                <w:t xml:space="preserve">"b"</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15   </w:t>
            </w:r>
          </w:p>
          <w:p>
            <w:pPr>
              <w:pStyle w:val="1"/>
              <w:jc w:val="both"/>
            </w:pPr>
            <w:r>
              <w:rPr>
                <w:sz w:val="16"/>
              </w:rPr>
            </w:r>
            <w:hyperlink w:history="0" r:id="rId246"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(3)</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540" w:tooltip="4. Параграфы 1, 2 и 3 настоящей статьи применяются с учетом ограничений, установленных статьей 4 (1) и (2) Директивы 2003/4/ЕС.">
              <w:r>
                <w:rPr>
                  <w:sz w:val="16"/>
                  <w:color w:val="0000ff"/>
                </w:rPr>
                <w:t xml:space="preserve">Статья 24 (4)</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15   </w:t>
            </w:r>
          </w:p>
          <w:p>
            <w:pPr>
              <w:pStyle w:val="1"/>
              <w:jc w:val="both"/>
            </w:pPr>
            <w:r>
              <w:rPr>
                <w:sz w:val="16"/>
              </w:rPr>
            </w:r>
            <w:hyperlink w:history="0" r:id="rId247"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(4)</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24    </w:t>
            </w:r>
          </w:p>
          <w:p>
            <w:pPr>
              <w:pStyle w:val="1"/>
              <w:jc w:val="both"/>
            </w:pPr>
            <w:r>
              <w:rPr>
                <w:sz w:val="16"/>
              </w:rPr>
            </w:r>
            <w:hyperlink w:history="0" w:anchor="P530" w:tooltip="2. При принятии решения о выдаче, пересмотре или изменении разрешения компетентные органы предоставляют общественности следующую информацию, в том числе, в отношении пунктов &quot;a&quot;, &quot;b&quot; и &quot;f&quot;, через Интернет:">
              <w:r>
                <w:rPr>
                  <w:sz w:val="16"/>
                  <w:color w:val="0000ff"/>
                </w:rPr>
                <w:t xml:space="preserve">(2), вводная</w:t>
              </w:r>
            </w:hyperlink>
            <w:r>
              <w:rPr>
                <w:sz w:val="16"/>
              </w:rPr>
            </w:r>
          </w:p>
          <w:p>
            <w:pPr>
              <w:pStyle w:val="1"/>
              <w:jc w:val="both"/>
            </w:pPr>
            <w:r>
              <w:rPr>
                <w:sz w:val="16"/>
              </w:rPr>
              <w:t xml:space="preserve">фраза и      </w:t>
            </w:r>
          </w:p>
          <w:p>
            <w:pPr>
              <w:pStyle w:val="1"/>
              <w:jc w:val="both"/>
            </w:pPr>
            <w:r>
              <w:rPr>
                <w:sz w:val="16"/>
              </w:rPr>
            </w:r>
            <w:hyperlink w:history="0" w:anchor="P531" w:tooltip="a) содержание решения, в том числе копию разрешения и его последующих изменений;">
              <w:r>
                <w:rPr>
                  <w:sz w:val="16"/>
                  <w:color w:val="0000ff"/>
                </w:rPr>
                <w:t xml:space="preserve">пункты "a"</w:t>
              </w:r>
            </w:hyperlink>
            <w:r>
              <w:rPr>
                <w:sz w:val="16"/>
              </w:rPr>
              <w:t xml:space="preserve"> и </w:t>
            </w:r>
          </w:p>
          <w:p>
            <w:pPr>
              <w:pStyle w:val="1"/>
              <w:jc w:val="both"/>
            </w:pPr>
            <w:r>
              <w:rPr>
                <w:sz w:val="16"/>
              </w:rPr>
            </w:r>
            <w:hyperlink w:history="0" w:anchor="P532" w:tooltip="b) обоснование решения;">
              <w:r>
                <w:rPr>
                  <w:sz w:val="16"/>
                  <w:color w:val="0000ff"/>
                </w:rPr>
                <w:t xml:space="preserve">"b"</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24    </w:t>
            </w:r>
          </w:p>
          <w:p>
            <w:pPr>
              <w:pStyle w:val="1"/>
              <w:jc w:val="both"/>
            </w:pPr>
            <w:r>
              <w:rPr>
                <w:sz w:val="16"/>
              </w:rPr>
              <w:t xml:space="preserve">(2), пункты  </w:t>
            </w:r>
          </w:p>
          <w:p>
            <w:pPr>
              <w:pStyle w:val="1"/>
              <w:jc w:val="both"/>
            </w:pPr>
            <w:r>
              <w:rPr>
                <w:sz w:val="16"/>
              </w:rPr>
            </w:r>
            <w:hyperlink w:history="0" w:anchor="P533" w:tooltip="c) выводы по итогам консультаций, проведенных до принятия решения, с объяснением того, как они были учтены в таком решении;">
              <w:r>
                <w:rPr>
                  <w:sz w:val="16"/>
                  <w:color w:val="0000ff"/>
                </w:rPr>
                <w:t xml:space="preserve">"c"</w:t>
              </w:r>
            </w:hyperlink>
            <w:r>
              <w:rPr>
                <w:sz w:val="16"/>
              </w:rPr>
              <w:t xml:space="preserve"> - </w:t>
            </w:r>
            <w:hyperlink w:history="0" w:anchor="P536" w:tooltip="f) если применяется частичное отступление в соответствии со статьей 15 (4) настоящей Директивы, то указываются причины его предоставления, основанные на критериях, установленных указанным параграфом, а также условия его предоставления.">
              <w:r>
                <w:rPr>
                  <w:sz w:val="16"/>
                  <w:color w:val="0000ff"/>
                </w:rPr>
                <w:t xml:space="preserve">"f"</w:t>
              </w:r>
            </w:hyperlink>
            <w:r>
              <w:rPr>
                <w:sz w:val="16"/>
              </w:rPr>
              <w:t xml:space="preserve"> и  </w:t>
            </w:r>
          </w:p>
          <w:p>
            <w:pPr>
              <w:pStyle w:val="1"/>
              <w:jc w:val="both"/>
            </w:pPr>
            <w:r>
              <w:rPr>
                <w:sz w:val="16"/>
              </w:rPr>
              <w:t xml:space="preserve">статья 24    </w:t>
            </w:r>
          </w:p>
          <w:p>
            <w:pPr>
              <w:pStyle w:val="1"/>
              <w:jc w:val="both"/>
            </w:pPr>
            <w:r>
              <w:rPr>
                <w:sz w:val="16"/>
              </w:rPr>
            </w:r>
            <w:hyperlink w:history="0" w:anchor="P537" w:tooltip="3. Компетентный орган также предоставляет общественности, в том числе как минимум в отношении пункта &quot;a&quot; через Интернет:">
              <w:r>
                <w:rPr>
                  <w:sz w:val="16"/>
                  <w:color w:val="0000ff"/>
                </w:rPr>
                <w:t xml:space="preserve">(3), вводная</w:t>
              </w:r>
            </w:hyperlink>
            <w:r>
              <w:rPr>
                <w:sz w:val="16"/>
              </w:rPr>
            </w:r>
          </w:p>
          <w:p>
            <w:pPr>
              <w:pStyle w:val="1"/>
              <w:jc w:val="both"/>
            </w:pPr>
            <w:r>
              <w:rPr>
                <w:sz w:val="16"/>
              </w:rPr>
              <w:t xml:space="preserve">фраза и      </w:t>
            </w:r>
          </w:p>
          <w:p>
            <w:pPr>
              <w:pStyle w:val="1"/>
              <w:jc w:val="both"/>
            </w:pPr>
            <w:r>
              <w:rPr>
                <w:sz w:val="16"/>
              </w:rPr>
            </w:r>
            <w:hyperlink w:history="0" w:anchor="P538" w:tooltip="a) соответствующую информацию о мерах, принятых оператором после окончательного прекращения деятельности в соответствии со статьей 22 настоящей Директивы;">
              <w:r>
                <w:rPr>
                  <w:sz w:val="16"/>
                  <w:color w:val="0000ff"/>
                </w:rPr>
                <w:t xml:space="preserve">пункт "a"</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248"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16</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542" w:tooltip="Статья 25">
              <w:r>
                <w:rPr>
                  <w:sz w:val="16"/>
                  <w:color w:val="0000ff"/>
                </w:rPr>
                <w:t xml:space="preserve">Статья 25</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17   </w:t>
            </w:r>
          </w:p>
          <w:p>
            <w:pPr>
              <w:pStyle w:val="1"/>
              <w:jc w:val="both"/>
            </w:pPr>
            <w:r>
              <w:rPr>
                <w:sz w:val="16"/>
              </w:rPr>
            </w:r>
            <w:hyperlink w:history="0" r:id="rId249"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(1), второй</w:t>
              </w:r>
            </w:hyperlink>
            <w:r>
              <w:rPr>
                <w:sz w:val="16"/>
              </w:rPr>
            </w:r>
          </w:p>
          <w:p>
            <w:pPr>
              <w:pStyle w:val="1"/>
              <w:jc w:val="both"/>
            </w:pPr>
            <w:r>
              <w:rPr>
                <w:sz w:val="16"/>
              </w:rPr>
              <w:t xml:space="preserve">подпараграф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17   </w:t>
            </w:r>
          </w:p>
          <w:p>
            <w:pPr>
              <w:pStyle w:val="1"/>
              <w:jc w:val="both"/>
            </w:pPr>
            <w:r>
              <w:rPr>
                <w:sz w:val="16"/>
              </w:rPr>
            </w:r>
            <w:hyperlink w:history="0" r:id="rId250"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(2), первый</w:t>
              </w:r>
            </w:hyperlink>
            <w:r>
              <w:rPr>
                <w:sz w:val="16"/>
              </w:rPr>
            </w:r>
          </w:p>
          <w:p>
            <w:pPr>
              <w:pStyle w:val="1"/>
              <w:jc w:val="both"/>
            </w:pPr>
            <w:r>
              <w:rPr>
                <w:sz w:val="16"/>
              </w:rPr>
              <w:t xml:space="preserve">подпараграф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343" w:tooltip="1. В целях составления, пересмотра и при необходимости, обновления справочников BAT, Европейская комиссия организует обмен информацией между государствами-членами ЕС, соответствующими отраслями промышленности, неправительственными организациями, содействующими обеспечению защиты окружающей среды, и Европейской комиссией.">
              <w:r>
                <w:rPr>
                  <w:sz w:val="16"/>
                  <w:color w:val="0000ff"/>
                </w:rPr>
                <w:t xml:space="preserve">Статья 13 (1)</w:t>
              </w:r>
            </w:hyperlink>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13    </w:t>
            </w:r>
          </w:p>
          <w:p>
            <w:pPr>
              <w:pStyle w:val="1"/>
              <w:jc w:val="both"/>
            </w:pPr>
            <w:r>
              <w:rPr>
                <w:sz w:val="16"/>
              </w:rPr>
            </w:r>
            <w:hyperlink w:history="0" w:anchor="P344" w:tooltip="2. Обмен информацией должен, в частности, касаться следующих вопросов:">
              <w:r>
                <w:rPr>
                  <w:sz w:val="16"/>
                  <w:color w:val="0000ff"/>
                </w:rPr>
                <w:t xml:space="preserve">(2)</w:t>
              </w:r>
            </w:hyperlink>
            <w:r>
              <w:rPr>
                <w:sz w:val="16"/>
              </w:rPr>
              <w:t xml:space="preserve"> - </w:t>
            </w:r>
            <w:hyperlink w:history="0" w:anchor="P358" w:tooltip="7. Вплоть до принятия решения в соответствии с параграфом 5 настоящей статьи, заключения о наилучших доступных технологиях из справочников BAT, принятых Европейской комиссией ранее даты, указанной в статье 83 настоящей Директивы, применяются в качестве заключений BAT в целях настоящей главы, за исключением статьи 15 (3) и (4) настоящей Директивы.">
              <w:r>
                <w:rPr>
                  <w:sz w:val="16"/>
                  <w:color w:val="0000ff"/>
                </w:rPr>
                <w:t xml:space="preserve">(7)</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17   </w:t>
            </w:r>
          </w:p>
          <w:p>
            <w:pPr>
              <w:pStyle w:val="1"/>
              <w:jc w:val="both"/>
            </w:pPr>
            <w:r>
              <w:rPr>
                <w:sz w:val="16"/>
              </w:rPr>
            </w:r>
            <w:hyperlink w:history="0" r:id="rId251"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(2), второй</w:t>
              </w:r>
            </w:hyperlink>
            <w:r>
              <w:rPr>
                <w:sz w:val="16"/>
              </w:rPr>
            </w:r>
          </w:p>
          <w:p>
            <w:pPr>
              <w:pStyle w:val="1"/>
              <w:jc w:val="both"/>
            </w:pPr>
            <w:r>
              <w:rPr>
                <w:sz w:val="16"/>
              </w:rPr>
              <w:t xml:space="preserve">подпараграф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17   </w:t>
            </w:r>
          </w:p>
          <w:p>
            <w:pPr>
              <w:pStyle w:val="1"/>
              <w:jc w:val="both"/>
            </w:pPr>
            <w:r>
              <w:rPr>
                <w:sz w:val="16"/>
              </w:rPr>
              <w:t xml:space="preserve">(3), первый </w:t>
            </w:r>
          </w:p>
          <w:p>
            <w:pPr>
              <w:pStyle w:val="1"/>
              <w:jc w:val="both"/>
            </w:pPr>
            <w:r>
              <w:rPr>
                <w:sz w:val="16"/>
              </w:rPr>
              <w:t xml:space="preserve">подпараграф,</w:t>
            </w:r>
          </w:p>
          <w:p>
            <w:pPr>
              <w:pStyle w:val="1"/>
              <w:jc w:val="both"/>
            </w:pPr>
            <w:r>
              <w:rPr>
                <w:sz w:val="16"/>
              </w:rPr>
            </w:r>
            <w:hyperlink w:history="0" r:id="rId252"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второе</w:t>
              </w:r>
            </w:hyperlink>
            <w:r>
              <w:rPr>
                <w:sz w:val="16"/>
              </w:rPr>
              <w:t xml:space="preserve"> и    </w:t>
            </w:r>
          </w:p>
          <w:p>
            <w:pPr>
              <w:pStyle w:val="1"/>
              <w:jc w:val="both"/>
            </w:pPr>
            <w:r>
              <w:rPr>
                <w:sz w:val="16"/>
              </w:rPr>
            </w:r>
            <w:hyperlink w:history="0" r:id="rId253"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третье</w:t>
              </w:r>
            </w:hyperlink>
            <w:r>
              <w:rPr>
                <w:sz w:val="16"/>
              </w:rPr>
            </w:r>
          </w:p>
          <w:p>
            <w:pPr>
              <w:pStyle w:val="1"/>
              <w:jc w:val="both"/>
            </w:pPr>
            <w:r>
              <w:rPr>
                <w:sz w:val="16"/>
              </w:rPr>
              <w:t xml:space="preserve">предложение </w:t>
            </w:r>
          </w:p>
        </w:tc>
        <w:tc>
          <w:tcPr>
            <w:tcW w:w="1584" w:type="dxa"/>
            <w:tcBorders>
              <w:top w:val="nil"/>
            </w:tcBorders>
          </w:tcPr>
          <w:p>
            <w:pPr>
              <w:pStyle w:val="1"/>
              <w:jc w:val="both"/>
            </w:pPr>
            <w:r>
              <w:rPr>
                <w:sz w:val="16"/>
              </w:rPr>
            </w:r>
            <w:hyperlink w:history="0" r:id="rId254"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11 (1)</w:t>
              </w:r>
            </w:hyperlink>
            <w:r>
              <w:rPr>
                <w:sz w:val="16"/>
              </w:rPr>
              <w:t xml:space="preserve">,</w:t>
            </w:r>
          </w:p>
          <w:p>
            <w:pPr>
              <w:pStyle w:val="1"/>
              <w:jc w:val="both"/>
            </w:pPr>
            <w:r>
              <w:rPr>
                <w:sz w:val="16"/>
              </w:rPr>
              <w:t xml:space="preserve">второе        </w:t>
            </w:r>
          </w:p>
          <w:p>
            <w:pPr>
              <w:pStyle w:val="1"/>
              <w:jc w:val="both"/>
            </w:pPr>
            <w:r>
              <w:rPr>
                <w:sz w:val="16"/>
              </w:rPr>
              <w:t xml:space="preserve">предложение   </w:t>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102" w:tooltip="2. Вид, формат и частота предоставления информации, указанной в параграфе 1 настоящей статьи, устанавливается в соответствии с регулятивной процедурой, предусмотренной в статье 75 (2) настоящей Директивы. В том числе необходимо определить виды деятельности и загрязнители, в отношении которых требуется предоставление информации, указанной в параграфе 1 настоящей статьи.">
              <w:r>
                <w:rPr>
                  <w:sz w:val="16"/>
                  <w:color w:val="0000ff"/>
                </w:rPr>
                <w:t xml:space="preserve">Статья 72 (2)</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17   </w:t>
            </w:r>
          </w:p>
          <w:p>
            <w:pPr>
              <w:pStyle w:val="1"/>
              <w:jc w:val="both"/>
            </w:pPr>
            <w:r>
              <w:rPr>
                <w:sz w:val="16"/>
              </w:rPr>
              <w:t xml:space="preserve">(3), первый </w:t>
            </w:r>
          </w:p>
          <w:p>
            <w:pPr>
              <w:pStyle w:val="1"/>
              <w:jc w:val="both"/>
            </w:pPr>
            <w:r>
              <w:rPr>
                <w:sz w:val="16"/>
              </w:rPr>
              <w:t xml:space="preserve">подпараграф,</w:t>
            </w:r>
          </w:p>
          <w:p>
            <w:pPr>
              <w:pStyle w:val="1"/>
              <w:jc w:val="both"/>
            </w:pPr>
            <w:r>
              <w:rPr>
                <w:sz w:val="16"/>
              </w:rPr>
            </w:r>
            <w:hyperlink w:history="0" r:id="rId255"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четвертое</w:t>
              </w:r>
            </w:hyperlink>
            <w:r>
              <w:rPr>
                <w:sz w:val="16"/>
              </w:rPr>
            </w:r>
          </w:p>
          <w:p>
            <w:pPr>
              <w:pStyle w:val="1"/>
              <w:jc w:val="both"/>
            </w:pPr>
            <w:r>
              <w:rPr>
                <w:sz w:val="16"/>
              </w:rPr>
              <w:t xml:space="preserve">предложение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r>
            <w:hyperlink w:history="0" w:anchor="P1103" w:tooltip="3. В отношении всех заводов по сжиганию, подпадающих под действие главы III настоящей Директивы, государства-члены ЕС должны с 1 января 2016 г. вести ежегодные перечни выбросов диоксида серы, оксидов азота и пыли, а также потребляемой энергии.">
              <w:r>
                <w:rPr>
                  <w:sz w:val="16"/>
                  <w:color w:val="0000ff"/>
                </w:rPr>
                <w:t xml:space="preserve">Статья 72 (3)</w:t>
              </w:r>
            </w:hyperlink>
          </w:p>
          <w:p>
            <w:pPr>
              <w:pStyle w:val="1"/>
              <w:jc w:val="both"/>
            </w:pPr>
            <w:r>
              <w:rPr>
                <w:sz w:val="16"/>
              </w:rPr>
              <w:t xml:space="preserve">и </w:t>
            </w:r>
            <w:hyperlink w:history="0" w:anchor="P1114" w:tooltip="4. Государства-члены ЕС с 1 января 2016 г. ежегодно предоставляют Европейской комиссии следующие сведения:">
              <w:r>
                <w:rPr>
                  <w:sz w:val="16"/>
                  <w:color w:val="0000ff"/>
                </w:rPr>
                <w:t xml:space="preserve">(4)</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17   </w:t>
            </w:r>
          </w:p>
          <w:p>
            <w:pPr>
              <w:pStyle w:val="1"/>
              <w:jc w:val="both"/>
            </w:pPr>
            <w:r>
              <w:rPr>
                <w:sz w:val="16"/>
              </w:rPr>
            </w:r>
            <w:hyperlink w:history="0" r:id="rId256"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(3), второй</w:t>
              </w:r>
            </w:hyperlink>
            <w:r>
              <w:rPr>
                <w:sz w:val="16"/>
              </w:rPr>
            </w:r>
          </w:p>
          <w:p>
            <w:pPr>
              <w:pStyle w:val="1"/>
              <w:jc w:val="both"/>
            </w:pPr>
            <w:r>
              <w:rPr>
                <w:sz w:val="16"/>
              </w:rPr>
              <w:t xml:space="preserve">подпараграф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17   </w:t>
            </w:r>
          </w:p>
          <w:p>
            <w:pPr>
              <w:pStyle w:val="1"/>
              <w:jc w:val="both"/>
            </w:pPr>
            <w:r>
              <w:rPr>
                <w:sz w:val="16"/>
              </w:rPr>
            </w:r>
            <w:hyperlink w:history="0" r:id="rId257"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(3), третий</w:t>
              </w:r>
            </w:hyperlink>
            <w:r>
              <w:rPr>
                <w:sz w:val="16"/>
              </w:rPr>
            </w:r>
          </w:p>
          <w:p>
            <w:pPr>
              <w:pStyle w:val="1"/>
              <w:jc w:val="both"/>
            </w:pPr>
            <w:r>
              <w:rPr>
                <w:sz w:val="16"/>
              </w:rPr>
              <w:t xml:space="preserve">подпараграф </w:t>
            </w:r>
          </w:p>
        </w:tc>
        <w:tc>
          <w:tcPr>
            <w:tcW w:w="1584" w:type="dxa"/>
            <w:tcBorders>
              <w:top w:val="nil"/>
            </w:tcBorders>
          </w:tcPr>
          <w:p>
            <w:pPr>
              <w:pStyle w:val="1"/>
              <w:jc w:val="both"/>
            </w:pPr>
            <w:r>
              <w:rPr>
                <w:sz w:val="16"/>
              </w:rPr>
            </w:r>
            <w:hyperlink w:history="0" r:id="rId258"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11 (3)</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122" w:tooltip="1. Не позднее 7 января 2016 г. и каждые последующие три года Европейская комиссия представляет Европейскому парламенту и Совету ЕС отчет об имплементации настоящей Директивы на основе информации, указанной в статье 72 настоящей Директивы.">
              <w:r>
                <w:rPr>
                  <w:sz w:val="16"/>
                  <w:color w:val="0000ff"/>
                </w:rPr>
                <w:t xml:space="preserve">Статья 73 (1)</w:t>
              </w:r>
            </w:hyperlink>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r>
            <w:hyperlink w:history="0" w:anchor="P1129" w:tooltip="2. Европейская комиссия не позднее 31 декабря 2012 г. пересматривает необходимость контролировать выбросы от:">
              <w:r>
                <w:rPr>
                  <w:sz w:val="16"/>
                  <w:color w:val="0000ff"/>
                </w:rPr>
                <w:t xml:space="preserve">Статья 73 (2)</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17   </w:t>
            </w:r>
          </w:p>
          <w:p>
            <w:pPr>
              <w:pStyle w:val="1"/>
              <w:jc w:val="both"/>
            </w:pPr>
            <w:r>
              <w:rPr>
                <w:sz w:val="16"/>
              </w:rPr>
            </w:r>
            <w:hyperlink w:history="0" r:id="rId259"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(4)</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r>
            <w:hyperlink w:history="0" w:anchor="P1139" w:tooltip="Статья 74">
              <w:r>
                <w:rPr>
                  <w:sz w:val="16"/>
                  <w:color w:val="0000ff"/>
                </w:rPr>
                <w:t xml:space="preserve">Статья 74</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r>
            <w:hyperlink w:history="0" w:anchor="P567" w:tooltip="Статья 27">
              <w:r>
                <w:rPr>
                  <w:sz w:val="16"/>
                  <w:color w:val="0000ff"/>
                </w:rPr>
                <w:t xml:space="preserve">Статья 27</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260"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18</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261"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Статья 11</w:t>
              </w:r>
            </w:hyperlink>
            <w:r>
              <w:rPr>
                <w:sz w:val="16"/>
              </w:rPr>
            </w:r>
          </w:p>
        </w:tc>
        <w:tc>
          <w:tcPr>
            <w:tcW w:w="1485" w:type="dxa"/>
            <w:tcBorders>
              <w:top w:val="nil"/>
            </w:tcBorders>
          </w:tcPr>
          <w:p>
            <w:pPr>
              <w:pStyle w:val="1"/>
              <w:jc w:val="both"/>
            </w:pPr>
            <w:r>
              <w:rPr>
                <w:sz w:val="16"/>
              </w:rPr>
            </w:r>
            <w:hyperlink w:history="0" w:anchor="P557" w:tooltip="Статья 26">
              <w:r>
                <w:rPr>
                  <w:sz w:val="16"/>
                  <w:color w:val="0000ff"/>
                </w:rPr>
                <w:t xml:space="preserve">Статья 26</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262"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19</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263"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20</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264"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21</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192" w:tooltip="2. Государства-члены ЕС передают Европейской комиссии текст основных положений национального законодательства, которые они принимают в сфере, подпадающей под действие настоящей Директивы.">
              <w:r>
                <w:rPr>
                  <w:sz w:val="16"/>
                  <w:color w:val="0000ff"/>
                </w:rPr>
                <w:t xml:space="preserve">Статья 80 (2)</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265"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22</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266"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18</w:t>
              </w:r>
            </w:hyperlink>
            <w:r>
              <w:rPr>
                <w:sz w:val="16"/>
              </w:rPr>
            </w:r>
          </w:p>
        </w:tc>
        <w:tc>
          <w:tcPr>
            <w:tcW w:w="1386" w:type="dxa"/>
            <w:tcBorders>
              <w:top w:val="nil"/>
            </w:tcBorders>
          </w:tcPr>
          <w:p>
            <w:pPr>
              <w:pStyle w:val="1"/>
              <w:jc w:val="both"/>
            </w:pPr>
            <w:r>
              <w:rPr>
                <w:sz w:val="16"/>
              </w:rPr>
            </w:r>
            <w:hyperlink w:history="0" r:id="rId267"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Статья 17</w:t>
              </w:r>
            </w:hyperlink>
            <w:r>
              <w:rPr>
                <w:sz w:val="16"/>
              </w:rPr>
            </w:r>
          </w:p>
        </w:tc>
        <w:tc>
          <w:tcPr>
            <w:tcW w:w="1485" w:type="dxa"/>
            <w:tcBorders>
              <w:top w:val="nil"/>
            </w:tcBorders>
          </w:tcPr>
          <w:p>
            <w:pPr>
              <w:pStyle w:val="1"/>
              <w:jc w:val="both"/>
            </w:pPr>
            <w:r>
              <w:rPr>
                <w:sz w:val="16"/>
              </w:rPr>
            </w:r>
            <w:hyperlink w:history="0" w:anchor="P1194" w:tooltip="Статья 81">
              <w:r>
                <w:rPr>
                  <w:sz w:val="16"/>
                  <w:color w:val="0000ff"/>
                </w:rPr>
                <w:t xml:space="preserve">Статья 81</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r>
            <w:hyperlink w:history="0" w:anchor="P1202" w:tooltip="Статья 82">
              <w:r>
                <w:rPr>
                  <w:sz w:val="16"/>
                  <w:color w:val="0000ff"/>
                </w:rPr>
                <w:t xml:space="preserve">Статья 82</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268"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Статья 23</w:t>
              </w:r>
            </w:hyperlink>
            <w:r>
              <w:rPr>
                <w:sz w:val="16"/>
              </w:rPr>
            </w:r>
          </w:p>
        </w:tc>
        <w:tc>
          <w:tcPr>
            <w:tcW w:w="1584" w:type="dxa"/>
            <w:tcBorders>
              <w:top w:val="nil"/>
            </w:tcBorders>
          </w:tcPr>
          <w:p>
            <w:pPr>
              <w:pStyle w:val="1"/>
              <w:jc w:val="both"/>
            </w:pPr>
            <w:r>
              <w:rPr>
                <w:sz w:val="16"/>
              </w:rPr>
            </w:r>
            <w:hyperlink w:history="0" r:id="rId269"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16</w:t>
              </w:r>
            </w:hyperlink>
            <w:r>
              <w:rPr>
                <w:sz w:val="16"/>
              </w:rPr>
            </w:r>
          </w:p>
        </w:tc>
        <w:tc>
          <w:tcPr>
            <w:tcW w:w="1485" w:type="dxa"/>
            <w:tcBorders>
              <w:top w:val="nil"/>
            </w:tcBorders>
          </w:tcPr>
          <w:p>
            <w:pPr>
              <w:pStyle w:val="1"/>
              <w:jc w:val="both"/>
            </w:pPr>
            <w:r>
              <w:rPr>
                <w:sz w:val="16"/>
              </w:rPr>
            </w:r>
            <w:hyperlink w:history="0" r:id="rId270"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22</w:t>
              </w:r>
            </w:hyperlink>
            <w:r>
              <w:rPr>
                <w:sz w:val="16"/>
              </w:rPr>
            </w:r>
          </w:p>
        </w:tc>
        <w:tc>
          <w:tcPr>
            <w:tcW w:w="1386" w:type="dxa"/>
            <w:tcBorders>
              <w:top w:val="nil"/>
            </w:tcBorders>
          </w:tcPr>
          <w:p>
            <w:pPr>
              <w:pStyle w:val="1"/>
              <w:jc w:val="both"/>
            </w:pPr>
            <w:r>
              <w:rPr>
                <w:sz w:val="16"/>
              </w:rPr>
            </w:r>
            <w:hyperlink w:history="0" r:id="rId271"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Статья 19</w:t>
              </w:r>
            </w:hyperlink>
            <w:r>
              <w:rPr>
                <w:sz w:val="16"/>
              </w:rPr>
            </w:r>
          </w:p>
        </w:tc>
        <w:tc>
          <w:tcPr>
            <w:tcW w:w="1485" w:type="dxa"/>
            <w:tcBorders>
              <w:top w:val="nil"/>
            </w:tcBorders>
          </w:tcPr>
          <w:p>
            <w:pPr>
              <w:pStyle w:val="1"/>
              <w:jc w:val="both"/>
            </w:pPr>
            <w:r>
              <w:rPr>
                <w:sz w:val="16"/>
              </w:rPr>
            </w:r>
            <w:hyperlink w:history="0" w:anchor="P1228" w:tooltip="Статья 83">
              <w:r>
                <w:rPr>
                  <w:sz w:val="16"/>
                  <w:color w:val="0000ff"/>
                </w:rPr>
                <w:t xml:space="preserve">Статья 83</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r>
            <w:hyperlink w:history="0" w:anchor="P133" w:tooltip="1. Настоящая Директива применяется к промышленной деятельности, приводящей к загрязнению, как предусмотрено главами II - VI настоящей Директивы.">
              <w:r>
                <w:rPr>
                  <w:sz w:val="16"/>
                  <w:color w:val="0000ff"/>
                </w:rPr>
                <w:t xml:space="preserve">Статья 2 (1)</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t xml:space="preserve">I, параграф </w:t>
            </w:r>
          </w:p>
          <w:p>
            <w:pPr>
              <w:pStyle w:val="1"/>
              <w:jc w:val="both"/>
            </w:pPr>
            <w:r>
              <w:rPr>
                <w:sz w:val="16"/>
              </w:rPr>
            </w:r>
            <w:hyperlink w:history="0" r:id="rId272"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1 вводной</w:t>
              </w:r>
            </w:hyperlink>
            <w:r>
              <w:rPr>
                <w:sz w:val="16"/>
              </w:rPr>
            </w:r>
          </w:p>
          <w:p>
            <w:pPr>
              <w:pStyle w:val="1"/>
              <w:jc w:val="both"/>
            </w:pPr>
            <w:r>
              <w:rPr>
                <w:sz w:val="16"/>
              </w:rPr>
              <w:t xml:space="preserve">фразы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34" w:tooltip="2. Настоящая Директива не применяется к научно-исследовательским и опытно-конструкторским работам, а также к тестированию новых продуктов и процессов.">
              <w:r>
                <w:rPr>
                  <w:sz w:val="16"/>
                  <w:color w:val="0000ff"/>
                </w:rPr>
                <w:t xml:space="preserve">Статья 2 (2)</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t xml:space="preserve">I, параграф </w:t>
            </w:r>
          </w:p>
          <w:p>
            <w:pPr>
              <w:pStyle w:val="1"/>
              <w:jc w:val="both"/>
            </w:pPr>
            <w:r>
              <w:rPr>
                <w:sz w:val="16"/>
              </w:rPr>
            </w:r>
            <w:hyperlink w:history="0" r:id="rId273"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2 вводной</w:t>
              </w:r>
            </w:hyperlink>
            <w:r>
              <w:rPr>
                <w:sz w:val="16"/>
              </w:rPr>
            </w:r>
          </w:p>
          <w:p>
            <w:pPr>
              <w:pStyle w:val="1"/>
              <w:jc w:val="both"/>
            </w:pPr>
            <w:r>
              <w:rPr>
                <w:sz w:val="16"/>
              </w:rPr>
              <w:t xml:space="preserve">фразы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I,</w:t>
            </w:r>
          </w:p>
          <w:p>
            <w:pPr>
              <w:pStyle w:val="1"/>
              <w:jc w:val="both"/>
            </w:pPr>
            <w:r>
              <w:rPr>
                <w:sz w:val="16"/>
              </w:rPr>
              <w:t xml:space="preserve">первый       </w:t>
            </w:r>
          </w:p>
          <w:p>
            <w:pPr>
              <w:pStyle w:val="1"/>
              <w:jc w:val="both"/>
            </w:pPr>
            <w:r>
              <w:rPr>
                <w:sz w:val="16"/>
              </w:rPr>
              <w:t xml:space="preserve">подпараграф  </w:t>
            </w:r>
          </w:p>
          <w:p>
            <w:pPr>
              <w:pStyle w:val="1"/>
              <w:jc w:val="both"/>
            </w:pPr>
            <w:r>
              <w:rPr>
                <w:sz w:val="16"/>
              </w:rPr>
              <w:t xml:space="preserve">вводной      </w:t>
            </w:r>
          </w:p>
          <w:p>
            <w:pPr>
              <w:pStyle w:val="1"/>
              <w:jc w:val="both"/>
            </w:pPr>
            <w:r>
              <w:rPr>
                <w:sz w:val="16"/>
              </w:rPr>
            </w:r>
            <w:hyperlink w:history="0" w:anchor="P1253" w:tooltip="Пороговые значения, установленные ниже, относятся к производственным мощностям или объемам выпуска. При осуществлении одной установкой нескольких видов деятельности, подпадающих под одно и то же описание пороговых значений, производственные мощности таких видов деятельности складываются. В отношении деятельности по управлению отходами данное правило применяется на уровне видов деятельности, указанных в пунктах 5.1, 5.3 &quot;a&quot; и 5.3 &quot;b&quot; настоящего Приложения.">
              <w:r>
                <w:rPr>
                  <w:sz w:val="16"/>
                  <w:color w:val="0000ff"/>
                </w:rPr>
                <w:t xml:space="preserve">фразы, первое</w:t>
              </w:r>
            </w:hyperlink>
          </w:p>
          <w:p>
            <w:pPr>
              <w:pStyle w:val="1"/>
              <w:jc w:val="both"/>
            </w:pPr>
            <w:r>
              <w:rPr>
                <w:sz w:val="16"/>
              </w:rPr>
              <w:t xml:space="preserve">предложение  </w:t>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Приложение I,</w:t>
            </w:r>
          </w:p>
          <w:p>
            <w:pPr>
              <w:pStyle w:val="1"/>
              <w:jc w:val="both"/>
            </w:pPr>
            <w:r>
              <w:rPr>
                <w:sz w:val="16"/>
              </w:rPr>
              <w:t xml:space="preserve">первый       </w:t>
            </w:r>
          </w:p>
          <w:p>
            <w:pPr>
              <w:pStyle w:val="1"/>
              <w:jc w:val="both"/>
            </w:pPr>
            <w:r>
              <w:rPr>
                <w:sz w:val="16"/>
              </w:rPr>
              <w:t xml:space="preserve">подпараграф  </w:t>
            </w:r>
          </w:p>
          <w:p>
            <w:pPr>
              <w:pStyle w:val="1"/>
              <w:jc w:val="both"/>
            </w:pPr>
            <w:r>
              <w:rPr>
                <w:sz w:val="16"/>
              </w:rPr>
              <w:t xml:space="preserve">вводной      </w:t>
            </w:r>
          </w:p>
          <w:p>
            <w:pPr>
              <w:pStyle w:val="1"/>
              <w:jc w:val="both"/>
            </w:pPr>
            <w:r>
              <w:rPr>
                <w:sz w:val="16"/>
              </w:rPr>
            </w:r>
            <w:hyperlink w:history="0" w:anchor="P1253" w:tooltip="Пороговые значения, установленные ниже, относятся к производственным мощностям или объемам выпуска. При осуществлении одной установкой нескольких видов деятельности, подпадающих под одно и то же описание пороговых значений, производственные мощности таких видов деятельности складываются. В отношении деятельности по управлению отходами данное правило применяется на уровне видов деятельности, указанных в пунктах 5.1, 5.3 &quot;a&quot; и 5.3 &quot;b&quot; настоящего Приложения.">
              <w:r>
                <w:rPr>
                  <w:sz w:val="16"/>
                  <w:color w:val="0000ff"/>
                </w:rPr>
                <w:t xml:space="preserve">фразы, второе</w:t>
              </w:r>
            </w:hyperlink>
          </w:p>
          <w:p>
            <w:pPr>
              <w:pStyle w:val="1"/>
              <w:jc w:val="both"/>
            </w:pPr>
            <w:r>
              <w:rPr>
                <w:sz w:val="16"/>
              </w:rPr>
              <w:t xml:space="preserve">предложение  </w:t>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Приложение I,</w:t>
            </w:r>
          </w:p>
          <w:p>
            <w:pPr>
              <w:pStyle w:val="1"/>
              <w:jc w:val="both"/>
            </w:pPr>
            <w:r>
              <w:rPr>
                <w:sz w:val="16"/>
              </w:rPr>
            </w:r>
            <w:hyperlink w:history="0" w:anchor="P1254" w:tooltip="Европейская комиссия разрабатывает рекомендации:">
              <w:r>
                <w:rPr>
                  <w:sz w:val="16"/>
                  <w:color w:val="0000ff"/>
                </w:rPr>
                <w:t xml:space="preserve">второй</w:t>
              </w:r>
            </w:hyperlink>
            <w:r>
              <w:rPr>
                <w:sz w:val="16"/>
              </w:rPr>
            </w:r>
          </w:p>
          <w:p>
            <w:pPr>
              <w:pStyle w:val="1"/>
              <w:jc w:val="both"/>
            </w:pPr>
            <w:r>
              <w:rPr>
                <w:sz w:val="16"/>
              </w:rPr>
              <w:t xml:space="preserve">подпараграф  </w:t>
            </w:r>
          </w:p>
          <w:p>
            <w:pPr>
              <w:pStyle w:val="1"/>
              <w:jc w:val="both"/>
            </w:pPr>
            <w:r>
              <w:rPr>
                <w:sz w:val="16"/>
              </w:rPr>
              <w:t xml:space="preserve">вводной фразы</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t xml:space="preserve">I, пункты   </w:t>
            </w:r>
          </w:p>
          <w:p>
            <w:pPr>
              <w:pStyle w:val="1"/>
              <w:jc w:val="both"/>
            </w:pPr>
            <w:r>
              <w:rPr>
                <w:sz w:val="16"/>
              </w:rPr>
            </w:r>
            <w:hyperlink w:history="0" r:id="rId274"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1.1</w:t>
              </w:r>
            </w:hyperlink>
            <w:r>
              <w:rPr>
                <w:sz w:val="16"/>
              </w:rPr>
              <w:t xml:space="preserve"> - </w:t>
            </w:r>
            <w:hyperlink w:history="0" r:id="rId275"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1.3</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I,</w:t>
            </w:r>
          </w:p>
          <w:p>
            <w:pPr>
              <w:pStyle w:val="1"/>
              <w:jc w:val="both"/>
            </w:pPr>
            <w:r>
              <w:rPr>
                <w:sz w:val="16"/>
              </w:rPr>
            </w:r>
            <w:hyperlink w:history="0" w:anchor="P1258" w:tooltip="1.1. Сжигание топлива в установках с номинальной тепловой мощностью 50 MW или более">
              <w:r>
                <w:rPr>
                  <w:sz w:val="16"/>
                  <w:color w:val="0000ff"/>
                </w:rPr>
                <w:t xml:space="preserve">пункты 1.1</w:t>
              </w:r>
            </w:hyperlink>
            <w:r>
              <w:rPr>
                <w:sz w:val="16"/>
              </w:rPr>
              <w:t xml:space="preserve"> - </w:t>
            </w:r>
          </w:p>
          <w:p>
            <w:pPr>
              <w:pStyle w:val="1"/>
              <w:jc w:val="both"/>
            </w:pPr>
            <w:r>
              <w:rPr>
                <w:sz w:val="16"/>
              </w:rPr>
            </w:r>
            <w:hyperlink w:history="0" w:anchor="P1260" w:tooltip="1.3. Производство кокса">
              <w:r>
                <w:rPr>
                  <w:sz w:val="16"/>
                  <w:color w:val="0000ff"/>
                </w:rPr>
                <w:t xml:space="preserve">1.3</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t xml:space="preserve">I, </w:t>
            </w:r>
            <w:hyperlink w:history="0" r:id="rId276"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пункт 1.4</w:t>
              </w:r>
            </w:hyperlink>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I,</w:t>
            </w:r>
          </w:p>
          <w:p>
            <w:pPr>
              <w:pStyle w:val="1"/>
              <w:jc w:val="both"/>
            </w:pPr>
            <w:r>
              <w:rPr>
                <w:sz w:val="16"/>
              </w:rPr>
            </w:r>
            <w:hyperlink w:history="0" w:anchor="P1262" w:tooltip="a) угля;">
              <w:r>
                <w:rPr>
                  <w:sz w:val="16"/>
                  <w:color w:val="0000ff"/>
                </w:rPr>
                <w:t xml:space="preserve">пункт 1.4 "a"</w:t>
              </w:r>
            </w:hyperlink>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Приложение I,</w:t>
            </w:r>
          </w:p>
          <w:p>
            <w:pPr>
              <w:pStyle w:val="1"/>
              <w:jc w:val="both"/>
            </w:pPr>
            <w:r>
              <w:rPr>
                <w:sz w:val="16"/>
              </w:rPr>
            </w:r>
            <w:hyperlink w:history="0" w:anchor="P1263" w:tooltip="b) иных видов топлива в установках с номинальной тепловой мощностью 20 MW или более.">
              <w:r>
                <w:rPr>
                  <w:sz w:val="16"/>
                  <w:color w:val="0000ff"/>
                </w:rPr>
                <w:t xml:space="preserve">пункт 1.4 "b"</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t xml:space="preserve">I, </w:t>
            </w:r>
            <w:hyperlink w:history="0" r:id="rId277"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пункт 2</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I,</w:t>
            </w:r>
          </w:p>
          <w:p>
            <w:pPr>
              <w:pStyle w:val="1"/>
              <w:jc w:val="both"/>
            </w:pPr>
            <w:r>
              <w:rPr>
                <w:sz w:val="16"/>
              </w:rPr>
            </w:r>
            <w:hyperlink w:history="0" w:anchor="P1264" w:tooltip="2. Производство и обработка металлов">
              <w:r>
                <w:rPr>
                  <w:sz w:val="16"/>
                  <w:color w:val="0000ff"/>
                </w:rPr>
                <w:t xml:space="preserve">пункт 2</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t xml:space="preserve">I, </w:t>
            </w:r>
            <w:hyperlink w:history="0" r:id="rId278"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пункт 3.1</w:t>
              </w:r>
            </w:hyperlink>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I,</w:t>
            </w:r>
          </w:p>
          <w:p>
            <w:pPr>
              <w:pStyle w:val="1"/>
              <w:jc w:val="both"/>
            </w:pPr>
            <w:r>
              <w:rPr>
                <w:sz w:val="16"/>
              </w:rPr>
            </w:r>
            <w:hyperlink w:history="0" w:anchor="P1278" w:tooltip="a) производство цементного клинкера во вращающихся обжиговых печах с производственной мощностью, превышающей 500 тонн в день, или в других печах с производственной мощностью, превышающей 50 тонн в день;">
              <w:r>
                <w:rPr>
                  <w:sz w:val="16"/>
                  <w:color w:val="0000ff"/>
                </w:rPr>
                <w:t xml:space="preserve">пункт 3.1 "a"</w:t>
              </w:r>
            </w:hyperlink>
          </w:p>
          <w:p>
            <w:pPr>
              <w:pStyle w:val="1"/>
              <w:jc w:val="both"/>
            </w:pPr>
            <w:r>
              <w:rPr>
                <w:sz w:val="16"/>
              </w:rPr>
              <w:t xml:space="preserve">и </w:t>
            </w:r>
            <w:hyperlink w:history="0" w:anchor="P1279" w:tooltip="b) производство извести в печах с производственной мощностью, превышающей 50 тонн в день;">
              <w:r>
                <w:rPr>
                  <w:sz w:val="16"/>
                  <w:color w:val="0000ff"/>
                </w:rPr>
                <w:t xml:space="preserve">"b"</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Приложение I,</w:t>
            </w:r>
          </w:p>
          <w:p>
            <w:pPr>
              <w:pStyle w:val="1"/>
              <w:jc w:val="both"/>
            </w:pPr>
            <w:r>
              <w:rPr>
                <w:sz w:val="16"/>
              </w:rPr>
            </w:r>
            <w:hyperlink w:history="0" w:anchor="P1280" w:tooltip="c) производство магнезии в печах с производственной мощностью, превышающей 50 тонн в день.">
              <w:r>
                <w:rPr>
                  <w:sz w:val="16"/>
                  <w:color w:val="0000ff"/>
                </w:rPr>
                <w:t xml:space="preserve">пункт 3.1 "c"</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t xml:space="preserve">I, пункты   </w:t>
            </w:r>
          </w:p>
          <w:p>
            <w:pPr>
              <w:pStyle w:val="1"/>
              <w:jc w:val="both"/>
            </w:pPr>
            <w:r>
              <w:rPr>
                <w:sz w:val="16"/>
              </w:rPr>
            </w:r>
            <w:hyperlink w:history="0" r:id="rId279"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3.2</w:t>
              </w:r>
            </w:hyperlink>
            <w:r>
              <w:rPr>
                <w:sz w:val="16"/>
              </w:rPr>
              <w:t xml:space="preserve"> - </w:t>
            </w:r>
            <w:hyperlink w:history="0" r:id="rId280"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3.5</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I,</w:t>
            </w:r>
          </w:p>
          <w:p>
            <w:pPr>
              <w:pStyle w:val="1"/>
              <w:jc w:val="both"/>
            </w:pPr>
            <w:r>
              <w:rPr>
                <w:sz w:val="16"/>
              </w:rPr>
            </w:r>
            <w:hyperlink w:history="0" w:anchor="P1281" w:tooltip="3.2. Производство асбеста или изготовление асбестосодержащих продуктов">
              <w:r>
                <w:rPr>
                  <w:sz w:val="16"/>
                  <w:color w:val="0000ff"/>
                </w:rPr>
                <w:t xml:space="preserve">пункты 3.2</w:t>
              </w:r>
            </w:hyperlink>
            <w:r>
              <w:rPr>
                <w:sz w:val="16"/>
              </w:rPr>
              <w:t xml:space="preserve"> - </w:t>
            </w:r>
          </w:p>
          <w:p>
            <w:pPr>
              <w:pStyle w:val="1"/>
              <w:jc w:val="both"/>
            </w:pPr>
            <w:r>
              <w:rPr>
                <w:sz w:val="16"/>
              </w:rPr>
            </w:r>
            <w:hyperlink w:history="0" w:anchor="P1284" w:tooltip="3.5. Производство керамических продуктов путем обжига, в частности, кровельной черепицы, кирпича, огнеупорного кирпича, керамической плитки, каменной керамики или фарфоровых изделий, с производственной мощностью, превышающей 75 тонн в день, и/или с мощностью обжиговых печей, превышающей 4 куб. м, и плотностью садки на обжиговую печь, превышающей 300 кг/куб. м.">
              <w:r>
                <w:rPr>
                  <w:sz w:val="16"/>
                  <w:color w:val="0000ff"/>
                </w:rPr>
                <w:t xml:space="preserve">3.5</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t xml:space="preserve">I, </w:t>
            </w:r>
            <w:hyperlink w:history="0" r:id="rId281"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пункт 4</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I,</w:t>
            </w:r>
          </w:p>
          <w:p>
            <w:pPr>
              <w:pStyle w:val="1"/>
              <w:jc w:val="both"/>
            </w:pPr>
            <w:r>
              <w:rPr>
                <w:sz w:val="16"/>
              </w:rPr>
            </w:r>
            <w:hyperlink w:history="0" w:anchor="P1285" w:tooltip="4. Химическая промышленность">
              <w:r>
                <w:rPr>
                  <w:sz w:val="16"/>
                  <w:color w:val="0000ff"/>
                </w:rPr>
                <w:t xml:space="preserve">пункт 4</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t xml:space="preserve">I, пункт 5, </w:t>
            </w:r>
          </w:p>
          <w:p>
            <w:pPr>
              <w:pStyle w:val="1"/>
              <w:jc w:val="both"/>
            </w:pPr>
            <w:r>
              <w:rPr>
                <w:sz w:val="16"/>
              </w:rPr>
            </w:r>
            <w:hyperlink w:history="0" r:id="rId282"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вводная</w:t>
              </w:r>
            </w:hyperlink>
            <w:r>
              <w:rPr>
                <w:sz w:val="16"/>
              </w:rPr>
            </w:r>
          </w:p>
          <w:p>
            <w:pPr>
              <w:pStyle w:val="1"/>
              <w:jc w:val="both"/>
            </w:pPr>
            <w:r>
              <w:rPr>
                <w:sz w:val="16"/>
              </w:rPr>
              <w:t xml:space="preserve">фраза       </w:t>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t xml:space="preserve">I, </w:t>
            </w:r>
            <w:hyperlink w:history="0" r:id="rId283"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пункт 5.1</w:t>
              </w:r>
            </w:hyperlink>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I,</w:t>
            </w:r>
          </w:p>
          <w:p>
            <w:pPr>
              <w:pStyle w:val="1"/>
              <w:jc w:val="both"/>
            </w:pPr>
            <w:r>
              <w:rPr>
                <w:sz w:val="16"/>
              </w:rPr>
              <w:t xml:space="preserve">пункт 5.1    </w:t>
            </w:r>
          </w:p>
          <w:p>
            <w:pPr>
              <w:pStyle w:val="1"/>
              <w:jc w:val="both"/>
            </w:pPr>
            <w:r>
              <w:rPr>
                <w:sz w:val="16"/>
              </w:rPr>
            </w:r>
            <w:hyperlink w:history="0" w:anchor="P1312" w:tooltip="b) физико-химическая обработка;">
              <w:r>
                <w:rPr>
                  <w:sz w:val="16"/>
                  <w:color w:val="0000ff"/>
                </w:rPr>
                <w:t xml:space="preserve">"b"</w:t>
              </w:r>
            </w:hyperlink>
            <w:r>
              <w:rPr>
                <w:sz w:val="16"/>
              </w:rPr>
              <w:t xml:space="preserve">, </w:t>
            </w:r>
            <w:hyperlink w:history="0" w:anchor="P1316" w:tooltip="f) переработка/утилизация неорганических материалов, за исключением металлов и металлических соединений;">
              <w:r>
                <w:rPr>
                  <w:sz w:val="16"/>
                  <w:color w:val="0000ff"/>
                </w:rPr>
                <w:t xml:space="preserve">"f"</w:t>
              </w:r>
            </w:hyperlink>
            <w:r>
              <w:rPr>
                <w:sz w:val="16"/>
              </w:rPr>
              <w:t xml:space="preserve">,    </w:t>
            </w:r>
          </w:p>
          <w:p>
            <w:pPr>
              <w:pStyle w:val="1"/>
              <w:jc w:val="both"/>
            </w:pPr>
            <w:r>
              <w:rPr>
                <w:sz w:val="16"/>
              </w:rPr>
            </w:r>
            <w:hyperlink w:history="0" w:anchor="P1317" w:tooltip="g) рекуперация кислот или щелочей;">
              <w:r>
                <w:rPr>
                  <w:sz w:val="16"/>
                  <w:color w:val="0000ff"/>
                </w:rPr>
                <w:t xml:space="preserve">"g"</w:t>
              </w:r>
            </w:hyperlink>
            <w:r>
              <w:rPr>
                <w:sz w:val="16"/>
              </w:rPr>
              <w:t xml:space="preserve">, </w:t>
            </w:r>
            <w:hyperlink w:history="0" w:anchor="P1319" w:tooltip="i) извлечение компонентов катализатора;">
              <w:r>
                <w:rPr>
                  <w:sz w:val="16"/>
                  <w:color w:val="0000ff"/>
                </w:rPr>
                <w:t xml:space="preserve">"i"</w:t>
              </w:r>
            </w:hyperlink>
            <w:r>
              <w:rPr>
                <w:sz w:val="16"/>
              </w:rPr>
              <w:t xml:space="preserve">, </w:t>
            </w:r>
            <w:hyperlink w:history="0" w:anchor="P1320" w:tooltip="j) повторная переработка нефти или иные виды повторного использования нефти;">
              <w:r>
                <w:rPr>
                  <w:sz w:val="16"/>
                  <w:color w:val="0000ff"/>
                </w:rPr>
                <w:t xml:space="preserve">"j"</w:t>
              </w:r>
            </w:hyperlink>
          </w:p>
          <w:p>
            <w:pPr>
              <w:pStyle w:val="1"/>
              <w:jc w:val="both"/>
            </w:pPr>
            <w:r>
              <w:rPr>
                <w:sz w:val="16"/>
              </w:rPr>
              <w:t xml:space="preserve">и </w:t>
            </w:r>
            <w:hyperlink w:history="0" w:anchor="P1324" w:tooltip="b) для опасных отходов - с производительностью, превышающей 10 тонн в день.">
              <w:r>
                <w:rPr>
                  <w:sz w:val="16"/>
                  <w:color w:val="0000ff"/>
                </w:rPr>
                <w:t xml:space="preserve">5.2 "b"</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Приложение I,</w:t>
            </w:r>
          </w:p>
          <w:p>
            <w:pPr>
              <w:pStyle w:val="1"/>
              <w:jc w:val="both"/>
            </w:pPr>
            <w:r>
              <w:rPr>
                <w:sz w:val="16"/>
              </w:rPr>
              <w:t xml:space="preserve">пункт 5.1    </w:t>
            </w:r>
          </w:p>
          <w:p>
            <w:pPr>
              <w:pStyle w:val="1"/>
              <w:jc w:val="both"/>
            </w:pPr>
            <w:r>
              <w:rPr>
                <w:sz w:val="16"/>
              </w:rPr>
            </w:r>
            <w:hyperlink w:history="0" w:anchor="P1311" w:tooltip="a) биологическая обработка;">
              <w:r>
                <w:rPr>
                  <w:sz w:val="16"/>
                  <w:color w:val="0000ff"/>
                </w:rPr>
                <w:t xml:space="preserve">"a"</w:t>
              </w:r>
            </w:hyperlink>
            <w:r>
              <w:rPr>
                <w:sz w:val="16"/>
              </w:rPr>
              <w:t xml:space="preserve">, </w:t>
            </w:r>
            <w:hyperlink w:history="0" w:anchor="P1313" w:tooltip="c) смешение отходов перед осуществлением одного из других видов деятельности, перечисленных в пунктах 5.1 и 5.2;">
              <w:r>
                <w:rPr>
                  <w:sz w:val="16"/>
                  <w:color w:val="0000ff"/>
                </w:rPr>
                <w:t xml:space="preserve">"c"</w:t>
              </w:r>
            </w:hyperlink>
            <w:r>
              <w:rPr>
                <w:sz w:val="16"/>
              </w:rPr>
              <w:t xml:space="preserve">,    </w:t>
            </w:r>
          </w:p>
          <w:p>
            <w:pPr>
              <w:pStyle w:val="1"/>
              <w:jc w:val="both"/>
            </w:pPr>
            <w:r>
              <w:rPr>
                <w:sz w:val="16"/>
              </w:rPr>
            </w:r>
            <w:hyperlink w:history="0" w:anchor="P1314" w:tooltip="d) переупаковка отходов перед осуществлением одного из других видов деятельности, перечисленных в пунктах 5.1 и 5.2;">
              <w:r>
                <w:rPr>
                  <w:sz w:val="16"/>
                  <w:color w:val="0000ff"/>
                </w:rPr>
                <w:t xml:space="preserve">"d"</w:t>
              </w:r>
            </w:hyperlink>
            <w:r>
              <w:rPr>
                <w:sz w:val="16"/>
              </w:rPr>
              <w:t xml:space="preserve">, </w:t>
            </w:r>
            <w:hyperlink w:history="0" w:anchor="P1315" w:tooltip="e) утилизация/рекуперация растворителя;">
              <w:r>
                <w:rPr>
                  <w:sz w:val="16"/>
                  <w:color w:val="0000ff"/>
                </w:rPr>
                <w:t xml:space="preserve">"e"</w:t>
              </w:r>
            </w:hyperlink>
            <w:r>
              <w:rPr>
                <w:sz w:val="16"/>
              </w:rPr>
              <w:t xml:space="preserve">,    </w:t>
            </w:r>
          </w:p>
          <w:p>
            <w:pPr>
              <w:pStyle w:val="1"/>
              <w:jc w:val="both"/>
            </w:pPr>
            <w:r>
              <w:rPr>
                <w:sz w:val="16"/>
              </w:rPr>
            </w:r>
            <w:hyperlink w:history="0" w:anchor="P1318" w:tooltip="h) извлечение компонентов, используемых для снижения уровня загрязнения;">
              <w:r>
                <w:rPr>
                  <w:sz w:val="16"/>
                  <w:color w:val="0000ff"/>
                </w:rPr>
                <w:t xml:space="preserve">"h"</w:t>
              </w:r>
            </w:hyperlink>
            <w:r>
              <w:rPr>
                <w:sz w:val="16"/>
              </w:rPr>
              <w:t xml:space="preserve">, </w:t>
            </w:r>
            <w:hyperlink w:history="0" w:anchor="P1321" w:tooltip="k) сброс в поверхностные водоемы.">
              <w:r>
                <w:rPr>
                  <w:sz w:val="16"/>
                  <w:color w:val="0000ff"/>
                </w:rPr>
                <w:t xml:space="preserve">"k"</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t xml:space="preserve">I, </w:t>
            </w:r>
            <w:hyperlink w:history="0" r:id="rId284"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пункт 5.2</w:t>
              </w:r>
            </w:hyperlink>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I,</w:t>
            </w:r>
          </w:p>
          <w:p>
            <w:pPr>
              <w:pStyle w:val="1"/>
              <w:jc w:val="both"/>
            </w:pPr>
            <w:r>
              <w:rPr>
                <w:sz w:val="16"/>
              </w:rPr>
            </w:r>
            <w:hyperlink w:history="0" w:anchor="P1323" w:tooltip="a) для неопасных отходов - с производительностью, превышающей 3 тонны в час;">
              <w:r>
                <w:rPr>
                  <w:sz w:val="16"/>
                  <w:color w:val="0000ff"/>
                </w:rPr>
                <w:t xml:space="preserve">пункт 5.2 "a"</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t xml:space="preserve">I, </w:t>
            </w:r>
            <w:hyperlink w:history="0" r:id="rId285"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пункт 5.3</w:t>
              </w:r>
            </w:hyperlink>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I,</w:t>
            </w:r>
          </w:p>
          <w:p>
            <w:pPr>
              <w:pStyle w:val="1"/>
              <w:jc w:val="both"/>
            </w:pPr>
            <w:r>
              <w:rPr>
                <w:sz w:val="16"/>
              </w:rPr>
              <w:t xml:space="preserve">пункт 5.3    </w:t>
            </w:r>
          </w:p>
          <w:p>
            <w:pPr>
              <w:pStyle w:val="1"/>
              <w:jc w:val="both"/>
            </w:pPr>
            <w:r>
              <w:rPr>
                <w:sz w:val="16"/>
              </w:rPr>
              <w:t xml:space="preserve">"</w:t>
            </w:r>
            <w:hyperlink w:history="0" w:anchor="P1329" w:tooltip="i) биологическая обработка;">
              <w:r>
                <w:rPr>
                  <w:sz w:val="16"/>
                  <w:color w:val="0000ff"/>
                </w:rPr>
                <w:t xml:space="preserve">a"i"</w:t>
              </w:r>
            </w:hyperlink>
            <w:r>
              <w:rPr>
                <w:sz w:val="16"/>
              </w:rPr>
              <w:t xml:space="preserve"> и </w:t>
            </w:r>
            <w:hyperlink w:history="0" w:anchor="P1330" w:tooltip="ii) физико-химическая обработка;">
              <w:r>
                <w:rPr>
                  <w:sz w:val="16"/>
                  <w:color w:val="0000ff"/>
                </w:rPr>
                <w:t xml:space="preserve">"ii"</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Приложение I,</w:t>
            </w:r>
          </w:p>
          <w:p>
            <w:pPr>
              <w:pStyle w:val="1"/>
              <w:jc w:val="both"/>
            </w:pPr>
            <w:r>
              <w:rPr>
                <w:sz w:val="16"/>
              </w:rPr>
              <w:t xml:space="preserve">пункт 5.3    </w:t>
            </w:r>
          </w:p>
          <w:p>
            <w:pPr>
              <w:pStyle w:val="1"/>
              <w:jc w:val="both"/>
            </w:pPr>
            <w:r>
              <w:rPr>
                <w:sz w:val="16"/>
              </w:rPr>
              <w:t xml:space="preserve">"</w:t>
            </w:r>
            <w:hyperlink w:history="0" w:anchor="P1331" w:tooltip="iii) предварительная обработка отходов для сжигания или совместного сжигания;">
              <w:r>
                <w:rPr>
                  <w:sz w:val="16"/>
                  <w:color w:val="0000ff"/>
                </w:rPr>
                <w:t xml:space="preserve">a"iii"</w:t>
              </w:r>
            </w:hyperlink>
            <w:r>
              <w:rPr>
                <w:sz w:val="16"/>
              </w:rPr>
              <w:t xml:space="preserve"> - </w:t>
            </w:r>
            <w:hyperlink w:history="0" w:anchor="P1333" w:tooltip="v) обработка в измельчителях металлических отходов, в том числе отходов электрического и электронного оборудования, транспортных средств, срок эксплуатации которых подошел к концу, и их составных частей.">
              <w:r>
                <w:rPr>
                  <w:sz w:val="16"/>
                  <w:color w:val="0000ff"/>
                </w:rPr>
                <w:t xml:space="preserve">"v"</w:t>
              </w:r>
            </w:hyperlink>
          </w:p>
          <w:p>
            <w:pPr>
              <w:pStyle w:val="1"/>
              <w:jc w:val="both"/>
            </w:pPr>
            <w:r>
              <w:rPr>
                <w:sz w:val="16"/>
              </w:rPr>
              <w:t xml:space="preserve">и </w:t>
            </w:r>
            <w:hyperlink w:history="0" w:anchor="P1334" w:tooltip="b) Извлечение или комбинация извлечения и захоронения неопасных отходов с производительностью, превышающей 75 тонн в день, с использованием одного или нескольких из нижеперечисленных видов деятельности, за исключением видов деятельности, подпадающих под действие Директивы 91/271/ЕЭС Совета ЕС:">
              <w:r>
                <w:rPr>
                  <w:sz w:val="16"/>
                  <w:color w:val="0000ff"/>
                </w:rPr>
                <w:t xml:space="preserve">5.3 "b"</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t xml:space="preserve">I, </w:t>
            </w:r>
            <w:hyperlink w:history="0" r:id="rId286"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пункт 5.4</w:t>
              </w:r>
            </w:hyperlink>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I,</w:t>
            </w:r>
          </w:p>
          <w:p>
            <w:pPr>
              <w:pStyle w:val="1"/>
              <w:jc w:val="both"/>
            </w:pPr>
            <w:r>
              <w:rPr>
                <w:sz w:val="16"/>
              </w:rPr>
            </w:r>
            <w:hyperlink w:history="0" w:anchor="P1340" w:tooltip="5.4. Свалки в значении статьи 2 &quot;g&quot; Директивы 1999/31/ЕС Совета ЕС от 26 апреля 1999 г. по полигонам захоронения отходов &lt;*&gt;, на которые поступает более 10 тонн отходов в день, или с общей емкостью, превышающей 25000 тонн, за исключением свалок инертных отходов.">
              <w:r>
                <w:rPr>
                  <w:sz w:val="16"/>
                  <w:color w:val="0000ff"/>
                </w:rPr>
                <w:t xml:space="preserve">пункт 5.4</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Приложение I,</w:t>
            </w:r>
          </w:p>
          <w:p>
            <w:pPr>
              <w:pStyle w:val="1"/>
              <w:jc w:val="both"/>
            </w:pPr>
            <w:r>
              <w:rPr>
                <w:sz w:val="16"/>
              </w:rPr>
            </w:r>
            <w:hyperlink w:history="0" w:anchor="P1344" w:tooltip="5.5. Временное хранение опасных отходов, не предусмотренных пунктом 5.4 настоящего Приложения, вплоть до любых видов деятельности, перечисленных в пунктах 5.1, 5.2, 5.4 и 5.6 настоящего Приложения, с общей производительностью, превышающей 50 тонн, за исключением временного хранения, вплоть до сбора, на месте производства отходов">
              <w:r>
                <w:rPr>
                  <w:sz w:val="16"/>
                  <w:color w:val="0000ff"/>
                </w:rPr>
                <w:t xml:space="preserve">пункты 5.5</w:t>
              </w:r>
            </w:hyperlink>
            <w:r>
              <w:rPr>
                <w:sz w:val="16"/>
              </w:rPr>
              <w:t xml:space="preserve"> и </w:t>
            </w:r>
          </w:p>
          <w:p>
            <w:pPr>
              <w:pStyle w:val="1"/>
              <w:jc w:val="both"/>
            </w:pPr>
            <w:r>
              <w:rPr>
                <w:sz w:val="16"/>
              </w:rPr>
            </w:r>
            <w:hyperlink w:history="0" w:anchor="P1345" w:tooltip="5.6. Подземное хранение опасных отходов с общей производительностью, превышающей 50 тонн">
              <w:r>
                <w:rPr>
                  <w:sz w:val="16"/>
                  <w:color w:val="0000ff"/>
                </w:rPr>
                <w:t xml:space="preserve">5.6</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t xml:space="preserve">I, пункт 6.1</w:t>
            </w:r>
          </w:p>
          <w:p>
            <w:pPr>
              <w:pStyle w:val="1"/>
              <w:jc w:val="both"/>
            </w:pPr>
            <w:r>
              <w:rPr>
                <w:sz w:val="16"/>
              </w:rPr>
            </w:r>
            <w:hyperlink w:history="0" r:id="rId287"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"a"</w:t>
              </w:r>
            </w:hyperlink>
            <w:r>
              <w:rPr>
                <w:sz w:val="16"/>
              </w:rPr>
              <w:t xml:space="preserve"> и </w:t>
            </w:r>
            <w:hyperlink w:history="0" r:id="rId288"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"b"</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I,</w:t>
            </w:r>
          </w:p>
          <w:p>
            <w:pPr>
              <w:pStyle w:val="1"/>
              <w:jc w:val="both"/>
            </w:pPr>
            <w:r>
              <w:rPr>
                <w:sz w:val="16"/>
              </w:rPr>
            </w:r>
            <w:hyperlink w:history="0" w:anchor="P1348" w:tooltip="a) целлюлозы из древесины или иных волокнистых материалов;">
              <w:r>
                <w:rPr>
                  <w:sz w:val="16"/>
                  <w:color w:val="0000ff"/>
                </w:rPr>
                <w:t xml:space="preserve">пункт 6.1 "a"</w:t>
              </w:r>
            </w:hyperlink>
          </w:p>
          <w:p>
            <w:pPr>
              <w:pStyle w:val="1"/>
              <w:jc w:val="both"/>
            </w:pPr>
            <w:r>
              <w:rPr>
                <w:sz w:val="16"/>
              </w:rPr>
              <w:t xml:space="preserve">и </w:t>
            </w:r>
            <w:hyperlink w:history="0" w:anchor="P1349" w:tooltip="b) бумаги и картона с производственной мощностью, превышающей 20 тонн в день;">
              <w:r>
                <w:rPr>
                  <w:sz w:val="16"/>
                  <w:color w:val="0000ff"/>
                </w:rPr>
                <w:t xml:space="preserve">"b"</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Приложение I,</w:t>
            </w:r>
          </w:p>
          <w:p>
            <w:pPr>
              <w:pStyle w:val="1"/>
              <w:jc w:val="both"/>
            </w:pPr>
            <w:r>
              <w:rPr>
                <w:sz w:val="16"/>
              </w:rPr>
            </w:r>
            <w:hyperlink w:history="0" w:anchor="P1350" w:tooltip="c) одного или нескольких видов древесных плит: ориентированно-стружечная плита, древесностружечная плита или древесно-волокнистая плита с производственной мощностью, превышающей 600 куб. м в день.">
              <w:r>
                <w:rPr>
                  <w:sz w:val="16"/>
                  <w:color w:val="0000ff"/>
                </w:rPr>
                <w:t xml:space="preserve">пункт 6.1 "c"</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t xml:space="preserve">I, пункты   </w:t>
            </w:r>
          </w:p>
          <w:p>
            <w:pPr>
              <w:pStyle w:val="1"/>
              <w:jc w:val="both"/>
            </w:pPr>
            <w:r>
              <w:rPr>
                <w:sz w:val="16"/>
              </w:rPr>
            </w:r>
            <w:hyperlink w:history="0" r:id="rId289"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6.2</w:t>
              </w:r>
            </w:hyperlink>
            <w:r>
              <w:rPr>
                <w:sz w:val="16"/>
              </w:rPr>
              <w:t xml:space="preserve"> - 6.4   </w:t>
            </w:r>
          </w:p>
          <w:p>
            <w:pPr>
              <w:pStyle w:val="1"/>
              <w:jc w:val="both"/>
            </w:pPr>
            <w:r>
              <w:rPr>
                <w:sz w:val="16"/>
              </w:rPr>
            </w:r>
            <w:hyperlink w:history="0" r:id="rId290"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"b"</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I,</w:t>
            </w:r>
          </w:p>
          <w:p>
            <w:pPr>
              <w:pStyle w:val="1"/>
              <w:jc w:val="both"/>
            </w:pPr>
            <w:r>
              <w:rPr>
                <w:sz w:val="16"/>
              </w:rPr>
            </w:r>
            <w:hyperlink w:history="0" w:anchor="P1351" w:tooltip="6.2. Предварительная обработка (такие операции, как промывка, отбеливание, мерсеризация) или окрашивание волокна или текстиля, где производительность превышает 10 тонн в день">
              <w:r>
                <w:rPr>
                  <w:sz w:val="16"/>
                  <w:color w:val="0000ff"/>
                </w:rPr>
                <w:t xml:space="preserve">пункты 6.2</w:t>
              </w:r>
            </w:hyperlink>
            <w:r>
              <w:rPr>
                <w:sz w:val="16"/>
              </w:rPr>
              <w:t xml:space="preserve"> - </w:t>
            </w:r>
          </w:p>
          <w:p>
            <w:pPr>
              <w:pStyle w:val="1"/>
              <w:jc w:val="both"/>
            </w:pPr>
            <w:r>
              <w:rPr>
                <w:sz w:val="16"/>
              </w:rPr>
            </w:r>
            <w:hyperlink w:history="0" w:anchor="P1356" w:tooltip="ii) растительного сырья с мощностями по производству готовой продукции, превышающими 300 тонн в день или 600 тонн в день, если установка функционирует не более 90 дней подряд за год;">
              <w:r>
                <w:rPr>
                  <w:sz w:val="16"/>
                  <w:color w:val="0000ff"/>
                </w:rPr>
                <w:t xml:space="preserve">6.4 "b"ii"</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Приложение I,</w:t>
            </w:r>
          </w:p>
          <w:p>
            <w:pPr>
              <w:pStyle w:val="1"/>
              <w:jc w:val="both"/>
            </w:pPr>
            <w:r>
              <w:rPr>
                <w:sz w:val="16"/>
              </w:rPr>
              <w:t xml:space="preserve">пункт 6.4    </w:t>
            </w:r>
          </w:p>
          <w:p>
            <w:pPr>
              <w:pStyle w:val="1"/>
              <w:jc w:val="both"/>
            </w:pPr>
            <w:r>
              <w:rPr>
                <w:sz w:val="16"/>
              </w:rPr>
            </w:r>
            <w:hyperlink w:history="0" w:anchor="P1357" w:tooltip="iii) животного и растительного сырья, как в комбинированных, так и в отдельных продуктах, где мощность по производству готовой продукции в тоннах в день превышает:">
              <w:r>
                <w:rPr>
                  <w:sz w:val="16"/>
                  <w:color w:val="0000ff"/>
                </w:rPr>
                <w:t xml:space="preserve">"b"iii"</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t xml:space="preserve">I, пункт 6.4</w:t>
            </w:r>
          </w:p>
          <w:p>
            <w:pPr>
              <w:pStyle w:val="1"/>
              <w:jc w:val="both"/>
            </w:pPr>
            <w:r>
              <w:rPr>
                <w:sz w:val="16"/>
              </w:rPr>
            </w:r>
            <w:hyperlink w:history="0" r:id="rId291"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"c"</w:t>
              </w:r>
            </w:hyperlink>
            <w:r>
              <w:rPr>
                <w:sz w:val="16"/>
              </w:rPr>
              <w:t xml:space="preserve"> - </w:t>
            </w:r>
            <w:hyperlink w:history="0" r:id="rId292"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6.9</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I,</w:t>
            </w:r>
          </w:p>
          <w:p>
            <w:pPr>
              <w:pStyle w:val="1"/>
              <w:jc w:val="both"/>
            </w:pPr>
            <w:r>
              <w:rPr>
                <w:sz w:val="16"/>
              </w:rPr>
              <w:t xml:space="preserve">пункт 6.4    </w:t>
            </w:r>
          </w:p>
          <w:p>
            <w:pPr>
              <w:pStyle w:val="1"/>
              <w:jc w:val="both"/>
            </w:pPr>
            <w:r>
              <w:rPr>
                <w:sz w:val="16"/>
              </w:rPr>
            </w:r>
            <w:hyperlink w:history="0" w:anchor="P1400" w:tooltip="c) Обработка и переработка молока, когда количество получаемого молока превышает 200 тонн в день (средний показатель на ежегодной основе).">
              <w:r>
                <w:rPr>
                  <w:sz w:val="16"/>
                  <w:color w:val="0000ff"/>
                </w:rPr>
                <w:t xml:space="preserve">"c"</w:t>
              </w:r>
            </w:hyperlink>
            <w:r>
              <w:rPr>
                <w:sz w:val="16"/>
              </w:rPr>
              <w:t xml:space="preserve"> - </w:t>
            </w:r>
            <w:hyperlink w:history="0" w:anchor="P1408" w:tooltip="    6.9.  Улавливание  потоков  CO   от установок, подпадающих под действие">
              <w:r>
                <w:rPr>
                  <w:sz w:val="16"/>
                  <w:color w:val="0000ff"/>
                </w:rPr>
                <w:t xml:space="preserve">6.9</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Приложение I,</w:t>
            </w:r>
          </w:p>
          <w:p>
            <w:pPr>
              <w:pStyle w:val="1"/>
              <w:jc w:val="both"/>
            </w:pPr>
            <w:r>
              <w:rPr>
                <w:sz w:val="16"/>
              </w:rPr>
            </w:r>
            <w:hyperlink w:history="0" w:anchor="P1412" w:tooltip="6.10. Сохранение лесов и лесоматериалов химическими веществами с производственной мощностью, превышающей 75 куб. м в день, за исключением обработки против сини.">
              <w:r>
                <w:rPr>
                  <w:sz w:val="16"/>
                  <w:color w:val="0000ff"/>
                </w:rPr>
                <w:t xml:space="preserve">пункт 6.10</w:t>
              </w:r>
            </w:hyperlink>
            <w:r>
              <w:rPr>
                <w:sz w:val="16"/>
              </w:rPr>
              <w:t xml:space="preserve"> и </w:t>
            </w:r>
          </w:p>
          <w:p>
            <w:pPr>
              <w:pStyle w:val="1"/>
              <w:jc w:val="both"/>
            </w:pPr>
            <w:r>
              <w:rPr>
                <w:sz w:val="16"/>
              </w:rPr>
            </w:r>
            <w:hyperlink w:history="0" w:anchor="P1413" w:tooltip="6.11. Не подпадающая под действие Директивы 91/271/ЕС обособленная обработка сточных вод, которые сбрасываются в соответствии с главой II настоящей Директивы.">
              <w:r>
                <w:rPr>
                  <w:sz w:val="16"/>
                  <w:color w:val="0000ff"/>
                </w:rPr>
                <w:t xml:space="preserve">6.11</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r>
            <w:hyperlink w:history="0" r:id="rId293"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II</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r>
            <w:hyperlink w:history="0" r:id="rId294"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III</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r>
            <w:hyperlink w:history="0" w:anchor="P1424" w:tooltip="Воздух">
              <w:r>
                <w:rPr>
                  <w:sz w:val="16"/>
                  <w:color w:val="0000ff"/>
                </w:rPr>
                <w:t xml:space="preserve">II, "Воздух"</w:t>
              </w:r>
            </w:hyperlink>
            <w:r>
              <w:rPr>
                <w:sz w:val="16"/>
              </w:rPr>
            </w:r>
          </w:p>
          <w:p>
            <w:pPr>
              <w:pStyle w:val="1"/>
              <w:jc w:val="both"/>
            </w:pPr>
            <w:r>
              <w:rPr>
                <w:sz w:val="16"/>
              </w:rPr>
              <w:t xml:space="preserve">и "Вода",    </w:t>
            </w:r>
          </w:p>
          <w:p>
            <w:pPr>
              <w:pStyle w:val="1"/>
              <w:jc w:val="both"/>
            </w:pPr>
            <w:r>
              <w:rPr>
                <w:sz w:val="16"/>
              </w:rPr>
            </w:r>
            <w:hyperlink w:history="0" w:anchor="P1442" w:tooltip="1. Органогалогенные соединения и вещества, способные к образованию таких соединений в водной среде">
              <w:r>
                <w:rPr>
                  <w:sz w:val="16"/>
                  <w:color w:val="0000ff"/>
                </w:rPr>
                <w:t xml:space="preserve">пункты 1</w:t>
              </w:r>
            </w:hyperlink>
            <w:r>
              <w:rPr>
                <w:sz w:val="16"/>
              </w:rPr>
              <w:t xml:space="preserve"> - </w:t>
            </w:r>
            <w:hyperlink w:history="0" w:anchor="P1453" w:tooltip="12. Вещества, оказывающие неблагоприятное воздействие на баланс кислорода (которые могут быть измерены с использованием таких показателей, как BOD, COD и др.)">
              <w:r>
                <w:rPr>
                  <w:sz w:val="16"/>
                  <w:color w:val="0000ff"/>
                </w:rPr>
                <w:t xml:space="preserve">12</w:t>
              </w:r>
            </w:hyperlink>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Приложение   </w:t>
            </w:r>
          </w:p>
          <w:p>
            <w:pPr>
              <w:pStyle w:val="1"/>
              <w:jc w:val="both"/>
            </w:pPr>
            <w:r>
              <w:rPr>
                <w:sz w:val="16"/>
              </w:rPr>
              <w:t xml:space="preserve">II "Вода",   </w:t>
            </w:r>
          </w:p>
          <w:p>
            <w:pPr>
              <w:pStyle w:val="1"/>
              <w:jc w:val="both"/>
            </w:pPr>
            <w:r>
              <w:rPr>
                <w:sz w:val="16"/>
              </w:rPr>
            </w:r>
            <w:hyperlink w:history="0" w:anchor="P1454" w:tooltip="13. Вещества, перечисленные в приложении X к Директиве 2000/60/ЕС">
              <w:r>
                <w:rPr>
                  <w:sz w:val="16"/>
                  <w:color w:val="0000ff"/>
                </w:rPr>
                <w:t xml:space="preserve">пункт 13</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r>
            <w:hyperlink w:history="0" r:id="rId295"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IV</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r>
            <w:hyperlink w:history="0" w:anchor="P1462" w:tooltip="КРИТЕРИИ">
              <w:r>
                <w:rPr>
                  <w:sz w:val="16"/>
                  <w:color w:val="0000ff"/>
                </w:rPr>
                <w:t xml:space="preserve">III</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296"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Приложение V</w:t>
              </w:r>
            </w:hyperlink>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484" w:tooltip="УЧАСТИЕ ОБЩЕСТВЕННОСТИ В ПРИНЯТИИ РЕШЕНИЙ">
              <w:r>
                <w:rPr>
                  <w:sz w:val="16"/>
                  <w:color w:val="0000ff"/>
                </w:rPr>
                <w:t xml:space="preserve">Приложение IV</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297"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1</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941" w:tooltip="Статья 56">
              <w:r>
                <w:rPr>
                  <w:sz w:val="16"/>
                  <w:color w:val="0000ff"/>
                </w:rPr>
                <w:t xml:space="preserve">Статья 56</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298"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(2)</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952" w:tooltip="1) под &quot;существующей установкой&quot; понимается любая установка, функционировавшая на 29 марта 1999 г., а также установка, разрешение на которую было выдано или которая была зарегистрирована до 1 апреля 2001 г. либо оператор которой подал полностью оформленное заявление на выдачу разрешения до 1 апреля 2001 г. при условии, что такая установка введена в эксплуатацию не позднее 1 апреля 2002 г.;">
              <w:r>
                <w:rPr>
                  <w:sz w:val="16"/>
                  <w:color w:val="0000ff"/>
                </w:rPr>
                <w:t xml:space="preserve">Статья 57 (1)</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299"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(3)</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00"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(4)</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022" w:tooltip="1. Изменение максимального объема массы органического растворителя, загружаемого в установку в среднем за 1 день, если установка работает на своей расчетной производительности при условиях, отличных от операций по включению и отключению, а также по обслуживанию оборудования, считается существенным, если ведет к увеличению уровня выбросов летучих органических соединений более чем:">
              <w:r>
                <w:rPr>
                  <w:sz w:val="16"/>
                  <w:color w:val="0000ff"/>
                </w:rPr>
                <w:t xml:space="preserve">Статья 63 (1)</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01"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(8)</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 (1),</w:t>
            </w:r>
          </w:p>
          <w:p>
            <w:pPr>
              <w:pStyle w:val="1"/>
              <w:jc w:val="both"/>
            </w:pPr>
            <w:r>
              <w:rPr>
                <w:sz w:val="16"/>
              </w:rPr>
            </w:r>
            <w:hyperlink w:history="0" w:anchor="P245" w:tooltip="Порядок регистрации устанавливается юридически обязательным актом и включает, как минимум уведомление оператором компетентного органа о намерении начать эксплуатацию установки.">
              <w:r>
                <w:rPr>
                  <w:sz w:val="16"/>
                  <w:color w:val="0000ff"/>
                </w:rPr>
                <w:t xml:space="preserve">третий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02"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(10)</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954" w:tooltip="3) под &quot;неконтролируемыми выбросами&quot; понимаются любые выбросы, за исключением выбросов в виде отработанных газов, летучих органических соединений в воздух, почву или воду, а также растворители, содержащиеся в продуктах, если иное не установлено частью 2 Приложения VII к настоящей Директиве;">
              <w:r>
                <w:rPr>
                  <w:sz w:val="16"/>
                  <w:color w:val="0000ff"/>
                </w:rPr>
                <w:t xml:space="preserve">Статья 57 (3)</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03"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(11)</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953" w:tooltip="2) под &quot;отработанными газами&quot; понимаются конечные газообразные выбросы в воздух, содержащие летучие органические соединения или другие загрязнители от дымовых труб или очистного оборудования;">
              <w:r>
                <w:rPr>
                  <w:sz w:val="16"/>
                  <w:color w:val="0000ff"/>
                </w:rPr>
                <w:t xml:space="preserve">Статья 57 (2)</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04"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(12)</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955" w:tooltip="4) под &quot;общим количеством выбросов&quot; понимается сумма неконтролируемых выбросов и выбросов отработанных газов;">
              <w:r>
                <w:rPr>
                  <w:sz w:val="16"/>
                  <w:color w:val="0000ff"/>
                </w:rPr>
                <w:t xml:space="preserve">Статья 57 (4)</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05"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(15)</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956" w:tooltip="5) под &quot;смесью&quot; понимается смесь, как определено в статье 3 (2) Регламента (ЕС) 1907/2006 Европейского парламента и Совета ЕС от 18 декабря 2006 г. относительно регистрации, оценки, разрешения и ограничения химических веществ (Регламент REACH) и об учреждении Европейского химического агентства &lt;*&gt;;">
              <w:r>
                <w:rPr>
                  <w:sz w:val="16"/>
                  <w:color w:val="0000ff"/>
                </w:rPr>
                <w:t xml:space="preserve">Статья 57 (5)</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06"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(16)</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224" w:tooltip="44) под &quot;органическими соединениями&quot; понимаются любые соединения, в состав которых входит как минимум углерод, а также один или несколько элементов водорода, галогена, кислорода, серы, фосфора, кремния или азота, за исключением оксидов углерода, а также неорганических карбонатов и бикарбонатов;">
              <w:r>
                <w:rPr>
                  <w:sz w:val="16"/>
                  <w:color w:val="0000ff"/>
                </w:rPr>
                <w:t xml:space="preserve">Статья 3 (44)</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07"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(17)</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225" w:tooltip="45) под &quot;летучими органическими соединениями&quot; понимаются любые органические соединения, а также фракции креозота, которые при температуре 293,15 K имеют давление испарений 0,01 kPa или более или обладают соответствующей летучестью при определенных условиях использования;">
              <w:r>
                <w:rPr>
                  <w:sz w:val="16"/>
                  <w:color w:val="0000ff"/>
                </w:rPr>
                <w:t xml:space="preserve">Статья 3 (45)</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08"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(18)</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226" w:tooltip="46) под &quot;органическим растворителем&quot; понимается любое летучее органическое соединение, используемое в следующих целях:">
              <w:r>
                <w:rPr>
                  <w:sz w:val="16"/>
                  <w:color w:val="0000ff"/>
                </w:rPr>
                <w:t xml:space="preserve">Статья 3 (46)</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09"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(19)</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10"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(20)</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235" w:tooltip="47) под &quot;покрытием&quot; понимается покрытие в значении пункта 8 статьи 2 Директивы 2004/42/ЕС Европейского парламента и Совета ЕС от 21 апреля 2004 г. об ограничении выбросов летучих органических соединений вследствие использования органических растворителей при производстве определенных красок, лаков и средств по обработке автомобилей &lt;*&gt;.">
              <w:r>
                <w:rPr>
                  <w:sz w:val="16"/>
                  <w:color w:val="0000ff"/>
                </w:rPr>
                <w:t xml:space="preserve">Статья 3 (47)</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11"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(21)</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960" w:tooltip="6) под &quot;адгезивом&quot; понимается любая смесь, в том числе все органические растворители или смеси, содержащие органические растворители, необходимые для их надлежащего применения, которые используются для склеивания отдельных частей предмета;">
              <w:r>
                <w:rPr>
                  <w:sz w:val="16"/>
                  <w:color w:val="0000ff"/>
                </w:rPr>
                <w:t xml:space="preserve">Статья 57 (6)</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12"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(22)</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961" w:tooltip="7) под &quot;чернилами&quot; понимается любая смесь, в том числе все органические растворители или смеси, содержащие органические растворители, необходимые для их надлежащего применения, которые используются в печати при нанесении текстов или изображений на поверхность;">
              <w:r>
                <w:rPr>
                  <w:sz w:val="16"/>
                  <w:color w:val="0000ff"/>
                </w:rPr>
                <w:t xml:space="preserve">Статья 57 (7)</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13"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(23)</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962" w:tooltip="8) под &quot;лаком&quot; понимается прозрачное покрытие;">
              <w:r>
                <w:rPr>
                  <w:sz w:val="16"/>
                  <w:color w:val="0000ff"/>
                </w:rPr>
                <w:t xml:space="preserve">Статья 57 (8)</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14"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(24)</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963" w:tooltip="9) под &quot;потреблением&quot; понимается общий объем органических растворителей, загружаемый в установку за календарный год или иной период, равный 12 месяцам, за вычетом летучих органических соединений, извлекаемых для повторного использования;">
              <w:r>
                <w:rPr>
                  <w:sz w:val="16"/>
                  <w:color w:val="0000ff"/>
                </w:rPr>
                <w:t xml:space="preserve">Статья 57 (9)</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15"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(25)</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57    </w:t>
            </w:r>
          </w:p>
          <w:p>
            <w:pPr>
              <w:pStyle w:val="1"/>
              <w:jc w:val="both"/>
            </w:pPr>
            <w:r>
              <w:rPr>
                <w:sz w:val="16"/>
              </w:rPr>
            </w:r>
            <w:hyperlink w:history="0" w:anchor="P964" w:tooltip="10) под &quot;объемом&quot; понимается количество органических растворителей, а также их количество в смесях, которое потребляется при осуществлении определенной деятельности, в том числе количество растворителей, перерабатываемых в пределах и за пределами установки; указанное количество подсчитывается каждый раз при осуществлении определенной деятельности;">
              <w:r>
                <w:rPr>
                  <w:sz w:val="16"/>
                  <w:color w:val="0000ff"/>
                </w:rPr>
                <w:t xml:space="preserve">(10)</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16"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(26)</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57    </w:t>
            </w:r>
          </w:p>
          <w:p>
            <w:pPr>
              <w:pStyle w:val="1"/>
              <w:jc w:val="both"/>
            </w:pPr>
            <w:r>
              <w:rPr>
                <w:sz w:val="16"/>
              </w:rPr>
            </w:r>
            <w:hyperlink w:history="0" w:anchor="P965" w:tooltip="11) под &quot;повторным использованием&quot; понимается использование органических растворителей, извлеченных из установок, в любых технических или коммерческих целях, в том числе для использования в качестве топлива, за исключением окончательного захоронения извлеченного органического растворителя в виде отходов;">
              <w:r>
                <w:rPr>
                  <w:sz w:val="16"/>
                  <w:color w:val="0000ff"/>
                </w:rPr>
                <w:t xml:space="preserve">(11)</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17"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(27)</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18"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(28)</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022" w:tooltip="1. Изменение максимального объема массы органического растворителя, загружаемого в установку в среднем за 1 день, если установка работает на своей расчетной производительности при условиях, отличных от операций по включению и отключению, а также по обслуживанию оборудования, считается существенным, если ведет к увеличению уровня выбросов летучих органических соединений более чем:">
              <w:r>
                <w:rPr>
                  <w:sz w:val="16"/>
                  <w:color w:val="0000ff"/>
                </w:rPr>
                <w:t xml:space="preserve">Статья 63 (1)</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19"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(29)</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20"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(30)</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57    </w:t>
            </w:r>
          </w:p>
          <w:p>
            <w:pPr>
              <w:pStyle w:val="1"/>
              <w:jc w:val="both"/>
            </w:pPr>
            <w:r>
              <w:rPr>
                <w:sz w:val="16"/>
              </w:rPr>
            </w:r>
            <w:hyperlink w:history="0" w:anchor="P966" w:tooltip="12) под &quot;условиями использования&quot; понимаются условия, при которых установка функционирует таким образом, что сбор и выброс выделяемых летучих органических соединений, осуществляется под контролем через дымовую трубу или очистное оборудование; таким образом, указанные выбросы не относятся полностью к неконтролируемым;">
              <w:r>
                <w:rPr>
                  <w:sz w:val="16"/>
                  <w:color w:val="0000ff"/>
                </w:rPr>
                <w:t xml:space="preserve">(12)</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21"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(31)</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VII, часть 2,</w:t>
            </w:r>
          </w:p>
          <w:p>
            <w:pPr>
              <w:pStyle w:val="1"/>
              <w:jc w:val="both"/>
            </w:pPr>
            <w:r>
              <w:rPr>
                <w:sz w:val="16"/>
              </w:rPr>
            </w:r>
            <w:hyperlink w:history="0" w:anchor="P2862" w:tooltip="Пороговые значения выбросов для отработанных газов исчисляются при температуре 273,15 K, давлении 101,3 kPa.">
              <w:r>
                <w:rPr>
                  <w:sz w:val="16"/>
                  <w:color w:val="0000ff"/>
                </w:rPr>
                <w:t xml:space="preserve">первое</w:t>
              </w:r>
            </w:hyperlink>
            <w:r>
              <w:rPr>
                <w:sz w:val="16"/>
              </w:rPr>
            </w:r>
          </w:p>
          <w:p>
            <w:pPr>
              <w:pStyle w:val="1"/>
              <w:jc w:val="both"/>
            </w:pPr>
            <w:r>
              <w:rPr>
                <w:sz w:val="16"/>
              </w:rPr>
              <w:t xml:space="preserve">предложение  </w:t>
            </w:r>
          </w:p>
          <w:p>
            <w:pPr>
              <w:pStyle w:val="1"/>
              <w:jc w:val="both"/>
            </w:pPr>
            <w:r>
              <w:rPr>
                <w:sz w:val="16"/>
              </w:rPr>
              <w:t xml:space="preserve">Приложение   </w:t>
            </w:r>
          </w:p>
          <w:p>
            <w:pPr>
              <w:pStyle w:val="1"/>
              <w:jc w:val="both"/>
            </w:pPr>
            <w:r>
              <w:rPr>
                <w:sz w:val="16"/>
              </w:rPr>
              <w:t xml:space="preserve">VIII, часть  </w:t>
            </w:r>
          </w:p>
          <w:p>
            <w:pPr>
              <w:pStyle w:val="1"/>
              <w:jc w:val="both"/>
            </w:pPr>
            <w:r>
              <w:rPr>
                <w:sz w:val="16"/>
              </w:rPr>
            </w:r>
            <w:hyperlink w:history="0" w:anchor="P3410" w:tooltip="    1. Пороговые значения выбросов, которые выражены как концентрации массы">
              <w:r>
                <w:rPr>
                  <w:sz w:val="16"/>
                  <w:color w:val="0000ff"/>
                </w:rPr>
                <w:t xml:space="preserve">2, пункт 1</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22"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(32)</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23"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2 (33)</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57    </w:t>
            </w:r>
          </w:p>
          <w:p>
            <w:pPr>
              <w:pStyle w:val="1"/>
              <w:jc w:val="both"/>
            </w:pPr>
            <w:r>
              <w:rPr>
                <w:sz w:val="16"/>
              </w:rPr>
            </w:r>
            <w:hyperlink w:history="0" w:anchor="P967" w:tooltip="13) под &quot;операциями по включению и отключению&quot; понимаются операции, за исключением регулярно изменяющихся фаз активности, по приведению деятельности, единиц оборудования или бака в рабочее или нерабочее состояние.">
              <w:r>
                <w:rPr>
                  <w:sz w:val="16"/>
                  <w:color w:val="0000ff"/>
                </w:rPr>
                <w:t xml:space="preserve">(13)</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24"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3 (2)</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 (1),</w:t>
            </w:r>
          </w:p>
          <w:p>
            <w:pPr>
              <w:pStyle w:val="1"/>
              <w:jc w:val="both"/>
            </w:pPr>
            <w:r>
              <w:rPr>
                <w:sz w:val="16"/>
              </w:rPr>
            </w:r>
            <w:hyperlink w:history="0" w:anchor="P244" w:tooltip="В порядке отступления от первого подпараграфа, государства-члены ЕС вправе установить порядок регистрации установок, предусмотренных исключительно главой V настоящей Директивы.">
              <w:r>
                <w:rPr>
                  <w:sz w:val="16"/>
                  <w:color w:val="0000ff"/>
                </w:rPr>
                <w:t xml:space="preserve">второй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25"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4 (1)</w:t>
              </w:r>
            </w:hyperlink>
            <w:r>
              <w:rPr>
                <w:sz w:val="16"/>
              </w:rPr>
              <w:t xml:space="preserve">, </w:t>
            </w:r>
          </w:p>
          <w:p>
            <w:pPr>
              <w:pStyle w:val="1"/>
              <w:jc w:val="both"/>
            </w:pPr>
            <w:r>
              <w:rPr>
                <w:sz w:val="16"/>
              </w:rPr>
            </w:r>
            <w:hyperlink w:history="0" r:id="rId326"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(2)</w:t>
              </w:r>
            </w:hyperlink>
            <w:r>
              <w:rPr>
                <w:sz w:val="16"/>
              </w:rPr>
              <w:t xml:space="preserve"> и </w:t>
            </w:r>
            <w:hyperlink w:history="0" r:id="rId327"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(3)</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 (1),</w:t>
            </w:r>
          </w:p>
          <w:p>
            <w:pPr>
              <w:pStyle w:val="1"/>
              <w:jc w:val="both"/>
            </w:pPr>
            <w:r>
              <w:rPr>
                <w:sz w:val="16"/>
              </w:rPr>
            </w:r>
            <w:hyperlink w:history="0" w:anchor="P243" w:tooltip="1. Государства-члены ЕС принимают необходимые меры по обеспечению того, чтобы функционирование установок, заводов по сжиганию, заводов по сжиганию отходов или заводов по совместному сжиганию отходов осуществлялось только при наличии разрешения.">
              <w:r>
                <w:rPr>
                  <w:sz w:val="16"/>
                  <w:color w:val="0000ff"/>
                </w:rPr>
                <w:t xml:space="preserve">первый</w:t>
              </w:r>
            </w:hyperlink>
            <w:r>
              <w:rPr>
                <w:sz w:val="16"/>
              </w:rPr>
              <w:t xml:space="preserve"> и     </w:t>
            </w:r>
          </w:p>
          <w:p>
            <w:pPr>
              <w:pStyle w:val="1"/>
              <w:jc w:val="both"/>
            </w:pPr>
            <w:r>
              <w:rPr>
                <w:sz w:val="16"/>
              </w:rPr>
              <w:t xml:space="preserve">второй       </w:t>
            </w:r>
          </w:p>
          <w:p>
            <w:pPr>
              <w:pStyle w:val="1"/>
              <w:jc w:val="both"/>
            </w:pPr>
            <w:r>
              <w:rPr>
                <w:sz w:val="16"/>
              </w:rPr>
              <w:t xml:space="preserve">подпараграфы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28"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4 (4)</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025" w:tooltip="2. В случае если установка претерпевает существенные изменения или подпадает под действие настоящей Директивы впервые после наступления таких изменений, измененная часть считается новой установкой или существующей установкой при условии, что общий уровень выбросов всей установки не превышает уровень, который был бы достигнут, если бы измененная часть считалась новой установкой.">
              <w:r>
                <w:rPr>
                  <w:sz w:val="16"/>
                  <w:color w:val="0000ff"/>
                </w:rPr>
                <w:t xml:space="preserve">Статья 63 (2)</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29"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5 (1)</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59    </w:t>
            </w:r>
          </w:p>
          <w:p>
            <w:pPr>
              <w:pStyle w:val="1"/>
              <w:jc w:val="both"/>
            </w:pPr>
            <w:r>
              <w:rPr>
                <w:sz w:val="16"/>
              </w:rPr>
              <w:t xml:space="preserve">(1), первый  </w:t>
            </w:r>
          </w:p>
          <w:p>
            <w:pPr>
              <w:pStyle w:val="1"/>
              <w:jc w:val="both"/>
            </w:pPr>
            <w:r>
              <w:rPr>
                <w:sz w:val="16"/>
              </w:rPr>
              <w:t xml:space="preserve">подпараграф, </w:t>
            </w:r>
          </w:p>
          <w:p>
            <w:pPr>
              <w:pStyle w:val="1"/>
              <w:jc w:val="both"/>
            </w:pPr>
            <w:r>
              <w:rPr>
                <w:sz w:val="16"/>
              </w:rPr>
            </w:r>
            <w:hyperlink w:history="0" w:anchor="P980" w:tooltip="1. Государства-члены ЕС принимают необходимые меры, направленные на обеспечение соблюдения каждой установкой одного из следующих положений:">
              <w:r>
                <w:rPr>
                  <w:sz w:val="16"/>
                  <w:color w:val="0000ff"/>
                </w:rPr>
                <w:t xml:space="preserve">вводная фраза</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30"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5 (2)</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59    </w:t>
            </w:r>
          </w:p>
          <w:p>
            <w:pPr>
              <w:pStyle w:val="1"/>
              <w:jc w:val="both"/>
            </w:pPr>
            <w:r>
              <w:rPr>
                <w:sz w:val="16"/>
              </w:rPr>
              <w:t xml:space="preserve">(1), первый  </w:t>
            </w:r>
          </w:p>
          <w:p>
            <w:pPr>
              <w:pStyle w:val="1"/>
              <w:jc w:val="both"/>
            </w:pPr>
            <w:r>
              <w:rPr>
                <w:sz w:val="16"/>
              </w:rPr>
              <w:t xml:space="preserve">подпараграф, </w:t>
            </w:r>
          </w:p>
          <w:p>
            <w:pPr>
              <w:pStyle w:val="1"/>
              <w:jc w:val="both"/>
            </w:pPr>
            <w:r>
              <w:rPr>
                <w:sz w:val="16"/>
              </w:rPr>
            </w:r>
            <w:hyperlink w:history="0" w:anchor="P981" w:tooltip="a) выбросы летучих органических соединений от установок не превышают пороговых значений выбросов отработанных газов и пороговых значений неконтролируемых выбросов либо соблюдены общие пороговые значения выбросов и другие требования, предусмотренные частями 2 и 3 Приложения VII к настоящей Директиве;">
              <w:r>
                <w:rPr>
                  <w:sz w:val="16"/>
                  <w:color w:val="0000ff"/>
                </w:rPr>
                <w:t xml:space="preserve">пункты "a"</w:t>
              </w:r>
            </w:hyperlink>
            <w:r>
              <w:rPr>
                <w:sz w:val="16"/>
              </w:rPr>
              <w:t xml:space="preserve"> и </w:t>
            </w:r>
          </w:p>
          <w:p>
            <w:pPr>
              <w:pStyle w:val="1"/>
              <w:jc w:val="both"/>
            </w:pPr>
            <w:r>
              <w:rPr>
                <w:sz w:val="16"/>
              </w:rPr>
            </w:r>
            <w:hyperlink w:history="0" w:anchor="P982" w:tooltip="b) соблюдены требования схемы сокращения выбросов, предусмотренной частью 5 Приложения VII к настоящей Директиве, при условии, что достигнуто сокращение выбросов, эквивалентное сокращению, достижимому посредством применения пороговых значений выбросов, указанных в пункте &quot;a&quot; настоящего параграфа.">
              <w:r>
                <w:rPr>
                  <w:sz w:val="16"/>
                  <w:color w:val="0000ff"/>
                </w:rPr>
                <w:t xml:space="preserve">"b"</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t xml:space="preserve">Статья 5 (3), </w:t>
            </w:r>
          </w:p>
          <w:p>
            <w:pPr>
              <w:pStyle w:val="1"/>
              <w:jc w:val="both"/>
            </w:pPr>
            <w:r>
              <w:rPr>
                <w:sz w:val="16"/>
              </w:rPr>
              <w:t xml:space="preserve">первый        </w:t>
            </w:r>
          </w:p>
          <w:p>
            <w:pPr>
              <w:pStyle w:val="1"/>
              <w:jc w:val="both"/>
            </w:pPr>
            <w:r>
              <w:rPr>
                <w:sz w:val="16"/>
              </w:rPr>
              <w:t xml:space="preserve">подпараграф,  </w:t>
            </w:r>
          </w:p>
          <w:p>
            <w:pPr>
              <w:pStyle w:val="1"/>
              <w:jc w:val="both"/>
            </w:pPr>
            <w:r>
              <w:rPr>
                <w:sz w:val="16"/>
              </w:rPr>
            </w:r>
            <w:hyperlink w:history="0" r:id="rId331"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пункт "a"</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984" w:tooltip="2. В порядке частичного отступления от параграфа 1 &quot;a&quot; настоящей статьи в случае, если оператор докажет компетентному органу отсутствие экономической и технической возможности для отдельной установки по соблюдению пороговых значений неконтролируемых выбросов, компетентный орган вправе санкционировать превышение пороговых значений выбросов при отсутствии существенных рисков для здоровья человека и окружающей среды, а также при условии, что оператор докажет использование наилучших доступных технологий.">
              <w:r>
                <w:rPr>
                  <w:sz w:val="16"/>
                  <w:color w:val="0000ff"/>
                </w:rPr>
                <w:t xml:space="preserve">Статья 59 (2)</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t xml:space="preserve">Статья 5 (3), </w:t>
            </w:r>
          </w:p>
          <w:p>
            <w:pPr>
              <w:pStyle w:val="1"/>
              <w:jc w:val="both"/>
            </w:pPr>
            <w:r>
              <w:rPr>
                <w:sz w:val="16"/>
              </w:rPr>
              <w:t xml:space="preserve">первый        </w:t>
            </w:r>
          </w:p>
          <w:p>
            <w:pPr>
              <w:pStyle w:val="1"/>
              <w:jc w:val="both"/>
            </w:pPr>
            <w:r>
              <w:rPr>
                <w:sz w:val="16"/>
              </w:rPr>
              <w:t xml:space="preserve">подпараграф,  </w:t>
            </w:r>
          </w:p>
          <w:p>
            <w:pPr>
              <w:pStyle w:val="1"/>
              <w:jc w:val="both"/>
            </w:pPr>
            <w:r>
              <w:rPr>
                <w:sz w:val="16"/>
              </w:rPr>
            </w:r>
            <w:hyperlink w:history="0" r:id="rId332"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пункт "b"</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985" w:tooltip="3. В порядке частичного отступления от параграфа 1 настоящей статьи для деятельности, связанной с покрытием, как предусмотрено пунктом 8 таблицы в части 2 Приложения VII к настоящей Директиве, которая не может осуществляться в соответствии с условиями использования, компетентный орган вправе санкционировать несоблюдение установкой требований указанного параграфа, если оператор докажет компетентному органу отсутствие экономической и технической возможности по их соблюдению, а также использование наилучших...">
              <w:r>
                <w:rPr>
                  <w:sz w:val="16"/>
                  <w:color w:val="0000ff"/>
                </w:rPr>
                <w:t xml:space="preserve">Статья 59 (3)</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t xml:space="preserve">Статья 5 (3), </w:t>
            </w:r>
          </w:p>
          <w:p>
            <w:pPr>
              <w:pStyle w:val="1"/>
              <w:jc w:val="both"/>
            </w:pPr>
            <w:r>
              <w:rPr>
                <w:sz w:val="16"/>
              </w:rPr>
            </w:r>
            <w:hyperlink w:history="0" r:id="rId333"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второй</w:t>
              </w:r>
            </w:hyperlink>
            <w:r>
              <w:rPr>
                <w:sz w:val="16"/>
              </w:rPr>
            </w:r>
          </w:p>
          <w:p>
            <w:pPr>
              <w:pStyle w:val="1"/>
              <w:jc w:val="both"/>
            </w:pPr>
            <w:r>
              <w:rPr>
                <w:sz w:val="16"/>
              </w:rPr>
              <w:t xml:space="preserve">подпараграф   </w:t>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986" w:tooltip="4. В соответствии со статьей 72 (2) настоящей Директивы государства-члены ЕС доводят до сведения Европейской комиссии информацию об отступлениях, предусмотренных параграфами 2 и 3 настоящей статьи.">
              <w:r>
                <w:rPr>
                  <w:sz w:val="16"/>
                  <w:color w:val="0000ff"/>
                </w:rPr>
                <w:t xml:space="preserve">Статья 59 (4)</w:t>
              </w:r>
            </w:hyperlink>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r>
            <w:hyperlink w:history="0" w:anchor="P988" w:tooltip="5. Выбросы летучих органических соединений, которые должны иметь обозначения опасности H340, H350, H350i, H360D или H360F, либо галогенированные летучие органические соединения, которые должны иметь обозначения опасности H341 или H351, осуществляются под контролем при условиях использования, насколько это экономически и технически возможно, в целях охраны общественного здоровья и окружающей среды и не должны превышать соответствующие пороговые значения выбросов, установленные частью 4 Приложения VII к на...">
              <w:r>
                <w:rPr>
                  <w:sz w:val="16"/>
                  <w:color w:val="0000ff"/>
                </w:rPr>
                <w:t xml:space="preserve">Статья 59 (5)</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34"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5 (4)</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35"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5 (5)</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989" w:tooltip="6. Установки, на которых осуществляются два или более видов деятельности, каждый из которых превосходит пределы, установленные частью 2 Приложения VII к настоящей Директиве, должны:">
              <w:r>
                <w:rPr>
                  <w:sz w:val="16"/>
                  <w:color w:val="0000ff"/>
                </w:rPr>
                <w:t xml:space="preserve">Статья 59 (6)</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36"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5 (6)</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970" w:tooltip="Статья 58">
              <w:r>
                <w:rPr>
                  <w:sz w:val="16"/>
                  <w:color w:val="0000ff"/>
                </w:rPr>
                <w:t xml:space="preserve">Статья 58</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37"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5 (7)</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VII, часть 4,</w:t>
            </w:r>
          </w:p>
          <w:p>
            <w:pPr>
              <w:pStyle w:val="1"/>
              <w:jc w:val="both"/>
            </w:pPr>
            <w:r>
              <w:rPr>
                <w:sz w:val="16"/>
              </w:rPr>
            </w:r>
            <w:hyperlink w:history="0" w:anchor="P3253" w:tooltip="    1.  Для выбросов летучих органических соединений, указанных в статье 58">
              <w:r>
                <w:rPr>
                  <w:sz w:val="16"/>
                  <w:color w:val="0000ff"/>
                </w:rPr>
                <w:t xml:space="preserve">пункт 1</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t xml:space="preserve">Статья 5 (8), </w:t>
            </w:r>
          </w:p>
          <w:p>
            <w:pPr>
              <w:pStyle w:val="1"/>
              <w:jc w:val="both"/>
            </w:pPr>
            <w:r>
              <w:rPr>
                <w:sz w:val="16"/>
              </w:rPr>
            </w:r>
            <w:hyperlink w:history="0" r:id="rId338"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первый</w:t>
              </w:r>
            </w:hyperlink>
            <w:r>
              <w:rPr>
                <w:sz w:val="16"/>
              </w:rPr>
            </w:r>
          </w:p>
          <w:p>
            <w:pPr>
              <w:pStyle w:val="1"/>
              <w:jc w:val="both"/>
            </w:pPr>
            <w:r>
              <w:rPr>
                <w:sz w:val="16"/>
              </w:rPr>
              <w:t xml:space="preserve">подпараграф   </w:t>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VII, часть 4,</w:t>
            </w:r>
          </w:p>
          <w:p>
            <w:pPr>
              <w:pStyle w:val="1"/>
              <w:jc w:val="both"/>
            </w:pPr>
            <w:r>
              <w:rPr>
                <w:sz w:val="16"/>
              </w:rPr>
            </w:r>
            <w:hyperlink w:history="0" w:anchor="P3261" w:tooltip="    2.  Для  выбросов  галогенированных  летучих  органических  соединений,">
              <w:r>
                <w:rPr>
                  <w:sz w:val="16"/>
                  <w:color w:val="0000ff"/>
                </w:rPr>
                <w:t xml:space="preserve">пункт 2</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t xml:space="preserve">Статья 5 (8), </w:t>
            </w:r>
          </w:p>
          <w:p>
            <w:pPr>
              <w:pStyle w:val="1"/>
              <w:jc w:val="both"/>
            </w:pPr>
            <w:r>
              <w:rPr>
                <w:sz w:val="16"/>
              </w:rPr>
            </w:r>
            <w:hyperlink w:history="0" r:id="rId339"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второй</w:t>
              </w:r>
            </w:hyperlink>
            <w:r>
              <w:rPr>
                <w:sz w:val="16"/>
              </w:rPr>
            </w:r>
          </w:p>
          <w:p>
            <w:pPr>
              <w:pStyle w:val="1"/>
              <w:jc w:val="both"/>
            </w:pPr>
            <w:r>
              <w:rPr>
                <w:sz w:val="16"/>
              </w:rPr>
              <w:t xml:space="preserve">подпараграф   </w:t>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40"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5 (9)</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41"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5 (10)</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994" w:tooltip="7. Необходимые меры предосторожности должны быть приняты в целях минимизации выбросов летучих органических соединений в период проведения операций по включению и отключению.">
              <w:r>
                <w:rPr>
                  <w:sz w:val="16"/>
                  <w:color w:val="0000ff"/>
                </w:rPr>
                <w:t xml:space="preserve">Статья 59 (7)</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42"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5 (11)</w:t>
              </w:r>
            </w:hyperlink>
            <w:r>
              <w:rPr>
                <w:sz w:val="16"/>
              </w:rPr>
              <w:t xml:space="preserve">,</w:t>
            </w:r>
          </w:p>
          <w:p>
            <w:pPr>
              <w:pStyle w:val="1"/>
              <w:jc w:val="both"/>
            </w:pPr>
            <w:r>
              <w:rPr>
                <w:sz w:val="16"/>
              </w:rPr>
            </w:r>
            <w:hyperlink w:history="0" r:id="rId343"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(12)</w:t>
              </w:r>
            </w:hyperlink>
            <w:r>
              <w:rPr>
                <w:sz w:val="16"/>
              </w:rPr>
              <w:t xml:space="preserve"> и </w:t>
            </w:r>
            <w:hyperlink w:history="0" r:id="rId344"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(13)</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45"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6</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t xml:space="preserve">Статья 7 (1), </w:t>
            </w:r>
          </w:p>
          <w:p>
            <w:pPr>
              <w:pStyle w:val="1"/>
              <w:jc w:val="both"/>
            </w:pPr>
            <w:r>
              <w:rPr>
                <w:sz w:val="16"/>
              </w:rPr>
            </w:r>
            <w:hyperlink w:history="0" r:id="rId346"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вводная фраза</w:t>
              </w:r>
            </w:hyperlink>
            <w:r>
              <w:rPr>
                <w:sz w:val="16"/>
              </w:rPr>
              <w:t xml:space="preserve">,</w:t>
            </w:r>
          </w:p>
          <w:p>
            <w:pPr>
              <w:pStyle w:val="1"/>
              <w:jc w:val="both"/>
            </w:pPr>
            <w:r>
              <w:rPr>
                <w:sz w:val="16"/>
              </w:rPr>
              <w:t xml:space="preserve">и </w:t>
            </w:r>
            <w:hyperlink w:history="0" r:id="rId347"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первый</w:t>
              </w:r>
            </w:hyperlink>
            <w:r>
              <w:rPr>
                <w:sz w:val="16"/>
              </w:rPr>
              <w:t xml:space="preserve">,     </w:t>
            </w:r>
          </w:p>
          <w:p>
            <w:pPr>
              <w:pStyle w:val="1"/>
              <w:jc w:val="both"/>
            </w:pPr>
            <w:r>
              <w:rPr>
                <w:sz w:val="16"/>
              </w:rPr>
            </w:r>
            <w:hyperlink w:history="0" r:id="rId348"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второй</w:t>
              </w:r>
            </w:hyperlink>
            <w:r>
              <w:rPr>
                <w:sz w:val="16"/>
              </w:rPr>
              <w:t xml:space="preserve">, </w:t>
            </w:r>
            <w:hyperlink w:history="0" r:id="rId349"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третий</w:t>
              </w:r>
            </w:hyperlink>
          </w:p>
          <w:p>
            <w:pPr>
              <w:pStyle w:val="1"/>
              <w:jc w:val="both"/>
            </w:pPr>
            <w:r>
              <w:rPr>
                <w:sz w:val="16"/>
              </w:rPr>
              <w:t xml:space="preserve">и </w:t>
            </w:r>
            <w:hyperlink w:history="0" r:id="rId350"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четвертый</w:t>
              </w:r>
            </w:hyperlink>
            <w:r>
              <w:rPr>
                <w:sz w:val="16"/>
              </w:rPr>
            </w:r>
          </w:p>
          <w:p>
            <w:pPr>
              <w:pStyle w:val="1"/>
              <w:jc w:val="both"/>
            </w:pPr>
            <w:r>
              <w:rPr>
                <w:sz w:val="16"/>
              </w:rPr>
              <w:t xml:space="preserve">абзац         </w:t>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028" w:tooltip="Статья 64">
              <w:r>
                <w:rPr>
                  <w:sz w:val="16"/>
                  <w:color w:val="0000ff"/>
                </w:rPr>
                <w:t xml:space="preserve">Статья 64</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t xml:space="preserve">Статья 7 (1), </w:t>
            </w:r>
          </w:p>
          <w:p>
            <w:pPr>
              <w:pStyle w:val="1"/>
              <w:jc w:val="both"/>
            </w:pPr>
            <w:r>
              <w:rPr>
                <w:sz w:val="16"/>
              </w:rPr>
            </w:r>
            <w:hyperlink w:history="0" r:id="rId351"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заключительная</w:t>
              </w:r>
            </w:hyperlink>
          </w:p>
          <w:p>
            <w:pPr>
              <w:pStyle w:val="1"/>
              <w:jc w:val="both"/>
            </w:pPr>
            <w:r>
              <w:rPr>
                <w:sz w:val="16"/>
              </w:rPr>
              <w:t xml:space="preserve">фраза         </w:t>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52"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7 (2)</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53"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8 (1)</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14    </w:t>
            </w:r>
          </w:p>
          <w:p>
            <w:pPr>
              <w:pStyle w:val="1"/>
              <w:jc w:val="both"/>
            </w:pPr>
            <w:r>
              <w:rPr>
                <w:sz w:val="16"/>
              </w:rPr>
              <w:t xml:space="preserve">(1), пункт   </w:t>
            </w:r>
          </w:p>
          <w:p>
            <w:pPr>
              <w:pStyle w:val="1"/>
              <w:jc w:val="both"/>
            </w:pPr>
            <w:r>
              <w:rPr>
                <w:sz w:val="16"/>
              </w:rPr>
            </w:r>
            <w:hyperlink w:history="0" w:anchor="P371" w:tooltip="d) обязательство предоставлять компетентному органу регулярно и по крайней мере ежегодно:">
              <w:r>
                <w:rPr>
                  <w:sz w:val="16"/>
                  <w:color w:val="0000ff"/>
                </w:rPr>
                <w:t xml:space="preserve">"d"</w:t>
              </w:r>
            </w:hyperlink>
            <w:r>
              <w:rPr>
                <w:sz w:val="16"/>
              </w:rPr>
              <w:t xml:space="preserve">,         </w:t>
            </w:r>
          </w:p>
          <w:p>
            <w:pPr>
              <w:pStyle w:val="1"/>
              <w:jc w:val="both"/>
            </w:pPr>
            <w:r>
              <w:rPr>
                <w:sz w:val="16"/>
              </w:rPr>
            </w:r>
            <w:hyperlink w:history="0" w:anchor="P996" w:tooltip="Статья 60">
              <w:r>
                <w:rPr>
                  <w:sz w:val="16"/>
                  <w:color w:val="0000ff"/>
                </w:rPr>
                <w:t xml:space="preserve">статья 60</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r>
            <w:hyperlink w:history="0" w:anchor="P1002" w:tooltip="Статья 61">
              <w:r>
                <w:rPr>
                  <w:sz w:val="16"/>
                  <w:color w:val="0000ff"/>
                </w:rPr>
                <w:t xml:space="preserve">Статья 61</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54"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8 (2)</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VII, часть 6,</w:t>
            </w:r>
          </w:p>
          <w:p>
            <w:pPr>
              <w:pStyle w:val="1"/>
              <w:jc w:val="both"/>
            </w:pPr>
            <w:r>
              <w:rPr>
                <w:sz w:val="16"/>
              </w:rPr>
            </w:r>
            <w:hyperlink w:history="0" w:anchor="P3313" w:tooltip="1. Мониторинг каналов, с которыми соединено очистное оборудование и которые в месте окончательного сброса выделяют больше 10 кг/час общего содержания органического углерода, осуществляется непрерывно.">
              <w:r>
                <w:rPr>
                  <w:sz w:val="16"/>
                  <w:color w:val="0000ff"/>
                </w:rPr>
                <w:t xml:space="preserve">пункт 1</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55"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8 (3)</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VII часть 6, </w:t>
            </w:r>
          </w:p>
          <w:p>
            <w:pPr>
              <w:pStyle w:val="1"/>
              <w:jc w:val="both"/>
            </w:pPr>
            <w:r>
              <w:rPr>
                <w:sz w:val="16"/>
              </w:rPr>
            </w:r>
            <w:hyperlink w:history="0" w:anchor="P3314" w:tooltip="2. В иных случаях государства-члены ЕС гарантируют проведение непрерывных или периодических измерений. Что касается периодических измерений, необходимо получить по крайней мере три значения при осуществлении каждого измерения.">
              <w:r>
                <w:rPr>
                  <w:sz w:val="16"/>
                  <w:color w:val="0000ff"/>
                </w:rPr>
                <w:t xml:space="preserve">пункт 2</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56"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8 (4)</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VII, часть 6,</w:t>
            </w:r>
          </w:p>
          <w:p>
            <w:pPr>
              <w:pStyle w:val="1"/>
              <w:jc w:val="both"/>
            </w:pPr>
            <w:r>
              <w:rPr>
                <w:sz w:val="16"/>
              </w:rPr>
            </w:r>
            <w:hyperlink w:history="0" w:anchor="P3315" w:tooltip="3. Измерения не требуются в том случае, если для соблюдения настоящей Директивы не требуется очистное оборудование, позволяющее проводить очистку в месте сброса.">
              <w:r>
                <w:rPr>
                  <w:sz w:val="16"/>
                  <w:color w:val="0000ff"/>
                </w:rPr>
                <w:t xml:space="preserve">пункт 3</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57"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8 (5)</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t xml:space="preserve">Статья 9 (1), </w:t>
            </w:r>
          </w:p>
          <w:p>
            <w:pPr>
              <w:pStyle w:val="1"/>
              <w:jc w:val="both"/>
            </w:pPr>
            <w:r>
              <w:rPr>
                <w:sz w:val="16"/>
              </w:rPr>
              <w:t xml:space="preserve">первый        </w:t>
            </w:r>
          </w:p>
          <w:p>
            <w:pPr>
              <w:pStyle w:val="1"/>
              <w:jc w:val="both"/>
            </w:pPr>
            <w:r>
              <w:rPr>
                <w:sz w:val="16"/>
              </w:rPr>
              <w:t xml:space="preserve">подпараграф,  </w:t>
            </w:r>
          </w:p>
          <w:p>
            <w:pPr>
              <w:pStyle w:val="1"/>
              <w:jc w:val="both"/>
            </w:pPr>
            <w:r>
              <w:rPr>
                <w:sz w:val="16"/>
              </w:rPr>
            </w:r>
            <w:hyperlink w:history="0" r:id="rId358"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вводная фраза</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62,   </w:t>
            </w:r>
          </w:p>
          <w:p>
            <w:pPr>
              <w:pStyle w:val="1"/>
              <w:jc w:val="both"/>
            </w:pPr>
            <w:r>
              <w:rPr>
                <w:sz w:val="16"/>
              </w:rPr>
              <w:t xml:space="preserve">первый       </w:t>
            </w:r>
          </w:p>
          <w:p>
            <w:pPr>
              <w:pStyle w:val="1"/>
              <w:jc w:val="both"/>
            </w:pPr>
            <w:r>
              <w:rPr>
                <w:sz w:val="16"/>
              </w:rPr>
              <w:t xml:space="preserve">подпараграф, </w:t>
            </w:r>
          </w:p>
          <w:p>
            <w:pPr>
              <w:pStyle w:val="1"/>
              <w:jc w:val="both"/>
            </w:pPr>
            <w:r>
              <w:rPr>
                <w:sz w:val="16"/>
              </w:rPr>
            </w:r>
            <w:hyperlink w:history="0" w:anchor="P1012" w:tooltip="Оператор представляет компетентному органу по его запросу сведения, позволяющие такому органу провести проверку соблюдения:">
              <w:r>
                <w:rPr>
                  <w:sz w:val="16"/>
                  <w:color w:val="0000ff"/>
                </w:rPr>
                <w:t xml:space="preserve">вводная фраза</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t xml:space="preserve">Статья 9 (1), </w:t>
            </w:r>
          </w:p>
          <w:p>
            <w:pPr>
              <w:pStyle w:val="1"/>
              <w:jc w:val="both"/>
            </w:pPr>
            <w:r>
              <w:rPr>
                <w:sz w:val="16"/>
              </w:rPr>
              <w:t xml:space="preserve">первый        </w:t>
            </w:r>
          </w:p>
          <w:p>
            <w:pPr>
              <w:pStyle w:val="1"/>
              <w:jc w:val="both"/>
            </w:pPr>
            <w:r>
              <w:rPr>
                <w:sz w:val="16"/>
              </w:rPr>
              <w:t xml:space="preserve">подпараграф,  </w:t>
            </w:r>
          </w:p>
          <w:p>
            <w:pPr>
              <w:pStyle w:val="1"/>
              <w:jc w:val="both"/>
            </w:pPr>
            <w:r>
              <w:rPr>
                <w:sz w:val="16"/>
              </w:rPr>
            </w:r>
            <w:hyperlink w:history="0" r:id="rId359"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первый</w:t>
              </w:r>
            </w:hyperlink>
            <w:r>
              <w:rPr>
                <w:sz w:val="16"/>
              </w:rPr>
              <w:t xml:space="preserve">, </w:t>
            </w:r>
            <w:hyperlink w:history="0" r:id="rId360"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второй</w:t>
              </w:r>
            </w:hyperlink>
          </w:p>
          <w:p>
            <w:pPr>
              <w:pStyle w:val="1"/>
              <w:jc w:val="both"/>
            </w:pPr>
            <w:r>
              <w:rPr>
                <w:sz w:val="16"/>
              </w:rPr>
              <w:t xml:space="preserve">и </w:t>
            </w:r>
            <w:hyperlink w:history="0" r:id="rId361"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третий абзац</w:t>
              </w:r>
            </w:hyperlink>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62,   </w:t>
            </w:r>
          </w:p>
          <w:p>
            <w:pPr>
              <w:pStyle w:val="1"/>
              <w:jc w:val="both"/>
            </w:pPr>
            <w:r>
              <w:rPr>
                <w:sz w:val="16"/>
              </w:rPr>
              <w:t xml:space="preserve">первый       </w:t>
            </w:r>
          </w:p>
          <w:p>
            <w:pPr>
              <w:pStyle w:val="1"/>
              <w:jc w:val="both"/>
            </w:pPr>
            <w:r>
              <w:rPr>
                <w:sz w:val="16"/>
              </w:rPr>
              <w:t xml:space="preserve">подпараграф, </w:t>
            </w:r>
          </w:p>
          <w:p>
            <w:pPr>
              <w:pStyle w:val="1"/>
              <w:jc w:val="both"/>
            </w:pPr>
            <w:r>
              <w:rPr>
                <w:sz w:val="16"/>
              </w:rPr>
            </w:r>
            <w:hyperlink w:history="0" w:anchor="P1013" w:tooltip="a) пороговых значений выбросов отработанных газов, пороговых значений неконтролируемых выбросов, а также общих пороговых значений выбросов;">
              <w:r>
                <w:rPr>
                  <w:sz w:val="16"/>
                  <w:color w:val="0000ff"/>
                </w:rPr>
                <w:t xml:space="preserve">пункты "a"</w:t>
              </w:r>
            </w:hyperlink>
            <w:r>
              <w:rPr>
                <w:sz w:val="16"/>
              </w:rPr>
              <w:t xml:space="preserve">,  </w:t>
            </w:r>
          </w:p>
          <w:p>
            <w:pPr>
              <w:pStyle w:val="1"/>
              <w:jc w:val="both"/>
            </w:pPr>
            <w:r>
              <w:rPr>
                <w:sz w:val="16"/>
              </w:rPr>
            </w:r>
            <w:hyperlink w:history="0" w:anchor="P1014" w:tooltip="b) требований схемы сокращения выбросов, предусмотренной частью 5 Приложения VII к настоящей Директиве;">
              <w:r>
                <w:rPr>
                  <w:sz w:val="16"/>
                  <w:color w:val="0000ff"/>
                </w:rPr>
                <w:t xml:space="preserve">"b"</w:t>
              </w:r>
            </w:hyperlink>
            <w:r>
              <w:rPr>
                <w:sz w:val="16"/>
              </w:rPr>
              <w:t xml:space="preserve"> и </w:t>
            </w:r>
            <w:hyperlink w:history="0" w:anchor="P1015" w:tooltip="c) частичных отступлений, предоставленных в соответствии со статьей 59 (2) и (3).">
              <w:r>
                <w:rPr>
                  <w:sz w:val="16"/>
                  <w:color w:val="0000ff"/>
                </w:rPr>
                <w:t xml:space="preserve">"c"</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t xml:space="preserve">Статья 9 (1), </w:t>
            </w:r>
          </w:p>
          <w:p>
            <w:pPr>
              <w:pStyle w:val="1"/>
              <w:jc w:val="both"/>
            </w:pPr>
            <w:r>
              <w:rPr>
                <w:sz w:val="16"/>
              </w:rPr>
            </w:r>
            <w:hyperlink w:history="0" r:id="rId362"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второй</w:t>
              </w:r>
            </w:hyperlink>
            <w:r>
              <w:rPr>
                <w:sz w:val="16"/>
              </w:rPr>
            </w:r>
          </w:p>
          <w:p>
            <w:pPr>
              <w:pStyle w:val="1"/>
              <w:jc w:val="both"/>
            </w:pPr>
            <w:r>
              <w:rPr>
                <w:sz w:val="16"/>
              </w:rPr>
              <w:t xml:space="preserve">подпараграф   </w:t>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62,   </w:t>
            </w:r>
          </w:p>
          <w:p>
            <w:pPr>
              <w:pStyle w:val="1"/>
              <w:jc w:val="both"/>
            </w:pPr>
            <w:r>
              <w:rPr>
                <w:sz w:val="16"/>
              </w:rPr>
            </w:r>
            <w:hyperlink w:history="0" w:anchor="P1016" w:tooltip="Такая проверка может включать план обращения с растворителями, подготовленный в соответствии с частью 7 Приложения VII к настоящей Директиве.">
              <w:r>
                <w:rPr>
                  <w:sz w:val="16"/>
                  <w:color w:val="0000ff"/>
                </w:rPr>
                <w:t xml:space="preserve">второй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t xml:space="preserve">Статья 9 (1), </w:t>
            </w:r>
          </w:p>
          <w:p>
            <w:pPr>
              <w:pStyle w:val="1"/>
              <w:jc w:val="both"/>
            </w:pPr>
            <w:r>
              <w:rPr>
                <w:sz w:val="16"/>
              </w:rPr>
            </w:r>
            <w:hyperlink w:history="0" r:id="rId363"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третий</w:t>
              </w:r>
            </w:hyperlink>
            <w:r>
              <w:rPr>
                <w:sz w:val="16"/>
              </w:rPr>
            </w:r>
          </w:p>
          <w:p>
            <w:pPr>
              <w:pStyle w:val="1"/>
              <w:jc w:val="both"/>
            </w:pPr>
            <w:r>
              <w:rPr>
                <w:sz w:val="16"/>
              </w:rPr>
              <w:t xml:space="preserve">подпараграф   </w:t>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VII, часть 8,</w:t>
            </w:r>
          </w:p>
          <w:p>
            <w:pPr>
              <w:pStyle w:val="1"/>
              <w:jc w:val="both"/>
            </w:pPr>
            <w:r>
              <w:rPr>
                <w:sz w:val="16"/>
              </w:rPr>
            </w:r>
            <w:hyperlink w:history="0" w:anchor="P3383" w:tooltip="4. В целях охлаждения или разжижения к отработанным газам могут быть добавлены объемы газов, если это технически обоснованно, но они не учитываются при определении массовой концентрации загрязнителя в отработанных газах.">
              <w:r>
                <w:rPr>
                  <w:sz w:val="16"/>
                  <w:color w:val="0000ff"/>
                </w:rPr>
                <w:t xml:space="preserve">пункт 4</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64"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9 (2)</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026" w:tooltip="3. При наличии существенных изменений компетентный орган проверяет соответствие установки требованиям настоящей Директивы.">
              <w:r>
                <w:rPr>
                  <w:sz w:val="16"/>
                  <w:color w:val="0000ff"/>
                </w:rPr>
                <w:t xml:space="preserve">Статья 63 (3)</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65"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9 (3)</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VII, часть 8,</w:t>
            </w:r>
          </w:p>
          <w:p>
            <w:pPr>
              <w:pStyle w:val="1"/>
              <w:jc w:val="both"/>
            </w:pPr>
            <w:r>
              <w:rPr>
                <w:sz w:val="16"/>
              </w:rPr>
            </w:r>
            <w:hyperlink w:history="0" w:anchor="P3376" w:tooltip="1. При проведении непрерывных измерений пороговые значения выбросов считаются соблюденными, если:">
              <w:r>
                <w:rPr>
                  <w:sz w:val="16"/>
                  <w:color w:val="0000ff"/>
                </w:rPr>
                <w:t xml:space="preserve">пункт 1</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66"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9 (4)</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VII, часть 8,</w:t>
            </w:r>
          </w:p>
          <w:p>
            <w:pPr>
              <w:pStyle w:val="1"/>
              <w:jc w:val="both"/>
            </w:pPr>
            <w:r>
              <w:rPr>
                <w:sz w:val="16"/>
              </w:rPr>
            </w:r>
            <w:hyperlink w:history="0" w:anchor="P3379" w:tooltip="2. При проведении периодических измерений пороговые значения выбросов считаются соблюденными, если в течение одного измерительного мероприятия:">
              <w:r>
                <w:rPr>
                  <w:sz w:val="16"/>
                  <w:color w:val="0000ff"/>
                </w:rPr>
                <w:t xml:space="preserve">пункт 2</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67"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9 (5)</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VII, часть 8,</w:t>
            </w:r>
          </w:p>
          <w:p>
            <w:pPr>
              <w:pStyle w:val="1"/>
              <w:jc w:val="both"/>
            </w:pPr>
            <w:r>
              <w:rPr>
                <w:sz w:val="16"/>
              </w:rPr>
            </w:r>
            <w:hyperlink w:history="0" w:anchor="P3382" w:tooltip="3. Соблюдение части 4 настоящего Приложения проверяется на основе суммы массовых концентраций отдельных летучих органических растворителей. В остальных случаях соблюдение проверяется на основе общей массы выделяемого органического углерода, если иное не установлено частью 2 настоящего Приложения.">
              <w:r>
                <w:rPr>
                  <w:sz w:val="16"/>
                  <w:color w:val="0000ff"/>
                </w:rPr>
                <w:t xml:space="preserve">пункт 3</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68"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10</w:t>
              </w:r>
            </w:hyperlink>
            <w:r>
              <w:rPr>
                <w:sz w:val="16"/>
              </w:rPr>
            </w:r>
          </w:p>
        </w:tc>
        <w:tc>
          <w:tcPr>
            <w:tcW w:w="1485" w:type="dxa"/>
            <w:tcBorders>
              <w:top w:val="nil"/>
            </w:tcBorders>
          </w:tcPr>
          <w:p>
            <w:pPr>
              <w:pStyle w:val="1"/>
              <w:jc w:val="both"/>
            </w:pPr>
            <w:r>
              <w:rPr>
                <w:sz w:val="16"/>
              </w:rPr>
            </w:r>
            <w:hyperlink w:history="0" r:id="rId369"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4 (9)</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282" w:tooltip="2. В случае несоответствия условиям разрешения государства-члены ЕС гарантируют, что:">
              <w:r>
                <w:rPr>
                  <w:sz w:val="16"/>
                  <w:color w:val="0000ff"/>
                </w:rPr>
                <w:t xml:space="preserve">Статья 8 (2)</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t xml:space="preserve">Статья 11 (1),</w:t>
            </w:r>
          </w:p>
          <w:p>
            <w:pPr>
              <w:pStyle w:val="1"/>
              <w:jc w:val="both"/>
            </w:pPr>
            <w:r>
              <w:rPr>
                <w:sz w:val="16"/>
              </w:rPr>
            </w:r>
            <w:hyperlink w:history="0" r:id="rId370"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третье</w:t>
              </w:r>
            </w:hyperlink>
            <w:r>
              <w:rPr>
                <w:sz w:val="16"/>
              </w:rPr>
              <w:t xml:space="preserve"> -      </w:t>
            </w:r>
          </w:p>
          <w:p>
            <w:pPr>
              <w:pStyle w:val="1"/>
              <w:jc w:val="both"/>
            </w:pPr>
            <w:r>
              <w:rPr>
                <w:sz w:val="16"/>
              </w:rPr>
            </w:r>
            <w:hyperlink w:history="0" r:id="rId371"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шестое</w:t>
              </w:r>
            </w:hyperlink>
            <w:r>
              <w:rPr>
                <w:sz w:val="16"/>
              </w:rPr>
            </w:r>
          </w:p>
          <w:p>
            <w:pPr>
              <w:pStyle w:val="1"/>
              <w:jc w:val="both"/>
            </w:pPr>
            <w:r>
              <w:rPr>
                <w:sz w:val="16"/>
              </w:rPr>
              <w:t xml:space="preserve">предложение   </w:t>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t xml:space="preserve">Статья 12 (1),</w:t>
            </w:r>
          </w:p>
          <w:p>
            <w:pPr>
              <w:pStyle w:val="1"/>
              <w:jc w:val="both"/>
            </w:pPr>
            <w:r>
              <w:rPr>
                <w:sz w:val="16"/>
              </w:rPr>
            </w:r>
            <w:hyperlink w:history="0" r:id="rId372"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второй</w:t>
              </w:r>
            </w:hyperlink>
            <w:r>
              <w:rPr>
                <w:sz w:val="16"/>
              </w:rPr>
            </w:r>
          </w:p>
          <w:p>
            <w:pPr>
              <w:pStyle w:val="1"/>
              <w:jc w:val="both"/>
            </w:pPr>
            <w:r>
              <w:rPr>
                <w:sz w:val="16"/>
              </w:rPr>
              <w:t xml:space="preserve">подпараграф   </w:t>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65    </w:t>
            </w:r>
          </w:p>
          <w:p>
            <w:pPr>
              <w:pStyle w:val="1"/>
              <w:jc w:val="both"/>
            </w:pPr>
            <w:r>
              <w:rPr>
                <w:sz w:val="16"/>
              </w:rPr>
            </w:r>
            <w:hyperlink w:history="0" w:anchor="P1044" w:tooltip="1. Решение компетентного органа, в том числе как минимум копия разрешения и любые последующие изменения, должны быть опубликованы.">
              <w:r>
                <w:rPr>
                  <w:sz w:val="16"/>
                  <w:color w:val="0000ff"/>
                </w:rPr>
                <w:t xml:space="preserve">(1), первый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t xml:space="preserve">Статья 12 (1),</w:t>
            </w:r>
          </w:p>
          <w:p>
            <w:pPr>
              <w:pStyle w:val="1"/>
              <w:jc w:val="both"/>
            </w:pPr>
            <w:r>
              <w:rPr>
                <w:sz w:val="16"/>
              </w:rPr>
            </w:r>
            <w:hyperlink w:history="0" r:id="rId373"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третий</w:t>
              </w:r>
            </w:hyperlink>
            <w:r>
              <w:rPr>
                <w:sz w:val="16"/>
              </w:rPr>
            </w:r>
          </w:p>
          <w:p>
            <w:pPr>
              <w:pStyle w:val="1"/>
              <w:jc w:val="both"/>
            </w:pPr>
            <w:r>
              <w:rPr>
                <w:sz w:val="16"/>
              </w:rPr>
              <w:t xml:space="preserve">подпараграф   </w:t>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65    </w:t>
            </w:r>
          </w:p>
          <w:p>
            <w:pPr>
              <w:pStyle w:val="1"/>
              <w:jc w:val="both"/>
            </w:pPr>
            <w:r>
              <w:rPr>
                <w:sz w:val="16"/>
              </w:rPr>
            </w:r>
            <w:hyperlink w:history="0" w:anchor="P1045" w:tooltip="Общие обязательные нормы, применимые к установкам, а также перечень установок, подлежащих регистрации или выдаче разрешения, должны быть опубликованы.">
              <w:r>
                <w:rPr>
                  <w:sz w:val="16"/>
                  <w:color w:val="0000ff"/>
                </w:rPr>
                <w:t xml:space="preserve">(1), второй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74"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12 (2)</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046" w:tooltip="2. Результаты мониторинга выбросов, предусмотренного статьей 60 настоящей Директивы и проведенного компетентным органом, должны быть опубликованы.">
              <w:r>
                <w:rPr>
                  <w:sz w:val="16"/>
                  <w:color w:val="0000ff"/>
                </w:rPr>
                <w:t xml:space="preserve">Статья 65 (2)</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75"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12 (3)</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1047" w:tooltip="3. Параграфы 1 и 2 настоящей статьи применяются с учетом ограничений, установленных в статье 4 (1) и (2) Директивы 2003/4/ЕС.">
              <w:r>
                <w:rPr>
                  <w:sz w:val="16"/>
                  <w:color w:val="0000ff"/>
                </w:rPr>
                <w:t xml:space="preserve">Статья 65 (3)</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76"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13 (2)</w:t>
              </w:r>
            </w:hyperlink>
            <w:r>
              <w:rPr>
                <w:sz w:val="16"/>
              </w:rPr>
            </w:r>
          </w:p>
          <w:p>
            <w:pPr>
              <w:pStyle w:val="1"/>
              <w:jc w:val="both"/>
            </w:pPr>
            <w:r>
              <w:rPr>
                <w:sz w:val="16"/>
              </w:rPr>
              <w:t xml:space="preserve">и </w:t>
            </w:r>
            <w:hyperlink w:history="0" r:id="rId377"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(3)</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78"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Статья 14</w:t>
              </w:r>
            </w:hyperlink>
            <w:r>
              <w:rPr>
                <w:sz w:val="16"/>
              </w:rPr>
            </w:r>
          </w:p>
        </w:tc>
        <w:tc>
          <w:tcPr>
            <w:tcW w:w="1485" w:type="dxa"/>
            <w:tcBorders>
              <w:top w:val="nil"/>
            </w:tcBorders>
          </w:tcPr>
          <w:p>
            <w:pPr>
              <w:pStyle w:val="1"/>
              <w:jc w:val="both"/>
            </w:pPr>
            <w:r>
              <w:rPr>
                <w:sz w:val="16"/>
              </w:rPr>
            </w:r>
            <w:hyperlink w:history="0" r:id="rId379"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19</w:t>
              </w:r>
            </w:hyperlink>
            <w:r>
              <w:rPr>
                <w:sz w:val="16"/>
              </w:rPr>
            </w:r>
          </w:p>
        </w:tc>
        <w:tc>
          <w:tcPr>
            <w:tcW w:w="1386" w:type="dxa"/>
            <w:tcBorders>
              <w:top w:val="nil"/>
            </w:tcBorders>
          </w:tcPr>
          <w:p>
            <w:pPr>
              <w:pStyle w:val="1"/>
              <w:jc w:val="both"/>
            </w:pPr>
            <w:r>
              <w:rPr>
                <w:sz w:val="16"/>
              </w:rPr>
            </w:r>
            <w:hyperlink w:history="0" r:id="rId380"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Статья 16</w:t>
              </w:r>
            </w:hyperlink>
            <w:r>
              <w:rPr>
                <w:sz w:val="16"/>
              </w:rPr>
            </w:r>
          </w:p>
        </w:tc>
        <w:tc>
          <w:tcPr>
            <w:tcW w:w="1485" w:type="dxa"/>
            <w:tcBorders>
              <w:top w:val="nil"/>
            </w:tcBorders>
          </w:tcPr>
          <w:p>
            <w:pPr>
              <w:pStyle w:val="1"/>
              <w:jc w:val="both"/>
            </w:pPr>
            <w:r>
              <w:rPr>
                <w:sz w:val="16"/>
              </w:rPr>
            </w:r>
            <w:hyperlink w:history="0" w:anchor="P1179" w:tooltip="Статья 79">
              <w:r>
                <w:rPr>
                  <w:sz w:val="16"/>
                  <w:color w:val="0000ff"/>
                </w:rPr>
                <w:t xml:space="preserve">Статья 79</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t xml:space="preserve">Приложение I, </w:t>
            </w:r>
          </w:p>
          <w:p>
            <w:pPr>
              <w:pStyle w:val="1"/>
              <w:jc w:val="both"/>
            </w:pPr>
            <w:r>
              <w:rPr>
                <w:sz w:val="16"/>
              </w:rPr>
            </w:r>
            <w:hyperlink w:history="0" r:id="rId381"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первое</w:t>
              </w:r>
            </w:hyperlink>
            <w:r>
              <w:rPr>
                <w:sz w:val="16"/>
              </w:rPr>
              <w:t xml:space="preserve"> и      </w:t>
            </w:r>
          </w:p>
          <w:p>
            <w:pPr>
              <w:pStyle w:val="1"/>
              <w:jc w:val="both"/>
            </w:pPr>
            <w:r>
              <w:rPr>
                <w:sz w:val="16"/>
              </w:rPr>
            </w:r>
            <w:hyperlink w:history="0" r:id="rId382"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второе</w:t>
              </w:r>
            </w:hyperlink>
            <w:r>
              <w:rPr>
                <w:sz w:val="16"/>
              </w:rPr>
            </w:r>
          </w:p>
          <w:p>
            <w:pPr>
              <w:pStyle w:val="1"/>
              <w:jc w:val="both"/>
            </w:pPr>
            <w:r>
              <w:rPr>
                <w:sz w:val="16"/>
              </w:rPr>
              <w:t xml:space="preserve">предложение   </w:t>
            </w:r>
          </w:p>
          <w:p>
            <w:pPr>
              <w:pStyle w:val="1"/>
              <w:jc w:val="both"/>
            </w:pPr>
            <w:r>
              <w:rPr>
                <w:sz w:val="16"/>
              </w:rPr>
              <w:t xml:space="preserve">вводной фразы </w:t>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941" w:tooltip="Статья 56">
              <w:r>
                <w:rPr>
                  <w:sz w:val="16"/>
                  <w:color w:val="0000ff"/>
                </w:rPr>
                <w:t xml:space="preserve">Статья 56</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t xml:space="preserve">Приложение I, </w:t>
            </w:r>
          </w:p>
          <w:p>
            <w:pPr>
              <w:pStyle w:val="1"/>
              <w:jc w:val="both"/>
            </w:pPr>
            <w:r>
              <w:rPr>
                <w:sz w:val="16"/>
              </w:rPr>
            </w:r>
            <w:hyperlink w:history="0" r:id="rId383"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третье</w:t>
              </w:r>
            </w:hyperlink>
            <w:r>
              <w:rPr>
                <w:sz w:val="16"/>
              </w:rPr>
            </w:r>
          </w:p>
          <w:p>
            <w:pPr>
              <w:pStyle w:val="1"/>
              <w:jc w:val="both"/>
            </w:pPr>
            <w:r>
              <w:rPr>
                <w:sz w:val="16"/>
              </w:rPr>
              <w:t xml:space="preserve">предложение   </w:t>
            </w:r>
          </w:p>
          <w:p>
            <w:pPr>
              <w:pStyle w:val="1"/>
              <w:jc w:val="both"/>
            </w:pPr>
            <w:r>
              <w:rPr>
                <w:sz w:val="16"/>
              </w:rPr>
              <w:t xml:space="preserve">вводной фразы </w:t>
            </w:r>
          </w:p>
          <w:p>
            <w:pPr>
              <w:pStyle w:val="1"/>
              <w:jc w:val="both"/>
            </w:pPr>
            <w:r>
              <w:rPr>
                <w:sz w:val="16"/>
              </w:rPr>
              <w:t xml:space="preserve">и </w:t>
            </w:r>
            <w:hyperlink w:history="0" r:id="rId384"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перечень</w:t>
              </w:r>
            </w:hyperlink>
            <w:r>
              <w:rPr>
                <w:sz w:val="16"/>
              </w:rPr>
            </w:r>
          </w:p>
          <w:p>
            <w:pPr>
              <w:pStyle w:val="1"/>
              <w:jc w:val="both"/>
            </w:pPr>
            <w:r>
              <w:rPr>
                <w:sz w:val="16"/>
              </w:rPr>
              <w:t xml:space="preserve">видов         </w:t>
            </w:r>
          </w:p>
          <w:p>
            <w:pPr>
              <w:pStyle w:val="1"/>
              <w:jc w:val="both"/>
            </w:pPr>
            <w:r>
              <w:rPr>
                <w:sz w:val="16"/>
              </w:rPr>
              <w:t xml:space="preserve">деятельности  </w:t>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VII, </w:t>
            </w:r>
            <w:hyperlink w:history="0" w:anchor="P2799" w:tooltip="Часть 1">
              <w:r>
                <w:rPr>
                  <w:sz w:val="16"/>
                  <w:color w:val="0000ff"/>
                </w:rPr>
                <w:t xml:space="preserve">часть 1</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hyperlink w:history="0" r:id="rId385"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Приложение II</w:t>
              </w:r>
            </w:hyperlink>
            <w:r>
              <w:rPr>
                <w:sz w:val="16"/>
              </w:rPr>
            </w:r>
          </w:p>
          <w:p>
            <w:pPr>
              <w:pStyle w:val="1"/>
              <w:jc w:val="both"/>
            </w:pPr>
            <w:r>
              <w:rPr>
                <w:sz w:val="16"/>
              </w:rPr>
              <w:t xml:space="preserve">A             </w:t>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VII, </w:t>
            </w:r>
            <w:hyperlink w:history="0" w:anchor="P2858" w:tooltip="Часть 2">
              <w:r>
                <w:rPr>
                  <w:sz w:val="16"/>
                  <w:color w:val="0000ff"/>
                </w:rPr>
                <w:t xml:space="preserve">части 2</w:t>
              </w:r>
            </w:hyperlink>
            <w:r>
              <w:rPr>
                <w:sz w:val="16"/>
              </w:rPr>
            </w:r>
          </w:p>
          <w:p>
            <w:pPr>
              <w:pStyle w:val="1"/>
              <w:jc w:val="both"/>
            </w:pPr>
            <w:r>
              <w:rPr>
                <w:sz w:val="16"/>
              </w:rPr>
              <w:t xml:space="preserve">и </w:t>
            </w:r>
            <w:hyperlink w:history="0" w:anchor="P3196" w:tooltip="Часть 3">
              <w:r>
                <w:rPr>
                  <w:sz w:val="16"/>
                  <w:color w:val="0000ff"/>
                </w:rPr>
                <w:t xml:space="preserve">3</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t xml:space="preserve">Приложение II </w:t>
            </w:r>
          </w:p>
          <w:p>
            <w:pPr>
              <w:pStyle w:val="1"/>
              <w:jc w:val="both"/>
            </w:pPr>
            <w:r>
              <w:rPr>
                <w:sz w:val="16"/>
              </w:rPr>
              <w:t xml:space="preserve">A, часть II,  </w:t>
            </w:r>
          </w:p>
          <w:p>
            <w:pPr>
              <w:pStyle w:val="1"/>
              <w:jc w:val="both"/>
            </w:pPr>
            <w:r>
              <w:rPr>
                <w:sz w:val="16"/>
              </w:rPr>
              <w:t xml:space="preserve">последнее     </w:t>
            </w:r>
          </w:p>
          <w:p>
            <w:pPr>
              <w:pStyle w:val="1"/>
              <w:jc w:val="both"/>
            </w:pPr>
            <w:r>
              <w:rPr>
                <w:sz w:val="16"/>
              </w:rPr>
              <w:t xml:space="preserve">предложение   </w:t>
            </w:r>
          </w:p>
          <w:p>
            <w:pPr>
              <w:pStyle w:val="1"/>
              <w:jc w:val="both"/>
            </w:pPr>
            <w:r>
              <w:rPr>
                <w:sz w:val="16"/>
              </w:rPr>
            </w:r>
            <w:hyperlink w:history="0" r:id="rId386"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параграфа 6</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t xml:space="preserve">Приложение II </w:t>
            </w:r>
          </w:p>
          <w:p>
            <w:pPr>
              <w:pStyle w:val="1"/>
              <w:jc w:val="both"/>
            </w:pPr>
            <w:r>
              <w:rPr>
                <w:sz w:val="16"/>
              </w:rPr>
              <w:t xml:space="preserve">B, пункт 1,   </w:t>
            </w:r>
          </w:p>
          <w:p>
            <w:pPr>
              <w:pStyle w:val="1"/>
              <w:jc w:val="both"/>
            </w:pPr>
            <w:r>
              <w:rPr>
                <w:sz w:val="16"/>
              </w:rPr>
            </w:r>
            <w:hyperlink w:history="0" r:id="rId387"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первое</w:t>
              </w:r>
            </w:hyperlink>
            <w:r>
              <w:rPr>
                <w:sz w:val="16"/>
              </w:rPr>
              <w:t xml:space="preserve"> и      </w:t>
            </w:r>
          </w:p>
          <w:p>
            <w:pPr>
              <w:pStyle w:val="1"/>
              <w:jc w:val="both"/>
            </w:pPr>
            <w:r>
              <w:rPr>
                <w:sz w:val="16"/>
              </w:rPr>
            </w:r>
            <w:hyperlink w:history="0" r:id="rId388"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второе</w:t>
              </w:r>
            </w:hyperlink>
            <w:r>
              <w:rPr>
                <w:sz w:val="16"/>
              </w:rPr>
            </w:r>
          </w:p>
          <w:p>
            <w:pPr>
              <w:pStyle w:val="1"/>
              <w:jc w:val="both"/>
            </w:pPr>
            <w:r>
              <w:rPr>
                <w:sz w:val="16"/>
              </w:rPr>
              <w:t xml:space="preserve">предложение   </w:t>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59    </w:t>
            </w:r>
          </w:p>
          <w:p>
            <w:pPr>
              <w:pStyle w:val="1"/>
              <w:jc w:val="both"/>
            </w:pPr>
            <w:r>
              <w:rPr>
                <w:sz w:val="16"/>
              </w:rPr>
              <w:t xml:space="preserve">(1), первый  </w:t>
            </w:r>
          </w:p>
          <w:p>
            <w:pPr>
              <w:pStyle w:val="1"/>
              <w:jc w:val="both"/>
            </w:pPr>
            <w:r>
              <w:rPr>
                <w:sz w:val="16"/>
              </w:rPr>
              <w:t xml:space="preserve">подпараграф, </w:t>
            </w:r>
          </w:p>
          <w:p>
            <w:pPr>
              <w:pStyle w:val="1"/>
              <w:jc w:val="both"/>
            </w:pPr>
            <w:r>
              <w:rPr>
                <w:sz w:val="16"/>
              </w:rPr>
            </w:r>
            <w:hyperlink w:history="0" w:anchor="P982" w:tooltip="b) соблюдены требования схемы сокращения выбросов, предусмотренной частью 5 Приложения VII к настоящей Директиве, при условии, что достигнуто сокращение выбросов, эквивалентное сокращению, достижимому посредством применения пороговых значений выбросов, указанных в пункте &quot;a&quot; настоящего параграфа.">
              <w:r>
                <w:rPr>
                  <w:sz w:val="16"/>
                  <w:color w:val="0000ff"/>
                </w:rPr>
                <w:t xml:space="preserve">пункт "b"</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t xml:space="preserve">Приложение II </w:t>
            </w:r>
          </w:p>
          <w:p>
            <w:pPr>
              <w:pStyle w:val="1"/>
              <w:jc w:val="both"/>
            </w:pPr>
            <w:r>
              <w:rPr>
                <w:sz w:val="16"/>
              </w:rPr>
              <w:t xml:space="preserve">B, пункт 1,   </w:t>
            </w:r>
          </w:p>
          <w:p>
            <w:pPr>
              <w:pStyle w:val="1"/>
              <w:jc w:val="both"/>
            </w:pPr>
            <w:r>
              <w:rPr>
                <w:sz w:val="16"/>
              </w:rPr>
            </w:r>
            <w:hyperlink w:history="0" r:id="rId389"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третье</w:t>
              </w:r>
            </w:hyperlink>
            <w:r>
              <w:rPr>
                <w:sz w:val="16"/>
              </w:rPr>
            </w:r>
          </w:p>
          <w:p>
            <w:pPr>
              <w:pStyle w:val="1"/>
              <w:jc w:val="both"/>
            </w:pPr>
            <w:r>
              <w:rPr>
                <w:sz w:val="16"/>
              </w:rPr>
              <w:t xml:space="preserve">предложение   </w:t>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59    </w:t>
            </w:r>
          </w:p>
          <w:p>
            <w:pPr>
              <w:pStyle w:val="1"/>
              <w:jc w:val="both"/>
            </w:pPr>
            <w:r>
              <w:rPr>
                <w:sz w:val="16"/>
              </w:rPr>
            </w:r>
            <w:hyperlink w:history="0" w:anchor="P983" w:tooltip="Государства-члены ЕС сообщают Европейской комиссии в соответствии со статьей 72 (1) настоящей Директивы о достижении эквивалентного сокращения выбросов, указанного в пункте &quot;b&quot; настоящего параграфа.">
              <w:r>
                <w:rPr>
                  <w:sz w:val="16"/>
                  <w:color w:val="0000ff"/>
                </w:rPr>
                <w:t xml:space="preserve">(1), второй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t xml:space="preserve">Приложение II </w:t>
            </w:r>
          </w:p>
          <w:p>
            <w:pPr>
              <w:pStyle w:val="1"/>
              <w:jc w:val="both"/>
            </w:pPr>
            <w:r>
              <w:rPr>
                <w:sz w:val="16"/>
              </w:rPr>
              <w:t xml:space="preserve">B, </w:t>
            </w:r>
            <w:hyperlink w:history="0" r:id="rId390"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пункт 2</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VII, </w:t>
            </w:r>
            <w:hyperlink w:history="0" w:anchor="P3269" w:tooltip="Часть 5">
              <w:r>
                <w:rPr>
                  <w:sz w:val="16"/>
                  <w:color w:val="0000ff"/>
                </w:rPr>
                <w:t xml:space="preserve">часть 5</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t xml:space="preserve">Приложение II </w:t>
            </w:r>
          </w:p>
          <w:p>
            <w:pPr>
              <w:pStyle w:val="1"/>
              <w:jc w:val="both"/>
            </w:pPr>
            <w:r>
              <w:rPr>
                <w:sz w:val="16"/>
              </w:rPr>
              <w:t xml:space="preserve">B, пункт 2,   </w:t>
            </w:r>
          </w:p>
          <w:p>
            <w:pPr>
              <w:pStyle w:val="1"/>
              <w:jc w:val="both"/>
            </w:pPr>
            <w:r>
              <w:rPr>
                <w:sz w:val="16"/>
              </w:rPr>
              <w:t xml:space="preserve">второй        </w:t>
            </w:r>
          </w:p>
          <w:p>
            <w:pPr>
              <w:pStyle w:val="1"/>
              <w:jc w:val="both"/>
            </w:pPr>
            <w:r>
              <w:rPr>
                <w:sz w:val="16"/>
              </w:rPr>
              <w:t xml:space="preserve">подпараграф   </w:t>
            </w:r>
          </w:p>
          <w:p>
            <w:pPr>
              <w:pStyle w:val="1"/>
              <w:jc w:val="both"/>
            </w:pPr>
            <w:r>
              <w:rPr>
                <w:sz w:val="16"/>
              </w:rPr>
            </w:r>
            <w:hyperlink w:history="0" r:id="rId391"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"i"</w:t>
              </w:r>
            </w:hyperlink>
            <w:r>
              <w:rPr>
                <w:sz w:val="16"/>
              </w:rPr>
              <w:t xml:space="preserve"> и таблица </w:t>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t xml:space="preserve">Приложение    </w:t>
            </w:r>
          </w:p>
          <w:p>
            <w:pPr>
              <w:pStyle w:val="1"/>
              <w:jc w:val="both"/>
            </w:pPr>
            <w:r>
              <w:rPr>
                <w:sz w:val="16"/>
              </w:rPr>
              <w:t xml:space="preserve">III, </w:t>
            </w:r>
            <w:hyperlink w:history="0" r:id="rId392"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пункт 1</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t xml:space="preserve">Приложение    </w:t>
            </w:r>
          </w:p>
          <w:p>
            <w:pPr>
              <w:pStyle w:val="1"/>
              <w:jc w:val="both"/>
            </w:pPr>
            <w:r>
              <w:rPr>
                <w:sz w:val="16"/>
              </w:rPr>
              <w:t xml:space="preserve">III, </w:t>
            </w:r>
            <w:hyperlink w:history="0" r:id="rId393"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пункт 2</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VII, часть 7,</w:t>
            </w:r>
          </w:p>
          <w:p>
            <w:pPr>
              <w:pStyle w:val="1"/>
              <w:jc w:val="both"/>
            </w:pPr>
            <w:r>
              <w:rPr>
                <w:sz w:val="16"/>
              </w:rPr>
            </w:r>
            <w:hyperlink w:history="0" w:anchor="P3321" w:tooltip="1. Принципы">
              <w:r>
                <w:rPr>
                  <w:sz w:val="16"/>
                  <w:color w:val="0000ff"/>
                </w:rPr>
                <w:t xml:space="preserve">пункт 1</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t xml:space="preserve">Приложение    </w:t>
            </w:r>
          </w:p>
          <w:p>
            <w:pPr>
              <w:pStyle w:val="1"/>
              <w:jc w:val="both"/>
            </w:pPr>
            <w:r>
              <w:rPr>
                <w:sz w:val="16"/>
              </w:rPr>
              <w:t xml:space="preserve">III, </w:t>
            </w:r>
            <w:hyperlink w:history="0" r:id="rId394"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пункт 3</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VII, часть 7,</w:t>
            </w:r>
          </w:p>
          <w:p>
            <w:pPr>
              <w:pStyle w:val="1"/>
              <w:jc w:val="both"/>
            </w:pPr>
            <w:r>
              <w:rPr>
                <w:sz w:val="16"/>
              </w:rPr>
            </w:r>
            <w:hyperlink w:history="0" w:anchor="P3326" w:tooltip="2. Определения">
              <w:r>
                <w:rPr>
                  <w:sz w:val="16"/>
                  <w:color w:val="0000ff"/>
                </w:rPr>
                <w:t xml:space="preserve">пункт 2</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t xml:space="preserve">Приложение    </w:t>
            </w:r>
          </w:p>
          <w:p>
            <w:pPr>
              <w:pStyle w:val="1"/>
              <w:jc w:val="both"/>
            </w:pPr>
            <w:r>
              <w:rPr>
                <w:sz w:val="16"/>
              </w:rPr>
              <w:t xml:space="preserve">III, </w:t>
            </w:r>
            <w:hyperlink w:history="0" r:id="rId395" w:tooltip="Директива N 1999/13/ЕС Совета Европейского Союза &quot;Об ограничении выбросов летучих органических соединений вследствие использования органических растворителей в определенной деятельности и установках&quot; [рус., англ.] (Вместе со &quot;Сферой действия&quot;, &lt;Программами сокращения выбросов, расхода растворителей&gt;) (Принята в г. Брюсселе 11.03.1999) ------------ Утратил силу или отменен {КонсультантПлюс}">
              <w:r>
                <w:rPr>
                  <w:sz w:val="16"/>
                  <w:color w:val="0000ff"/>
                </w:rPr>
                <w:t xml:space="preserve">пункт 4</w:t>
              </w:r>
            </w:hyperlink>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VII, часть 7,</w:t>
            </w:r>
          </w:p>
          <w:p>
            <w:pPr>
              <w:pStyle w:val="1"/>
              <w:jc w:val="both"/>
            </w:pPr>
            <w:r>
              <w:rPr>
                <w:sz w:val="16"/>
              </w:rPr>
            </w:r>
            <w:hyperlink w:history="0" w:anchor="P3341" w:tooltip="3. Использование плана обращения с растворителями для проверки соблюдения.">
              <w:r>
                <w:rPr>
                  <w:sz w:val="16"/>
                  <w:color w:val="0000ff"/>
                </w:rPr>
                <w:t xml:space="preserve">пункт 3</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    </w:t>
            </w:r>
          </w:p>
          <w:p>
            <w:pPr>
              <w:pStyle w:val="1"/>
              <w:jc w:val="both"/>
            </w:pPr>
            <w:r>
              <w:rPr>
                <w:sz w:val="16"/>
              </w:rPr>
            </w:r>
            <w:hyperlink w:history="0" r:id="rId396"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первый</w:t>
              </w:r>
            </w:hyperlink>
            <w:r>
              <w:rPr>
                <w:sz w:val="16"/>
              </w:rPr>
            </w:r>
          </w:p>
          <w:p>
            <w:pPr>
              <w:pStyle w:val="1"/>
              <w:jc w:val="both"/>
            </w:pPr>
            <w:r>
              <w:rPr>
                <w:sz w:val="16"/>
              </w:rPr>
              <w:t xml:space="preserve">параграф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769" w:tooltip="Статья 42">
              <w:r>
                <w:rPr>
                  <w:sz w:val="16"/>
                  <w:color w:val="0000ff"/>
                </w:rPr>
                <w:t xml:space="preserve">Статья 42</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    </w:t>
            </w:r>
          </w:p>
          <w:p>
            <w:pPr>
              <w:pStyle w:val="1"/>
              <w:jc w:val="both"/>
            </w:pPr>
            <w:r>
              <w:rPr>
                <w:sz w:val="16"/>
              </w:rPr>
            </w:r>
            <w:hyperlink w:history="0" r:id="rId397"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второй</w:t>
              </w:r>
            </w:hyperlink>
            <w:r>
              <w:rPr>
                <w:sz w:val="16"/>
              </w:rPr>
            </w:r>
          </w:p>
          <w:p>
            <w:pPr>
              <w:pStyle w:val="1"/>
              <w:jc w:val="both"/>
            </w:pPr>
            <w:r>
              <w:rPr>
                <w:sz w:val="16"/>
              </w:rPr>
              <w:t xml:space="preserve">параграф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398"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2 (1)</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42    </w:t>
            </w:r>
          </w:p>
          <w:p>
            <w:pPr>
              <w:pStyle w:val="1"/>
              <w:jc w:val="both"/>
            </w:pPr>
            <w:r>
              <w:rPr>
                <w:sz w:val="16"/>
              </w:rPr>
            </w:r>
            <w:hyperlink w:history="0" w:anchor="P773" w:tooltip="1. Настоящая глава применяется по отношению к заводам по сжиганию отходов и заводам по совместному сжиганию отходов, которые осуществляют сжигание или совместное сжигание твердых или жидких отходов.">
              <w:r>
                <w:rPr>
                  <w:sz w:val="16"/>
                  <w:color w:val="0000ff"/>
                </w:rPr>
                <w:t xml:space="preserve">(1), первый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42    </w:t>
            </w:r>
          </w:p>
          <w:p>
            <w:pPr>
              <w:pStyle w:val="1"/>
              <w:jc w:val="both"/>
            </w:pPr>
            <w:r>
              <w:rPr>
                <w:sz w:val="16"/>
              </w:rPr>
            </w:r>
            <w:hyperlink w:history="0" w:anchor="P774" w:tooltip="Настоящая глава не применяется по отношению к заводам, осуществляющим газификацию или пиролиз, если газы, образующиеся в результате применения таких видов тепловой обработки, перед сжиганием очищаются до такой степени, что больше не относятся к отходам, а выбросы, образующиеся в результате их сжигания, не выше, чем выбросы от сжигания природного газа.">
              <w:r>
                <w:rPr>
                  <w:sz w:val="16"/>
                  <w:color w:val="0000ff"/>
                </w:rPr>
                <w:t xml:space="preserve">(1), второй</w:t>
              </w:r>
            </w:hyperlink>
            <w:r>
              <w:rPr>
                <w:sz w:val="16"/>
              </w:rPr>
              <w:t xml:space="preserve"> -</w:t>
            </w:r>
          </w:p>
          <w:p>
            <w:pPr>
              <w:pStyle w:val="1"/>
              <w:jc w:val="both"/>
            </w:pPr>
            <w:r>
              <w:rPr>
                <w:sz w:val="16"/>
              </w:rPr>
            </w:r>
            <w:hyperlink w:history="0" w:anchor="P777" w:tooltip="Если совместное сжигание отходов осуществляется таким образом, что основной задачей завода не является производство энергии или производство продукции, но тепловая обработка отходов, завод считается заводом по сжиганию отходов.">
              <w:r>
                <w:rPr>
                  <w:sz w:val="16"/>
                  <w:color w:val="0000ff"/>
                </w:rPr>
                <w:t xml:space="preserve">пятый</w:t>
              </w:r>
            </w:hyperlink>
            <w:r>
              <w:rPr>
                <w:sz w:val="16"/>
              </w:rPr>
            </w:r>
          </w:p>
          <w:p>
            <w:pPr>
              <w:pStyle w:val="1"/>
              <w:jc w:val="both"/>
            </w:pPr>
            <w:r>
              <w:rPr>
                <w:sz w:val="16"/>
              </w:rPr>
              <w:t xml:space="preserve">подпараграфы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2 (2),</w:t>
            </w:r>
          </w:p>
          <w:p>
            <w:pPr>
              <w:pStyle w:val="1"/>
              <w:jc w:val="both"/>
            </w:pPr>
            <w:r>
              <w:rPr>
                <w:sz w:val="16"/>
              </w:rPr>
            </w:r>
            <w:hyperlink w:history="0" r:id="rId399"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вводная фраза</w:t>
              </w:r>
            </w:hyperlink>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42    </w:t>
            </w:r>
          </w:p>
          <w:p>
            <w:pPr>
              <w:pStyle w:val="1"/>
              <w:jc w:val="both"/>
            </w:pPr>
            <w:r>
              <w:rPr>
                <w:sz w:val="16"/>
              </w:rPr>
            </w:r>
            <w:hyperlink w:history="0" w:anchor="P778" w:tooltip="2. Настоящая глава не применяется по отношению к следующим видам заводов:">
              <w:r>
                <w:rPr>
                  <w:sz w:val="16"/>
                  <w:color w:val="0000ff"/>
                </w:rPr>
                <w:t xml:space="preserve">(2), вводная</w:t>
              </w:r>
            </w:hyperlink>
            <w:r>
              <w:rPr>
                <w:sz w:val="16"/>
              </w:rPr>
            </w:r>
          </w:p>
          <w:p>
            <w:pPr>
              <w:pStyle w:val="1"/>
              <w:jc w:val="both"/>
            </w:pPr>
            <w:r>
              <w:rPr>
                <w:sz w:val="16"/>
              </w:rPr>
              <w:t xml:space="preserve">фраза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2 (2) </w:t>
            </w:r>
          </w:p>
          <w:p>
            <w:pPr>
              <w:pStyle w:val="1"/>
              <w:jc w:val="both"/>
            </w:pPr>
            <w:r>
              <w:rPr>
                <w:sz w:val="16"/>
              </w:rPr>
            </w:r>
            <w:hyperlink w:history="0" r:id="rId400"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"a", вводная</w:t>
              </w:r>
            </w:hyperlink>
            <w:r>
              <w:rPr>
                <w:sz w:val="16"/>
              </w:rPr>
            </w:r>
          </w:p>
          <w:p>
            <w:pPr>
              <w:pStyle w:val="1"/>
              <w:jc w:val="both"/>
            </w:pPr>
            <w:r>
              <w:rPr>
                <w:sz w:val="16"/>
              </w:rPr>
              <w:t xml:space="preserve">фраза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42 (2)</w:t>
            </w:r>
          </w:p>
          <w:p>
            <w:pPr>
              <w:pStyle w:val="1"/>
              <w:jc w:val="both"/>
            </w:pPr>
            <w:r>
              <w:rPr>
                <w:sz w:val="16"/>
              </w:rPr>
            </w:r>
            <w:hyperlink w:history="0" w:anchor="P779" w:tooltip="a) заводам, обрабатывающим только следующие виды отходов:">
              <w:r>
                <w:rPr>
                  <w:sz w:val="16"/>
                  <w:color w:val="0000ff"/>
                </w:rPr>
                <w:t xml:space="preserve">"a", вводная</w:t>
              </w:r>
            </w:hyperlink>
            <w:r>
              <w:rPr>
                <w:sz w:val="16"/>
              </w:rPr>
            </w:r>
          </w:p>
          <w:p>
            <w:pPr>
              <w:pStyle w:val="1"/>
              <w:jc w:val="both"/>
            </w:pPr>
            <w:r>
              <w:rPr>
                <w:sz w:val="16"/>
              </w:rPr>
              <w:t xml:space="preserve">фраза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2 (2) </w:t>
            </w:r>
          </w:p>
          <w:p>
            <w:pPr>
              <w:pStyle w:val="1"/>
              <w:jc w:val="both"/>
            </w:pPr>
            <w:r>
              <w:rPr>
                <w:sz w:val="16"/>
              </w:rPr>
              <w:t xml:space="preserve">"a", пункты  </w:t>
            </w:r>
          </w:p>
          <w:p>
            <w:pPr>
              <w:pStyle w:val="1"/>
              <w:jc w:val="both"/>
            </w:pPr>
            <w:r>
              <w:rPr>
                <w:sz w:val="16"/>
              </w:rPr>
            </w:r>
            <w:hyperlink w:history="0" r:id="rId401"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"i"</w:t>
              </w:r>
            </w:hyperlink>
            <w:r>
              <w:rPr>
                <w:sz w:val="16"/>
              </w:rPr>
              <w:t xml:space="preserve"> - </w:t>
            </w:r>
            <w:hyperlink w:history="0" r:id="rId402"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"v"</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42 (2)</w:t>
            </w:r>
          </w:p>
          <w:p>
            <w:pPr>
              <w:pStyle w:val="1"/>
              <w:jc w:val="both"/>
            </w:pPr>
            <w:r>
              <w:rPr>
                <w:sz w:val="16"/>
              </w:rPr>
              <w:t xml:space="preserve">"a",         </w:t>
            </w:r>
          </w:p>
          <w:p>
            <w:pPr>
              <w:pStyle w:val="1"/>
              <w:jc w:val="both"/>
            </w:pPr>
            <w:r>
              <w:rPr>
                <w:sz w:val="16"/>
              </w:rPr>
            </w:r>
            <w:hyperlink w:history="0" w:anchor="P780" w:tooltip="i) отходы, перечисленные в подпункте &quot;b&quot; пункта 31 статьи 3 настоящей Директивы;">
              <w:r>
                <w:rPr>
                  <w:sz w:val="16"/>
                  <w:color w:val="0000ff"/>
                </w:rPr>
                <w:t xml:space="preserve">пункт "i"</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2 (2) </w:t>
            </w:r>
          </w:p>
          <w:p>
            <w:pPr>
              <w:pStyle w:val="1"/>
              <w:jc w:val="both"/>
            </w:pPr>
            <w:r>
              <w:rPr>
                <w:sz w:val="16"/>
              </w:rPr>
              <w:t xml:space="preserve">"a", пункт   </w:t>
            </w:r>
          </w:p>
          <w:p>
            <w:pPr>
              <w:pStyle w:val="1"/>
              <w:jc w:val="both"/>
            </w:pPr>
            <w:r>
              <w:rPr>
                <w:sz w:val="16"/>
              </w:rPr>
            </w:r>
            <w:hyperlink w:history="0" r:id="rId403"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"vi"</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42 (2)</w:t>
            </w:r>
          </w:p>
          <w:p>
            <w:pPr>
              <w:pStyle w:val="1"/>
              <w:jc w:val="both"/>
            </w:pPr>
            <w:r>
              <w:rPr>
                <w:sz w:val="16"/>
              </w:rPr>
              <w:t xml:space="preserve">"a",         </w:t>
            </w:r>
          </w:p>
          <w:p>
            <w:pPr>
              <w:pStyle w:val="1"/>
              <w:jc w:val="both"/>
            </w:pPr>
            <w:r>
              <w:rPr>
                <w:sz w:val="16"/>
              </w:rPr>
            </w:r>
            <w:hyperlink w:history="0" w:anchor="P781" w:tooltip="ii) радиоактивные отходы;">
              <w:r>
                <w:rPr>
                  <w:sz w:val="16"/>
                  <w:color w:val="0000ff"/>
                </w:rPr>
                <w:t xml:space="preserve">пункт "ii"</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2 (2) </w:t>
            </w:r>
          </w:p>
          <w:p>
            <w:pPr>
              <w:pStyle w:val="1"/>
              <w:jc w:val="both"/>
            </w:pPr>
            <w:r>
              <w:rPr>
                <w:sz w:val="16"/>
              </w:rPr>
              <w:t xml:space="preserve">"a", пункт   </w:t>
            </w:r>
          </w:p>
          <w:p>
            <w:pPr>
              <w:pStyle w:val="1"/>
              <w:jc w:val="both"/>
            </w:pPr>
            <w:r>
              <w:rPr>
                <w:sz w:val="16"/>
              </w:rPr>
            </w:r>
            <w:hyperlink w:history="0" r:id="rId404"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"vii"</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42 (2)</w:t>
            </w:r>
          </w:p>
          <w:p>
            <w:pPr>
              <w:pStyle w:val="1"/>
              <w:jc w:val="both"/>
            </w:pPr>
            <w:r>
              <w:rPr>
                <w:sz w:val="16"/>
              </w:rPr>
              <w:t xml:space="preserve">"a",         </w:t>
            </w:r>
          </w:p>
          <w:p>
            <w:pPr>
              <w:pStyle w:val="1"/>
              <w:jc w:val="both"/>
            </w:pPr>
            <w:r>
              <w:rPr>
                <w:sz w:val="16"/>
              </w:rPr>
            </w:r>
            <w:hyperlink w:history="0" w:anchor="P782" w:tooltip="iii) останки животных, как предусмотрено Регламентом (ЕС) 1774/2002 Европейского парламента и Совета ЕС от 3 октября 2002 г., устанавливающим правила в отношении субпродуктов животного происхождения, не предназначенных для употребления человеком &lt;*&gt;;">
              <w:r>
                <w:rPr>
                  <w:sz w:val="16"/>
                  <w:color w:val="0000ff"/>
                </w:rPr>
                <w:t xml:space="preserve">пункт "iii"</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2 (2) </w:t>
            </w:r>
          </w:p>
          <w:p>
            <w:pPr>
              <w:pStyle w:val="1"/>
              <w:jc w:val="both"/>
            </w:pPr>
            <w:r>
              <w:rPr>
                <w:sz w:val="16"/>
              </w:rPr>
              <w:t xml:space="preserve">"a", пункт   </w:t>
            </w:r>
          </w:p>
          <w:p>
            <w:pPr>
              <w:pStyle w:val="1"/>
              <w:jc w:val="both"/>
            </w:pPr>
            <w:r>
              <w:rPr>
                <w:sz w:val="16"/>
              </w:rPr>
            </w:r>
            <w:hyperlink w:history="0" r:id="rId405"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"viii"</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42 (2)</w:t>
            </w:r>
          </w:p>
          <w:p>
            <w:pPr>
              <w:pStyle w:val="1"/>
              <w:jc w:val="both"/>
            </w:pPr>
            <w:r>
              <w:rPr>
                <w:sz w:val="16"/>
              </w:rPr>
              <w:t xml:space="preserve">"a",         </w:t>
            </w:r>
          </w:p>
          <w:p>
            <w:pPr>
              <w:pStyle w:val="1"/>
              <w:jc w:val="both"/>
            </w:pPr>
            <w:r>
              <w:rPr>
                <w:sz w:val="16"/>
              </w:rPr>
            </w:r>
            <w:hyperlink w:history="0" w:anchor="P786" w:tooltip="iv) отходы, образующиеся в результате разведывания и разработки запасов нефти и газа с помощью морских установок и сжигаемые на таких установках;">
              <w:r>
                <w:rPr>
                  <w:sz w:val="16"/>
                  <w:color w:val="0000ff"/>
                </w:rPr>
                <w:t xml:space="preserve">пункт "iv"</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2 (2) </w:t>
            </w:r>
          </w:p>
          <w:p>
            <w:pPr>
              <w:pStyle w:val="1"/>
              <w:jc w:val="both"/>
            </w:pPr>
            <w:r>
              <w:rPr>
                <w:sz w:val="16"/>
              </w:rPr>
            </w:r>
            <w:hyperlink w:history="0" r:id="rId406"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"b"</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42 (2)</w:t>
            </w:r>
          </w:p>
          <w:p>
            <w:pPr>
              <w:pStyle w:val="1"/>
              <w:jc w:val="both"/>
            </w:pPr>
            <w:r>
              <w:rPr>
                <w:sz w:val="16"/>
              </w:rPr>
            </w:r>
            <w:hyperlink w:history="0" w:anchor="P787" w:tooltip="b) экспериментальным заводам, занимающимся научно-исследовательскими и опытно-конструкторскими работами, а также тестированием в целях повышения качества процесса сжигания, которые обрабатывают менее 50 тонн отходов в год.">
              <w:r>
                <w:rPr>
                  <w:sz w:val="16"/>
                  <w:color w:val="0000ff"/>
                </w:rPr>
                <w:t xml:space="preserve">"b"</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3 (2),</w:t>
            </w:r>
          </w:p>
          <w:p>
            <w:pPr>
              <w:pStyle w:val="1"/>
              <w:jc w:val="both"/>
            </w:pPr>
            <w:r>
              <w:rPr>
                <w:sz w:val="16"/>
              </w:rPr>
            </w:r>
            <w:hyperlink w:history="0" r:id="rId407"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первый</w:t>
              </w:r>
            </w:hyperlink>
            <w:r>
              <w:rPr>
                <w:sz w:val="16"/>
              </w:rPr>
            </w:r>
          </w:p>
          <w:p>
            <w:pPr>
              <w:pStyle w:val="1"/>
              <w:jc w:val="both"/>
            </w:pPr>
            <w:r>
              <w:rPr>
                <w:sz w:val="16"/>
              </w:rPr>
              <w:t xml:space="preserve">подпараграф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215" w:tooltip="38) под &quot;опасными отходами&quot; понимаются опасные отходы в значении пункта 2 статьи 3 Директивы 2008/98/ЕС;">
              <w:r>
                <w:rPr>
                  <w:sz w:val="16"/>
                  <w:color w:val="0000ff"/>
                </w:rPr>
                <w:t xml:space="preserve">Статья 3 (38)</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3 (2),</w:t>
            </w:r>
          </w:p>
          <w:p>
            <w:pPr>
              <w:pStyle w:val="1"/>
              <w:jc w:val="both"/>
            </w:pPr>
            <w:r>
              <w:rPr>
                <w:sz w:val="16"/>
              </w:rPr>
            </w:r>
            <w:hyperlink w:history="0" r:id="rId408"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второй</w:t>
              </w:r>
            </w:hyperlink>
            <w:r>
              <w:rPr>
                <w:sz w:val="16"/>
              </w:rPr>
            </w:r>
          </w:p>
          <w:p>
            <w:pPr>
              <w:pStyle w:val="1"/>
              <w:jc w:val="both"/>
            </w:pPr>
            <w:r>
              <w:rPr>
                <w:sz w:val="16"/>
              </w:rPr>
              <w:t xml:space="preserve">подпараграф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09"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3 (3)</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216" w:tooltip="39) под &quot;смешанными бытовыми отходами&quot; понимаются бытовые отходы, а также коммерческие, промышленные и институционные отходы, которые ввиду своей природы и состава схожи с бытовыми отходами, за исключением фракций, указанных в пункте 20 01 приложения к Решению 2000/532/ЕС &lt;*&gt;, которые собираются отдельно у источника, а также за исключением иных отходов, указанных в пункте 20 02 данного приложения;">
              <w:r>
                <w:rPr>
                  <w:sz w:val="16"/>
                  <w:color w:val="0000ff"/>
                </w:rPr>
                <w:t xml:space="preserve">Статья 3 (39)</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3 (4),</w:t>
            </w:r>
          </w:p>
          <w:p>
            <w:pPr>
              <w:pStyle w:val="1"/>
              <w:jc w:val="both"/>
            </w:pPr>
            <w:r>
              <w:rPr>
                <w:sz w:val="16"/>
              </w:rPr>
            </w:r>
            <w:hyperlink w:history="0" r:id="rId410"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первый</w:t>
              </w:r>
            </w:hyperlink>
            <w:r>
              <w:rPr>
                <w:sz w:val="16"/>
              </w:rPr>
            </w:r>
          </w:p>
          <w:p>
            <w:pPr>
              <w:pStyle w:val="1"/>
              <w:jc w:val="both"/>
            </w:pPr>
            <w:r>
              <w:rPr>
                <w:sz w:val="16"/>
              </w:rPr>
              <w:t xml:space="preserve">подпараграф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220" w:tooltip="40) под &quot;заводом по сжиганию отходов&quot; понимается любой стационарный или перемещаемый технический комплекс и оборудование, предназначенное для тепловой обработки отходов, вне зависимости от извлечения образующегося при сгорании тепла; сжигание отходов осуществляется путем оксидации, а также при помощи других видов тепловой обработки, таких как пиролиз, газификация, плазменная обработка, если образующиеся в результате обработки вещества впоследствии сжигаются;">
              <w:r>
                <w:rPr>
                  <w:sz w:val="16"/>
                  <w:color w:val="0000ff"/>
                </w:rPr>
                <w:t xml:space="preserve">Статья 3 (40)</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3 (4),</w:t>
            </w:r>
          </w:p>
          <w:p>
            <w:pPr>
              <w:pStyle w:val="1"/>
              <w:jc w:val="both"/>
            </w:pPr>
            <w:r>
              <w:rPr>
                <w:sz w:val="16"/>
              </w:rPr>
            </w:r>
            <w:hyperlink w:history="0" r:id="rId411"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второй</w:t>
              </w:r>
            </w:hyperlink>
            <w:r>
              <w:rPr>
                <w:sz w:val="16"/>
              </w:rPr>
            </w:r>
          </w:p>
          <w:p>
            <w:pPr>
              <w:pStyle w:val="1"/>
              <w:jc w:val="both"/>
            </w:pPr>
            <w:r>
              <w:rPr>
                <w:sz w:val="16"/>
              </w:rPr>
              <w:t xml:space="preserve">подпараграф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42    </w:t>
            </w:r>
          </w:p>
          <w:p>
            <w:pPr>
              <w:pStyle w:val="1"/>
              <w:jc w:val="both"/>
            </w:pPr>
            <w:r>
              <w:rPr>
                <w:sz w:val="16"/>
              </w:rPr>
            </w:r>
            <w:hyperlink w:history="0" w:anchor="P775" w:tooltip="В целях настоящей главы к заводам по сжиганию отходов и заводам по совместному сжиганию отходов относятся все установки сжигания или совместного сжигания, прием отходов, хранение, оборудование для предварительной обработки, расположенное на участке, системы поставки отходов, топлива и воздуха, котлы, оборудование для переработки отработанных газов, расположенное на участке оборудование для обработки и хранения остатков и сточных вод, дымовые трубы, приборы и системы для контроля действий по сжиганию или ...">
              <w:r>
                <w:rPr>
                  <w:sz w:val="16"/>
                  <w:color w:val="0000ff"/>
                </w:rPr>
                <w:t xml:space="preserve">(1), третий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42    </w:t>
            </w:r>
          </w:p>
          <w:p>
            <w:pPr>
              <w:pStyle w:val="1"/>
              <w:jc w:val="both"/>
            </w:pPr>
            <w:r>
              <w:rPr>
                <w:sz w:val="16"/>
              </w:rPr>
              <w:t xml:space="preserve">(1),         </w:t>
            </w:r>
          </w:p>
          <w:p>
            <w:pPr>
              <w:pStyle w:val="1"/>
              <w:jc w:val="both"/>
            </w:pPr>
            <w:r>
              <w:rPr>
                <w:sz w:val="16"/>
              </w:rPr>
            </w:r>
            <w:hyperlink w:history="0" w:anchor="P776" w:tooltip="Если для тепловой обработки отходов применяются процессы, отличные от пиролиза, газификации или плазменной обработки, заводы по сжиганию отходов или по совместному сжиганию отходов должны включать как процессы тепловой обработки, так и процессы последующего сжигания.">
              <w:r>
                <w:rPr>
                  <w:sz w:val="16"/>
                  <w:color w:val="0000ff"/>
                </w:rPr>
                <w:t xml:space="preserve">четвертый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3 (5),</w:t>
            </w:r>
          </w:p>
          <w:p>
            <w:pPr>
              <w:pStyle w:val="1"/>
              <w:jc w:val="both"/>
            </w:pPr>
            <w:r>
              <w:rPr>
                <w:sz w:val="16"/>
              </w:rPr>
            </w:r>
            <w:hyperlink w:history="0" r:id="rId412"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первый</w:t>
              </w:r>
            </w:hyperlink>
            <w:r>
              <w:rPr>
                <w:sz w:val="16"/>
              </w:rPr>
            </w:r>
          </w:p>
          <w:p>
            <w:pPr>
              <w:pStyle w:val="1"/>
              <w:jc w:val="both"/>
            </w:pPr>
            <w:r>
              <w:rPr>
                <w:sz w:val="16"/>
              </w:rPr>
              <w:t xml:space="preserve">подпараграф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221" w:tooltip="41) под &quot;заводом по совместному сжиганию отходов&quot; понимается любой стационарный или перемещаемый технический комплекс, основной задачей которого является производство энергии или производство продукции и в котором отходы используются как основное или дополнительное топливо или подвергаются тепловой обработке с целью их уничтожения; сжигание отходов осуществляется путем оксидации, а также при помощи других видов тепловой обработки, таких как пиролиз, газификация или плазменная обработка, если образующиеся...">
              <w:r>
                <w:rPr>
                  <w:sz w:val="16"/>
                  <w:color w:val="0000ff"/>
                </w:rPr>
                <w:t xml:space="preserve">Статья 3 (41)</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3 (5),</w:t>
            </w:r>
          </w:p>
          <w:p>
            <w:pPr>
              <w:pStyle w:val="1"/>
              <w:jc w:val="both"/>
            </w:pPr>
            <w:r>
              <w:rPr>
                <w:sz w:val="16"/>
              </w:rPr>
            </w:r>
            <w:hyperlink w:history="0" r:id="rId413"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второй</w:t>
              </w:r>
            </w:hyperlink>
            <w:r>
              <w:rPr>
                <w:sz w:val="16"/>
              </w:rPr>
            </w:r>
          </w:p>
          <w:p>
            <w:pPr>
              <w:pStyle w:val="1"/>
              <w:jc w:val="both"/>
            </w:pPr>
            <w:r>
              <w:rPr>
                <w:sz w:val="16"/>
              </w:rPr>
              <w:t xml:space="preserve">подпараграф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42    </w:t>
            </w:r>
          </w:p>
          <w:p>
            <w:pPr>
              <w:pStyle w:val="1"/>
              <w:jc w:val="both"/>
            </w:pPr>
            <w:r>
              <w:rPr>
                <w:sz w:val="16"/>
              </w:rPr>
            </w:r>
            <w:hyperlink w:history="0" w:anchor="P777" w:tooltip="Если совместное сжигание отходов осуществляется таким образом, что основной задачей завода не является производство энергии или производство продукции, но тепловая обработка отходов, завод считается заводом по сжиганию отходов.">
              <w:r>
                <w:rPr>
                  <w:sz w:val="16"/>
                  <w:color w:val="0000ff"/>
                </w:rPr>
                <w:t xml:space="preserve">(1), пятый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3 (5),</w:t>
            </w:r>
          </w:p>
          <w:p>
            <w:pPr>
              <w:pStyle w:val="1"/>
              <w:jc w:val="both"/>
            </w:pPr>
            <w:r>
              <w:rPr>
                <w:sz w:val="16"/>
              </w:rPr>
            </w:r>
            <w:hyperlink w:history="0" r:id="rId414"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третий</w:t>
              </w:r>
            </w:hyperlink>
            <w:r>
              <w:rPr>
                <w:sz w:val="16"/>
              </w:rPr>
            </w:r>
          </w:p>
          <w:p>
            <w:pPr>
              <w:pStyle w:val="1"/>
              <w:jc w:val="both"/>
            </w:pPr>
            <w:r>
              <w:rPr>
                <w:sz w:val="16"/>
              </w:rPr>
              <w:t xml:space="preserve">подпараграф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42    </w:t>
            </w:r>
          </w:p>
          <w:p>
            <w:pPr>
              <w:pStyle w:val="1"/>
              <w:jc w:val="both"/>
            </w:pPr>
            <w:r>
              <w:rPr>
                <w:sz w:val="16"/>
              </w:rPr>
            </w:r>
            <w:hyperlink w:history="0" w:anchor="P775" w:tooltip="В целях настоящей главы к заводам по сжиганию отходов и заводам по совместному сжиганию отходов относятся все установки сжигания или совместного сжигания, прием отходов, хранение, оборудование для предварительной обработки, расположенное на участке, системы поставки отходов, топлива и воздуха, котлы, оборудование для переработки отработанных газов, расположенное на участке оборудование для обработки и хранения остатков и сточных вод, дымовые трубы, приборы и системы для контроля действий по сжиганию или ...">
              <w:r>
                <w:rPr>
                  <w:sz w:val="16"/>
                  <w:color w:val="0000ff"/>
                </w:rPr>
                <w:t xml:space="preserve">(1), третий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15"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3 (6)</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1, </w:t>
            </w:r>
          </w:p>
          <w:p>
            <w:pPr>
              <w:pStyle w:val="1"/>
              <w:jc w:val="both"/>
            </w:pPr>
            <w:r>
              <w:rPr>
                <w:sz w:val="16"/>
              </w:rPr>
            </w:r>
            <w:hyperlink w:history="0" w:anchor="P2082" w:tooltip="a) под &quot;существующим заводом по сжиганию отходов&quot; понимается один из следующих заводов:">
              <w:r>
                <w:rPr>
                  <w:sz w:val="16"/>
                  <w:color w:val="0000ff"/>
                </w:rPr>
                <w:t xml:space="preserve">пункт "a"</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16"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3 (7)</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222" w:tooltip="42) под &quot;номинальной мощностью&quot; понимается сумма мощности сжигания печей, которыми оборудован завод по сжиганию отходов или завод по совместному сжиганию отходов при конструировании и согласовании с оператором с учетом теплоты сгорания отходов, выраженная в количестве отходов, сжигаемых в час;">
              <w:r>
                <w:rPr>
                  <w:sz w:val="16"/>
                  <w:color w:val="0000ff"/>
                </w:rPr>
                <w:t xml:space="preserve">Статья 3 (42)</w:t>
              </w:r>
            </w:hyperlink>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1, </w:t>
            </w:r>
          </w:p>
          <w:p>
            <w:pPr>
              <w:pStyle w:val="1"/>
              <w:jc w:val="both"/>
            </w:pPr>
            <w:r>
              <w:rPr>
                <w:sz w:val="16"/>
              </w:rPr>
            </w:r>
            <w:hyperlink w:history="0" w:anchor="P2086" w:tooltip="b) под &quot;новым заводом по сжиганию отходов&quot; понимается завод по сжиганию отходов, на который не распространяется пункт &quot;a&quot;.">
              <w:r>
                <w:rPr>
                  <w:sz w:val="16"/>
                  <w:color w:val="0000ff"/>
                </w:rPr>
                <w:t xml:space="preserve">пункт "b"</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17"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3 (10)</w:t>
              </w:r>
            </w:hyperlink>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223" w:tooltip="43) под &quot;диоксинами и фуранами&quot; понимаются все полихлорированные дибензо-пи-диоксины и дибензофураны, перечисленные в части 2 Приложения VI к настоящей Директиве;">
              <w:r>
                <w:rPr>
                  <w:sz w:val="16"/>
                  <w:color w:val="0000ff"/>
                </w:rPr>
                <w:t xml:space="preserve">Статья 3 (43)</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18"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3 (13)</w:t>
              </w:r>
            </w:hyperlink>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789" w:tooltip="Статья 43">
              <w:r>
                <w:rPr>
                  <w:sz w:val="16"/>
                  <w:color w:val="0000ff"/>
                </w:rPr>
                <w:t xml:space="preserve">Статья 43</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19"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4 (2)</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795" w:tooltip="Статья 44">
              <w:r>
                <w:rPr>
                  <w:sz w:val="16"/>
                  <w:color w:val="0000ff"/>
                </w:rPr>
                <w:t xml:space="preserve">Статья 44</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 (4),</w:t>
            </w:r>
          </w:p>
          <w:p>
            <w:pPr>
              <w:pStyle w:val="1"/>
              <w:jc w:val="both"/>
            </w:pPr>
            <w:r>
              <w:rPr>
                <w:sz w:val="16"/>
              </w:rPr>
            </w:r>
            <w:hyperlink w:history="0" r:id="rId420"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вводная фраза</w:t>
              </w:r>
            </w:hyperlink>
          </w:p>
          <w:p>
            <w:pPr>
              <w:pStyle w:val="1"/>
              <w:jc w:val="both"/>
            </w:pPr>
            <w:r>
              <w:rPr>
                <w:sz w:val="16"/>
              </w:rPr>
              <w:t xml:space="preserve">и </w:t>
            </w:r>
            <w:hyperlink w:history="0" r:id="rId421"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пункты "a"</w:t>
              </w:r>
            </w:hyperlink>
            <w:r>
              <w:rPr>
                <w:sz w:val="16"/>
              </w:rPr>
            </w:r>
          </w:p>
          <w:p>
            <w:pPr>
              <w:pStyle w:val="1"/>
              <w:jc w:val="both"/>
            </w:pPr>
            <w:r>
              <w:rPr>
                <w:sz w:val="16"/>
              </w:rPr>
              <w:t xml:space="preserve">и </w:t>
            </w:r>
            <w:hyperlink w:history="0" r:id="rId422"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"b"</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45    </w:t>
            </w:r>
          </w:p>
          <w:p>
            <w:pPr>
              <w:pStyle w:val="1"/>
              <w:jc w:val="both"/>
            </w:pPr>
            <w:r>
              <w:rPr>
                <w:sz w:val="16"/>
              </w:rPr>
            </w:r>
            <w:hyperlink w:history="0" w:anchor="P809" w:tooltip="1. Разрешение включает следующие сведения:">
              <w:r>
                <w:rPr>
                  <w:sz w:val="16"/>
                  <w:color w:val="0000ff"/>
                </w:rPr>
                <w:t xml:space="preserve">(1), вводная</w:t>
              </w:r>
            </w:hyperlink>
            <w:r>
              <w:rPr>
                <w:sz w:val="16"/>
              </w:rPr>
            </w:r>
          </w:p>
          <w:p>
            <w:pPr>
              <w:pStyle w:val="1"/>
              <w:jc w:val="both"/>
            </w:pPr>
            <w:r>
              <w:rPr>
                <w:sz w:val="16"/>
              </w:rPr>
              <w:t xml:space="preserve">фраза и      </w:t>
            </w:r>
          </w:p>
          <w:p>
            <w:pPr>
              <w:pStyle w:val="1"/>
              <w:jc w:val="both"/>
            </w:pPr>
            <w:r>
              <w:rPr>
                <w:sz w:val="16"/>
              </w:rPr>
            </w:r>
            <w:hyperlink w:history="0" w:anchor="P810" w:tooltip="a) перечень всех видов отходов, которые могут подвергаться обработке, с использованием по возможности видов отходов, установленных в Европейском перечне отходов, утвержденном Решением 2000/532/ЕС, и указанием на количество каждого вида отходов при необходимости;">
              <w:r>
                <w:rPr>
                  <w:sz w:val="16"/>
                  <w:color w:val="0000ff"/>
                </w:rPr>
                <w:t xml:space="preserve">пункты "a"</w:t>
              </w:r>
            </w:hyperlink>
            <w:r>
              <w:rPr>
                <w:sz w:val="16"/>
              </w:rPr>
              <w:t xml:space="preserve"> и </w:t>
            </w:r>
          </w:p>
          <w:p>
            <w:pPr>
              <w:pStyle w:val="1"/>
              <w:jc w:val="both"/>
            </w:pPr>
            <w:r>
              <w:rPr>
                <w:sz w:val="16"/>
              </w:rPr>
            </w:r>
            <w:hyperlink w:history="0" w:anchor="P811" w:tooltip="b) совокупная мощность завода по сжиганию или совместному сжиганию отходов;">
              <w:r>
                <w:rPr>
                  <w:sz w:val="16"/>
                  <w:color w:val="0000ff"/>
                </w:rPr>
                <w:t xml:space="preserve">"b"</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 (4),</w:t>
            </w:r>
          </w:p>
          <w:p>
            <w:pPr>
              <w:pStyle w:val="1"/>
              <w:jc w:val="both"/>
            </w:pPr>
            <w:r>
              <w:rPr>
                <w:sz w:val="16"/>
              </w:rPr>
            </w:r>
            <w:hyperlink w:history="0" r:id="rId423"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пункт "c"</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45    </w:t>
            </w:r>
          </w:p>
          <w:p>
            <w:pPr>
              <w:pStyle w:val="1"/>
              <w:jc w:val="both"/>
            </w:pPr>
            <w:r>
              <w:rPr>
                <w:sz w:val="16"/>
              </w:rPr>
              <w:t xml:space="preserve">(1),         </w:t>
            </w:r>
          </w:p>
          <w:p>
            <w:pPr>
              <w:pStyle w:val="1"/>
              <w:jc w:val="both"/>
            </w:pPr>
            <w:r>
              <w:rPr>
                <w:sz w:val="16"/>
              </w:rPr>
            </w:r>
            <w:hyperlink w:history="0" w:anchor="P814" w:tooltip="e) порядок и частота взятия образцов и проведения измерений с учетом условий, установленных для мониторинга выбросов;">
              <w:r>
                <w:rPr>
                  <w:sz w:val="16"/>
                  <w:color w:val="0000ff"/>
                </w:rPr>
                <w:t xml:space="preserve">пункт "e"</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24"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4 (5)</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816" w:tooltip="2. В дополнение к требованиям, установленным в параграфе 1 настоящей статьи, разрешение, выданное заводу по сжиганию или совместному сжиганию отходов, где сжигаются опасные отходы, должно включать следующие сведения:">
              <w:r>
                <w:rPr>
                  <w:sz w:val="16"/>
                  <w:color w:val="0000ff"/>
                </w:rPr>
                <w:t xml:space="preserve">Статья 45 (2)</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25"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4 (6)</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819" w:tooltip="3. Государства-члены ЕС вправе определять категории отходов, подлежащих включению в разрешение, которые могут быть подвержены совместному сжиганию на определенных заводах по совместному сжиганию отходов.">
              <w:r>
                <w:rPr>
                  <w:sz w:val="16"/>
                  <w:color w:val="0000ff"/>
                </w:rPr>
                <w:t xml:space="preserve">Статья 45 (3)</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26"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4 (7)</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820" w:tooltip="4. Компетентный орган периодически пересматривает и при необходимости изменяет условия разрешения.">
              <w:r>
                <w:rPr>
                  <w:sz w:val="16"/>
                  <w:color w:val="0000ff"/>
                </w:rPr>
                <w:t xml:space="preserve">Статья 45 (4)</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27"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4 (8)</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921" w:tooltip="Статья 54">
              <w:r>
                <w:rPr>
                  <w:sz w:val="16"/>
                  <w:color w:val="0000ff"/>
                </w:rPr>
                <w:t xml:space="preserve">Статья 54</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28"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5</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893" w:tooltip="Статья 52">
              <w:r>
                <w:rPr>
                  <w:sz w:val="16"/>
                  <w:color w:val="0000ff"/>
                </w:rPr>
                <w:t xml:space="preserve">Статья 52</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6 (1),</w:t>
            </w:r>
          </w:p>
          <w:p>
            <w:pPr>
              <w:pStyle w:val="1"/>
              <w:jc w:val="both"/>
            </w:pPr>
            <w:r>
              <w:rPr>
                <w:sz w:val="16"/>
              </w:rPr>
            </w:r>
            <w:hyperlink w:history="0" r:id="rId429"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первый</w:t>
              </w:r>
            </w:hyperlink>
            <w:r>
              <w:rPr>
                <w:sz w:val="16"/>
              </w:rPr>
            </w:r>
          </w:p>
          <w:p>
            <w:pPr>
              <w:pStyle w:val="1"/>
              <w:jc w:val="both"/>
            </w:pPr>
            <w:r>
              <w:rPr>
                <w:sz w:val="16"/>
              </w:rPr>
              <w:t xml:space="preserve">подпараграф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865" w:tooltip="1. Заводы по сжиганию отходов эксплуатируются таким образом, чтобы достичь уровня сжигания, при котором общее содержание органического углерода в шлаках и зольных остатках составляет менее 3% либо при котором их потери от сжигания составляют менее 5% массы сухого вещества. При необходимости могут быть использованы технологии по предварительной обработке отходов.">
              <w:r>
                <w:rPr>
                  <w:sz w:val="16"/>
                  <w:color w:val="0000ff"/>
                </w:rPr>
                <w:t xml:space="preserve">Статья 50 (1)</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6 (1),</w:t>
            </w:r>
          </w:p>
          <w:p>
            <w:pPr>
              <w:pStyle w:val="1"/>
              <w:jc w:val="both"/>
            </w:pPr>
            <w:r>
              <w:rPr>
                <w:sz w:val="16"/>
              </w:rPr>
            </w:r>
            <w:hyperlink w:history="0" r:id="rId430"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второй</w:t>
              </w:r>
            </w:hyperlink>
            <w:r>
              <w:rPr>
                <w:sz w:val="16"/>
              </w:rPr>
            </w:r>
          </w:p>
          <w:p>
            <w:pPr>
              <w:pStyle w:val="1"/>
              <w:jc w:val="both"/>
            </w:pPr>
            <w:r>
              <w:rPr>
                <w:sz w:val="16"/>
              </w:rPr>
              <w:t xml:space="preserve">подпараграф и</w:t>
            </w:r>
          </w:p>
          <w:p>
            <w:pPr>
              <w:pStyle w:val="1"/>
              <w:jc w:val="both"/>
            </w:pPr>
            <w:r>
              <w:rPr>
                <w:sz w:val="16"/>
              </w:rPr>
            </w:r>
            <w:hyperlink w:history="0" r:id="rId431"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6 (2)</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866" w:tooltip="2. Заводы по сжиганию отходов проектируются, оснащаются, конструируются и функционируют таким образом, что газ, образующийся в результате сжигания отходов, нагревается после последнего введения воздуха в камеру сгорания при контролируемой и однородной реакции и даже при наиболее неблагоприятных условиях до температуры не менее 850 °C, которая достигается в течение как минимум двух секунд.">
              <w:r>
                <w:rPr>
                  <w:sz w:val="16"/>
                  <w:color w:val="0000ff"/>
                </w:rPr>
                <w:t xml:space="preserve">Статья 50 (2)</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6 (1),</w:t>
            </w:r>
          </w:p>
          <w:p>
            <w:pPr>
              <w:pStyle w:val="1"/>
              <w:jc w:val="both"/>
            </w:pPr>
            <w:r>
              <w:rPr>
                <w:sz w:val="16"/>
              </w:rPr>
            </w:r>
            <w:hyperlink w:history="0" r:id="rId432"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третий</w:t>
              </w:r>
            </w:hyperlink>
            <w:r>
              <w:rPr>
                <w:sz w:val="16"/>
              </w:rPr>
            </w:r>
          </w:p>
          <w:p>
            <w:pPr>
              <w:pStyle w:val="1"/>
              <w:jc w:val="both"/>
            </w:pPr>
            <w:r>
              <w:rPr>
                <w:sz w:val="16"/>
              </w:rPr>
              <w:t xml:space="preserve">подпараграф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50    </w:t>
            </w:r>
          </w:p>
          <w:p>
            <w:pPr>
              <w:pStyle w:val="1"/>
              <w:jc w:val="both"/>
            </w:pPr>
            <w:r>
              <w:rPr>
                <w:sz w:val="16"/>
              </w:rPr>
            </w:r>
            <w:hyperlink w:history="0" w:anchor="P870" w:tooltip="3. Все камеры сгорания заводов по сжиганию оснащаются как минимум одной вспомогательной горелкой. Такая горелка должна включаться автоматически, если температура газов, выделяемых при сжигании после последнего введения воздуха в камеру сгорания, падает ниже температур, установленных параграфом 2 настоящей статьи. Такая горелка также используется при процессах включения и отключения завода в целях обеспечения сохранения указанных температур в течение того времени, пока проводятся эти операции, а также в т...">
              <w:r>
                <w:rPr>
                  <w:sz w:val="16"/>
                  <w:color w:val="0000ff"/>
                </w:rPr>
                <w:t xml:space="preserve">(3), первый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6 (1),</w:t>
            </w:r>
          </w:p>
          <w:p>
            <w:pPr>
              <w:pStyle w:val="1"/>
              <w:jc w:val="both"/>
            </w:pPr>
            <w:r>
              <w:rPr>
                <w:sz w:val="16"/>
              </w:rPr>
            </w:r>
            <w:hyperlink w:history="0" r:id="rId433"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первая часть</w:t>
              </w:r>
            </w:hyperlink>
            <w:r>
              <w:rPr>
                <w:sz w:val="16"/>
              </w:rPr>
            </w:r>
          </w:p>
          <w:p>
            <w:pPr>
              <w:pStyle w:val="1"/>
              <w:jc w:val="both"/>
            </w:pPr>
            <w:r>
              <w:rPr>
                <w:sz w:val="16"/>
              </w:rPr>
              <w:t xml:space="preserve">четвертого   </w:t>
            </w:r>
          </w:p>
          <w:p>
            <w:pPr>
              <w:pStyle w:val="1"/>
              <w:jc w:val="both"/>
            </w:pPr>
            <w:r>
              <w:rPr>
                <w:sz w:val="16"/>
              </w:rPr>
              <w:t xml:space="preserve">подпараграфа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6 (1),</w:t>
            </w:r>
          </w:p>
          <w:p>
            <w:pPr>
              <w:pStyle w:val="1"/>
              <w:jc w:val="both"/>
            </w:pPr>
            <w:r>
              <w:rPr>
                <w:sz w:val="16"/>
              </w:rPr>
            </w:r>
            <w:hyperlink w:history="0" r:id="rId434"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вторая часть</w:t>
              </w:r>
            </w:hyperlink>
            <w:r>
              <w:rPr>
                <w:sz w:val="16"/>
              </w:rPr>
            </w:r>
          </w:p>
          <w:p>
            <w:pPr>
              <w:pStyle w:val="1"/>
              <w:jc w:val="both"/>
            </w:pPr>
            <w:r>
              <w:rPr>
                <w:sz w:val="16"/>
              </w:rPr>
              <w:t xml:space="preserve">четвертого   </w:t>
            </w:r>
          </w:p>
          <w:p>
            <w:pPr>
              <w:pStyle w:val="1"/>
              <w:jc w:val="both"/>
            </w:pPr>
            <w:r>
              <w:rPr>
                <w:sz w:val="16"/>
              </w:rPr>
              <w:t xml:space="preserve">подпараграфа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50    </w:t>
            </w:r>
          </w:p>
          <w:p>
            <w:pPr>
              <w:pStyle w:val="1"/>
              <w:jc w:val="both"/>
            </w:pPr>
            <w:r>
              <w:rPr>
                <w:sz w:val="16"/>
              </w:rPr>
            </w:r>
            <w:hyperlink w:history="0" w:anchor="P871" w:tooltip="Вспомогательная горелка не должна снабжаться топливом, сжигание которого может привести к образованию более высоких уровней выбросов по сравнению с уровнями выбросов вследствие сжигания газойля, как определено статьей 2 (2) Директивы 1999/32/ЕС Совета ЕС от 26 апреля 1999 г. о сокращении содержания серы в некоторых видах жидкого топлива &lt;*&gt;, сжиженного газа или природного газа.">
              <w:r>
                <w:rPr>
                  <w:sz w:val="16"/>
                  <w:color w:val="0000ff"/>
                </w:rPr>
                <w:t xml:space="preserve">(3), второй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35"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6 (3)</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875" w:tooltip="4. Заводы по сжиганию отходов и заводы по совместному сжиганию отходов используют автоматическую систему предотвращения подачи отходов в следующих случаях:">
              <w:r>
                <w:rPr>
                  <w:sz w:val="16"/>
                  <w:color w:val="0000ff"/>
                </w:rPr>
                <w:t xml:space="preserve">Статья 50 (4)</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6 (4),</w:t>
            </w:r>
          </w:p>
          <w:p>
            <w:pPr>
              <w:pStyle w:val="1"/>
              <w:jc w:val="both"/>
            </w:pPr>
            <w:r>
              <w:rPr>
                <w:sz w:val="16"/>
              </w:rPr>
            </w:r>
            <w:hyperlink w:history="0" r:id="rId436"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первое</w:t>
              </w:r>
            </w:hyperlink>
            <w:r>
              <w:rPr>
                <w:sz w:val="16"/>
              </w:rPr>
              <w:t xml:space="preserve"> и     </w:t>
            </w:r>
          </w:p>
          <w:p>
            <w:pPr>
              <w:pStyle w:val="1"/>
              <w:jc w:val="both"/>
            </w:pPr>
            <w:r>
              <w:rPr>
                <w:sz w:val="16"/>
              </w:rPr>
            </w:r>
            <w:hyperlink w:history="0" r:id="rId437"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второе</w:t>
              </w:r>
            </w:hyperlink>
            <w:r>
              <w:rPr>
                <w:sz w:val="16"/>
              </w:rPr>
            </w:r>
          </w:p>
          <w:p>
            <w:pPr>
              <w:pStyle w:val="1"/>
              <w:jc w:val="both"/>
            </w:pPr>
            <w:r>
              <w:rPr>
                <w:sz w:val="16"/>
              </w:rPr>
              <w:t xml:space="preserve">предложения  </w:t>
            </w:r>
          </w:p>
          <w:p>
            <w:pPr>
              <w:pStyle w:val="1"/>
              <w:jc w:val="both"/>
            </w:pPr>
            <w:r>
              <w:rPr>
                <w:sz w:val="16"/>
              </w:rPr>
              <w:t xml:space="preserve">первого      </w:t>
            </w:r>
          </w:p>
          <w:p>
            <w:pPr>
              <w:pStyle w:val="1"/>
              <w:jc w:val="both"/>
            </w:pPr>
            <w:r>
              <w:rPr>
                <w:sz w:val="16"/>
              </w:rPr>
              <w:t xml:space="preserve">подпараграфа </w:t>
            </w:r>
          </w:p>
          <w:p>
            <w:pPr>
              <w:pStyle w:val="1"/>
              <w:jc w:val="both"/>
            </w:pPr>
            <w:r>
              <w:rPr>
                <w:sz w:val="16"/>
              </w:rPr>
              <w:t xml:space="preserve">и статья 6   </w:t>
            </w:r>
          </w:p>
          <w:p>
            <w:pPr>
              <w:pStyle w:val="1"/>
              <w:jc w:val="both"/>
            </w:pPr>
            <w:r>
              <w:rPr>
                <w:sz w:val="16"/>
              </w:rPr>
            </w:r>
            <w:hyperlink w:history="0" r:id="rId438"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(4), первое</w:t>
              </w:r>
            </w:hyperlink>
            <w:r>
              <w:rPr>
                <w:sz w:val="16"/>
              </w:rPr>
              <w:t xml:space="preserve"> и</w:t>
            </w:r>
          </w:p>
          <w:p>
            <w:pPr>
              <w:pStyle w:val="1"/>
              <w:jc w:val="both"/>
            </w:pPr>
            <w:r>
              <w:rPr>
                <w:sz w:val="16"/>
              </w:rPr>
            </w:r>
            <w:hyperlink w:history="0" r:id="rId439"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второе</w:t>
              </w:r>
            </w:hyperlink>
            <w:r>
              <w:rPr>
                <w:sz w:val="16"/>
              </w:rPr>
            </w:r>
          </w:p>
          <w:p>
            <w:pPr>
              <w:pStyle w:val="1"/>
              <w:jc w:val="both"/>
            </w:pPr>
            <w:r>
              <w:rPr>
                <w:sz w:val="16"/>
              </w:rPr>
              <w:t xml:space="preserve">предложения  </w:t>
            </w:r>
          </w:p>
          <w:p>
            <w:pPr>
              <w:pStyle w:val="1"/>
              <w:jc w:val="both"/>
            </w:pPr>
            <w:r>
              <w:rPr>
                <w:sz w:val="16"/>
              </w:rPr>
              <w:t xml:space="preserve">второго      </w:t>
            </w:r>
          </w:p>
          <w:p>
            <w:pPr>
              <w:pStyle w:val="1"/>
              <w:jc w:val="both"/>
            </w:pPr>
            <w:r>
              <w:rPr>
                <w:sz w:val="16"/>
              </w:rPr>
              <w:t xml:space="preserve">подпараграфа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887" w:tooltip="1. Условия, отличные от условий, установленных статьей 50 (1), (2) и (3) настоящей Директивы, а также, в отношении температур, параграфом 4 указанной статьи и определенные в разрешениях для некоторых категорий отходов или для некоторых термических процессов, могут быть санкционированы компетентным органом при условии соблюдения иных требований настоящей главы. Государства-члены ЕС вправе установить нормы, регулирующие порядок авторизации.">
              <w:r>
                <w:rPr>
                  <w:sz w:val="16"/>
                  <w:color w:val="0000ff"/>
                </w:rPr>
                <w:t xml:space="preserve">Статья 51 (1)</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6 (4),</w:t>
            </w:r>
          </w:p>
          <w:p>
            <w:pPr>
              <w:pStyle w:val="1"/>
              <w:jc w:val="both"/>
            </w:pPr>
            <w:r>
              <w:rPr>
                <w:sz w:val="16"/>
              </w:rPr>
            </w:r>
            <w:hyperlink w:history="0" r:id="rId440"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третье</w:t>
              </w:r>
            </w:hyperlink>
            <w:r>
              <w:rPr>
                <w:sz w:val="16"/>
              </w:rPr>
            </w:r>
          </w:p>
          <w:p>
            <w:pPr>
              <w:pStyle w:val="1"/>
              <w:jc w:val="both"/>
            </w:pPr>
            <w:r>
              <w:rPr>
                <w:sz w:val="16"/>
              </w:rPr>
              <w:t xml:space="preserve">предложение  </w:t>
            </w:r>
          </w:p>
          <w:p>
            <w:pPr>
              <w:pStyle w:val="1"/>
              <w:jc w:val="both"/>
            </w:pPr>
            <w:r>
              <w:rPr>
                <w:sz w:val="16"/>
              </w:rPr>
              <w:t xml:space="preserve">первого      </w:t>
            </w:r>
          </w:p>
          <w:p>
            <w:pPr>
              <w:pStyle w:val="1"/>
              <w:jc w:val="both"/>
            </w:pPr>
            <w:r>
              <w:rPr>
                <w:sz w:val="16"/>
              </w:rPr>
              <w:t xml:space="preserve">подпараграфа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888" w:tooltip="2. В отношении заводов по сжиганию отходов изменение условий эксплуатации не должно приводить к образованию большего количества остатков или остатков с большим содержанием органических загрязняющих веществ по сравнению с количеством остатков, образование которых ожидается при соблюдении условий, предусмотренных статьей 50 (1), (2) и (3) настоящей Директивы.">
              <w:r>
                <w:rPr>
                  <w:sz w:val="16"/>
                  <w:color w:val="0000ff"/>
                </w:rPr>
                <w:t xml:space="preserve">Статья 51 (2)</w:t>
              </w:r>
            </w:hyperlink>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6 (4),</w:t>
            </w:r>
          </w:p>
          <w:p>
            <w:pPr>
              <w:pStyle w:val="1"/>
              <w:jc w:val="both"/>
            </w:pPr>
            <w:r>
              <w:rPr>
                <w:sz w:val="16"/>
              </w:rPr>
            </w:r>
            <w:hyperlink w:history="0" r:id="rId441"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третье</w:t>
              </w:r>
            </w:hyperlink>
            <w:r>
              <w:rPr>
                <w:sz w:val="16"/>
              </w:rPr>
            </w:r>
          </w:p>
          <w:p>
            <w:pPr>
              <w:pStyle w:val="1"/>
              <w:jc w:val="both"/>
            </w:pPr>
            <w:r>
              <w:rPr>
                <w:sz w:val="16"/>
              </w:rPr>
              <w:t xml:space="preserve">предложение  </w:t>
            </w:r>
          </w:p>
          <w:p>
            <w:pPr>
              <w:pStyle w:val="1"/>
              <w:jc w:val="both"/>
            </w:pPr>
            <w:r>
              <w:rPr>
                <w:sz w:val="16"/>
              </w:rPr>
              <w:t xml:space="preserve">второго      </w:t>
            </w:r>
          </w:p>
          <w:p>
            <w:pPr>
              <w:pStyle w:val="1"/>
              <w:jc w:val="both"/>
            </w:pPr>
            <w:r>
              <w:rPr>
                <w:sz w:val="16"/>
              </w:rPr>
              <w:t xml:space="preserve">подпараграфа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51    </w:t>
            </w:r>
          </w:p>
          <w:p>
            <w:pPr>
              <w:pStyle w:val="1"/>
              <w:jc w:val="both"/>
            </w:pPr>
            <w:r>
              <w:rPr>
                <w:sz w:val="16"/>
              </w:rPr>
            </w:r>
            <w:hyperlink w:history="0" w:anchor="P889" w:tooltip="3. Выбросы общего количества органического углерода и угарного газа заводами по совместному сжиганию отходов, авторизованные с целью изменения условий эксплуатации в соответствии с параграфом 1 настоящей статьи, должны соответствовать пороговым значениям выбросов, установленным в части 3 Приложения VI к настоящей Директиве.">
              <w:r>
                <w:rPr>
                  <w:sz w:val="16"/>
                  <w:color w:val="0000ff"/>
                </w:rPr>
                <w:t xml:space="preserve">(3), первый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6 (4),</w:t>
            </w:r>
          </w:p>
          <w:p>
            <w:pPr>
              <w:pStyle w:val="1"/>
              <w:jc w:val="both"/>
            </w:pPr>
            <w:r>
              <w:rPr>
                <w:sz w:val="16"/>
              </w:rPr>
            </w:r>
            <w:hyperlink w:history="0" r:id="rId442"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третий</w:t>
              </w:r>
            </w:hyperlink>
            <w:r>
              <w:rPr>
                <w:sz w:val="16"/>
              </w:rPr>
            </w:r>
          </w:p>
          <w:p>
            <w:pPr>
              <w:pStyle w:val="1"/>
              <w:jc w:val="both"/>
            </w:pPr>
            <w:r>
              <w:rPr>
                <w:sz w:val="16"/>
              </w:rPr>
              <w:t xml:space="preserve">подпараграф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51    </w:t>
            </w:r>
          </w:p>
          <w:p>
            <w:pPr>
              <w:pStyle w:val="1"/>
              <w:jc w:val="both"/>
            </w:pPr>
            <w:r>
              <w:rPr>
                <w:sz w:val="16"/>
              </w:rPr>
            </w:r>
            <w:hyperlink w:history="0" w:anchor="P890" w:tooltip="Выбросы общего количества органического углерода от корьевых котлов, используемых в целлюлозно-бумажной промышленности, где осуществляется совместное сжигание отходов в месте их производства, которые находились в эксплуатации и получили разрешение до 28 декабря 2002 г. и которым разрешено изменить условия эксплуатации в соответствии с параграфом 1 настоящей статьи, также должны соответствовать пороговым значениям выбросов, установленным в части 3 Приложения VI к настоящей Директиве.">
              <w:r>
                <w:rPr>
                  <w:sz w:val="16"/>
                  <w:color w:val="0000ff"/>
                </w:rPr>
                <w:t xml:space="preserve">(3), второй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6 (4),</w:t>
            </w:r>
          </w:p>
          <w:p>
            <w:pPr>
              <w:pStyle w:val="1"/>
              <w:jc w:val="both"/>
            </w:pPr>
            <w:r>
              <w:rPr>
                <w:sz w:val="16"/>
              </w:rPr>
            </w:r>
            <w:hyperlink w:history="0" r:id="rId443"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четвертый</w:t>
              </w:r>
            </w:hyperlink>
            <w:r>
              <w:rPr>
                <w:sz w:val="16"/>
              </w:rPr>
            </w:r>
          </w:p>
          <w:p>
            <w:pPr>
              <w:pStyle w:val="1"/>
              <w:jc w:val="both"/>
            </w:pPr>
            <w:r>
              <w:rPr>
                <w:sz w:val="16"/>
              </w:rPr>
              <w:t xml:space="preserve">подпараграф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891" w:tooltip="4. Государства-члены ЕС направляют Европейской комиссии сведения об условиях эксплуатации, авторизованных в соответствии с параграфами 1, 2 и 3 настоящей статьи, а также результаты проведенных проверок в составе информации, предоставляемой согласно требованиям системы отчетности в соответствии со статьей 72 настоящей Директивы.">
              <w:r>
                <w:rPr>
                  <w:sz w:val="16"/>
                  <w:color w:val="0000ff"/>
                </w:rPr>
                <w:t xml:space="preserve">Статья 51 (4)</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6 (5),</w:t>
            </w:r>
          </w:p>
          <w:p>
            <w:pPr>
              <w:pStyle w:val="1"/>
              <w:jc w:val="both"/>
            </w:pPr>
            <w:r>
              <w:rPr>
                <w:sz w:val="16"/>
              </w:rPr>
            </w:r>
            <w:hyperlink w:history="0" r:id="rId444"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первая часть</w:t>
              </w:r>
            </w:hyperlink>
            <w:r>
              <w:rPr>
                <w:sz w:val="16"/>
              </w:rPr>
            </w:r>
          </w:p>
          <w:p>
            <w:pPr>
              <w:pStyle w:val="1"/>
              <w:jc w:val="both"/>
            </w:pPr>
            <w:r>
              <w:rPr>
                <w:sz w:val="16"/>
              </w:rPr>
              <w:t xml:space="preserve">предложения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6 (5),</w:t>
            </w:r>
          </w:p>
          <w:p>
            <w:pPr>
              <w:pStyle w:val="1"/>
              <w:jc w:val="both"/>
            </w:pPr>
            <w:r>
              <w:rPr>
                <w:sz w:val="16"/>
              </w:rPr>
            </w:r>
            <w:hyperlink w:history="0" r:id="rId445"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вторая часть</w:t>
              </w:r>
            </w:hyperlink>
            <w:r>
              <w:rPr>
                <w:sz w:val="16"/>
              </w:rPr>
            </w:r>
          </w:p>
          <w:p>
            <w:pPr>
              <w:pStyle w:val="1"/>
              <w:jc w:val="both"/>
            </w:pPr>
            <w:r>
              <w:rPr>
                <w:sz w:val="16"/>
              </w:rPr>
              <w:t xml:space="preserve">предложения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826" w:tooltip="1. Выброс газообразных отходов от заводов по сжиганию отходов и от заводов по совместному сжиганию отходов осуществляется под контролем через дымовую трубу, высота которой исчисляется таким образом, чтобы обеспечить защиту здоровья человека и окружающей среды.">
              <w:r>
                <w:rPr>
                  <w:sz w:val="16"/>
                  <w:color w:val="0000ff"/>
                </w:rPr>
                <w:t xml:space="preserve">Статья 46 (1)</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46"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6 (6)</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879" w:tooltip="5. Тепло, генерируемое заводами по сжиганию отходов или заводами по совместному сжиганию отходов, извлекается, насколько это достижимо.">
              <w:r>
                <w:rPr>
                  <w:sz w:val="16"/>
                  <w:color w:val="0000ff"/>
                </w:rPr>
                <w:t xml:space="preserve">Статья 50 (5)</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47"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6 (7)</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880" w:tooltip="6. Зараженные медицинские отходы загружаются прямо в печь без предварительного смешения с другими категориями отходов, а также без непосредственной обработки.">
              <w:r>
                <w:rPr>
                  <w:sz w:val="16"/>
                  <w:color w:val="0000ff"/>
                </w:rPr>
                <w:t xml:space="preserve">Статья 50 (6)</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48"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6 (8)</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881" w:tooltip="7. Государства-члены ЕС гарантируют, что управление и контроль за деятельностью заводов по сжиганию отходов или заводов по совместному сжиганию отходов осуществляется физическим лицом, компетентным в управлении такими заводами.">
              <w:r>
                <w:rPr>
                  <w:sz w:val="16"/>
                  <w:color w:val="0000ff"/>
                </w:rPr>
                <w:t xml:space="preserve">Статья 50 (7)</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49"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7 (1)</w:t>
              </w:r>
            </w:hyperlink>
            <w:r>
              <w:rPr>
                <w:sz w:val="16"/>
              </w:rPr>
            </w:r>
          </w:p>
          <w:p>
            <w:pPr>
              <w:pStyle w:val="1"/>
              <w:jc w:val="both"/>
            </w:pPr>
            <w:r>
              <w:rPr>
                <w:sz w:val="16"/>
              </w:rPr>
              <w:t xml:space="preserve">и статья 7   </w:t>
            </w:r>
          </w:p>
          <w:p>
            <w:pPr>
              <w:pStyle w:val="1"/>
              <w:jc w:val="both"/>
            </w:pPr>
            <w:r>
              <w:rPr>
                <w:sz w:val="16"/>
              </w:rPr>
            </w:r>
            <w:hyperlink w:history="0" r:id="rId450"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(2), первый</w:t>
              </w:r>
            </w:hyperlink>
            <w:r>
              <w:rPr>
                <w:sz w:val="16"/>
              </w:rPr>
            </w:r>
          </w:p>
          <w:p>
            <w:pPr>
              <w:pStyle w:val="1"/>
              <w:jc w:val="both"/>
            </w:pPr>
            <w:r>
              <w:rPr>
                <w:sz w:val="16"/>
              </w:rPr>
              <w:t xml:space="preserve">подпараграф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46    </w:t>
            </w:r>
          </w:p>
          <w:p>
            <w:pPr>
              <w:pStyle w:val="1"/>
              <w:jc w:val="both"/>
            </w:pPr>
            <w:r>
              <w:rPr>
                <w:sz w:val="16"/>
              </w:rPr>
            </w:r>
            <w:hyperlink w:history="0" w:anchor="P827" w:tooltip="2. Выбросы в воздух от заводов по сжиганию отходов и от заводов по совместному сжиганию отходов не должны превышать пороговые значения выбросов, установленные частями 3 и 4 Приложения VI к настоящей Директиве, или определенные в соответствии с частью 4 указанного Приложения.">
              <w:r>
                <w:rPr>
                  <w:sz w:val="16"/>
                  <w:color w:val="0000ff"/>
                </w:rPr>
                <w:t xml:space="preserve">(2), первый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7 (2) </w:t>
            </w:r>
          </w:p>
          <w:p>
            <w:pPr>
              <w:pStyle w:val="1"/>
              <w:jc w:val="both"/>
            </w:pPr>
            <w:r>
              <w:rPr>
                <w:sz w:val="16"/>
              </w:rPr>
            </w:r>
            <w:hyperlink w:history="0" r:id="rId451"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второй</w:t>
              </w:r>
            </w:hyperlink>
            <w:r>
              <w:rPr>
                <w:sz w:val="16"/>
              </w:rPr>
            </w:r>
          </w:p>
          <w:p>
            <w:pPr>
              <w:pStyle w:val="1"/>
              <w:jc w:val="both"/>
            </w:pPr>
            <w:r>
              <w:rPr>
                <w:sz w:val="16"/>
              </w:rPr>
              <w:t xml:space="preserve">подпараграф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46    </w:t>
            </w:r>
          </w:p>
          <w:p>
            <w:pPr>
              <w:pStyle w:val="1"/>
              <w:jc w:val="both"/>
            </w:pPr>
            <w:r>
              <w:rPr>
                <w:sz w:val="16"/>
              </w:rPr>
            </w:r>
            <w:hyperlink w:history="0" w:anchor="P828" w:tooltip="В случае если на заводе по совместному сжиганию отходов более 40% тепла выделяется при сжигании опасных отходов либо завод осуществляет совместное сжигание необработанных смешанных бытовых отходов, применяются пороговые значения выбросов, установленные частью 3 Приложения VI к настоящей Директиве.">
              <w:r>
                <w:rPr>
                  <w:sz w:val="16"/>
                  <w:color w:val="0000ff"/>
                </w:rPr>
                <w:t xml:space="preserve">(2), второй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52"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7 (3)</w:t>
              </w:r>
            </w:hyperlink>
            <w:r>
              <w:rPr>
                <w:sz w:val="16"/>
              </w:rPr>
            </w:r>
          </w:p>
          <w:p>
            <w:pPr>
              <w:pStyle w:val="1"/>
              <w:jc w:val="both"/>
            </w:pPr>
            <w:r>
              <w:rPr>
                <w:sz w:val="16"/>
              </w:rPr>
              <w:t xml:space="preserve">и статья 11  </w:t>
            </w:r>
          </w:p>
          <w:p>
            <w:pPr>
              <w:pStyle w:val="1"/>
              <w:jc w:val="both"/>
            </w:pPr>
            <w:r>
              <w:rPr>
                <w:sz w:val="16"/>
              </w:rPr>
            </w:r>
            <w:hyperlink w:history="0" r:id="rId453"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(8), первый</w:t>
              </w:r>
            </w:hyperlink>
            <w:r>
              <w:rPr>
                <w:sz w:val="16"/>
              </w:rPr>
            </w:r>
          </w:p>
          <w:p>
            <w:pPr>
              <w:pStyle w:val="1"/>
              <w:jc w:val="both"/>
            </w:pPr>
            <w:r>
              <w:rPr>
                <w:sz w:val="16"/>
              </w:rPr>
              <w:t xml:space="preserve">подпараграф, </w:t>
            </w:r>
          </w:p>
          <w:p>
            <w:pPr>
              <w:pStyle w:val="1"/>
              <w:jc w:val="both"/>
            </w:pPr>
            <w:r>
              <w:rPr>
                <w:sz w:val="16"/>
              </w:rPr>
              <w:t xml:space="preserve">вводная фраза</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6, </w:t>
            </w:r>
          </w:p>
          <w:p>
            <w:pPr>
              <w:pStyle w:val="1"/>
              <w:jc w:val="both"/>
            </w:pPr>
            <w:r>
              <w:rPr>
                <w:sz w:val="16"/>
              </w:rPr>
            </w:r>
            <w:hyperlink w:history="0" w:anchor="P2725" w:tooltip="2.7. Результаты измерений должны быть стандартизированы с использованием стандартных концентраций кислорода, указанных в части 3 настоящего Приложения или исчисленных в соответствии с частью 4 настоящего Приложения, а также с применением формулы, данной в части 7 настоящего Приложения.">
              <w:r>
                <w:rPr>
                  <w:sz w:val="16"/>
                  <w:color w:val="0000ff"/>
                </w:rPr>
                <w:t xml:space="preserve">первая часть</w:t>
              </w:r>
            </w:hyperlink>
            <w:r>
              <w:rPr>
                <w:sz w:val="16"/>
              </w:rPr>
            </w:r>
          </w:p>
          <w:p>
            <w:pPr>
              <w:pStyle w:val="1"/>
              <w:jc w:val="both"/>
            </w:pPr>
            <w:r>
              <w:rPr>
                <w:sz w:val="16"/>
              </w:rPr>
              <w:t xml:space="preserve">пункта 2.7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54"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7 (4)</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46    </w:t>
            </w:r>
          </w:p>
          <w:p>
            <w:pPr>
              <w:pStyle w:val="1"/>
              <w:jc w:val="both"/>
            </w:pPr>
            <w:r>
              <w:rPr>
                <w:sz w:val="16"/>
              </w:rPr>
            </w:r>
            <w:hyperlink w:history="0" w:anchor="P828" w:tooltip="В случае если на заводе по совместному сжиганию отходов более 40% тепла выделяется при сжигании опасных отходов либо завод осуществляет совместное сжигание необработанных смешанных бытовых отходов, применяются пороговые значения выбросов, установленные частью 3 Приложения VI к настоящей Директиве.">
              <w:r>
                <w:rPr>
                  <w:sz w:val="16"/>
                  <w:color w:val="0000ff"/>
                </w:rPr>
                <w:t xml:space="preserve">(2), второй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55"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7 (5)</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56"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8 (1)</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45    </w:t>
            </w:r>
          </w:p>
          <w:p>
            <w:pPr>
              <w:pStyle w:val="1"/>
              <w:jc w:val="both"/>
            </w:pPr>
            <w:r>
              <w:rPr>
                <w:sz w:val="16"/>
              </w:rPr>
              <w:t xml:space="preserve">(1),         </w:t>
            </w:r>
          </w:p>
          <w:p>
            <w:pPr>
              <w:pStyle w:val="1"/>
              <w:jc w:val="both"/>
            </w:pPr>
            <w:r>
              <w:rPr>
                <w:sz w:val="16"/>
              </w:rPr>
            </w:r>
            <w:hyperlink w:history="0" w:anchor="P812" w:tooltip="c) пороговые значения выбросов в воздух и воду;">
              <w:r>
                <w:rPr>
                  <w:sz w:val="16"/>
                  <w:color w:val="0000ff"/>
                </w:rPr>
                <w:t xml:space="preserve">пункт "c"</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57"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8 (2)</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829" w:tooltip="3. Слив в водную среду сточных вод, образующихся вследствие очистки газообразных отходов, должен быть ограничен, насколько это возможно. При этом концентрация загрязняющих веществ не должна превышать пороговые значения выбросов, установленные частью 5 Приложения VI к настоящей Директиве.">
              <w:r>
                <w:rPr>
                  <w:sz w:val="16"/>
                  <w:color w:val="0000ff"/>
                </w:rPr>
                <w:t xml:space="preserve">Статья 46 (3)</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58"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8 (3)</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8 (4),</w:t>
            </w:r>
          </w:p>
          <w:p>
            <w:pPr>
              <w:pStyle w:val="1"/>
              <w:jc w:val="both"/>
            </w:pPr>
            <w:r>
              <w:rPr>
                <w:sz w:val="16"/>
              </w:rPr>
            </w:r>
            <w:hyperlink w:history="0" r:id="rId459"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первый</w:t>
              </w:r>
            </w:hyperlink>
            <w:r>
              <w:rPr>
                <w:sz w:val="16"/>
              </w:rPr>
            </w:r>
          </w:p>
          <w:p>
            <w:pPr>
              <w:pStyle w:val="1"/>
              <w:jc w:val="both"/>
            </w:pPr>
            <w:r>
              <w:rPr>
                <w:sz w:val="16"/>
              </w:rPr>
              <w:t xml:space="preserve">подпараграф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46    </w:t>
            </w:r>
          </w:p>
          <w:p>
            <w:pPr>
              <w:pStyle w:val="1"/>
              <w:jc w:val="both"/>
            </w:pPr>
            <w:r>
              <w:rPr>
                <w:sz w:val="16"/>
              </w:rPr>
            </w:r>
            <w:hyperlink w:history="0" w:anchor="P830" w:tooltip="4. Пороговые значения выбросов применяются в месте слива сточных вод, образуемых вследствие очистки газообразных отходов заводами по сжиганию отходов или заводами по совместному сжиганию отходов.">
              <w:r>
                <w:rPr>
                  <w:sz w:val="16"/>
                  <w:color w:val="0000ff"/>
                </w:rPr>
                <w:t xml:space="preserve">(4), первый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8 (4),</w:t>
            </w:r>
          </w:p>
          <w:p>
            <w:pPr>
              <w:pStyle w:val="1"/>
              <w:jc w:val="both"/>
            </w:pPr>
            <w:r>
              <w:rPr>
                <w:sz w:val="16"/>
              </w:rPr>
            </w:r>
            <w:hyperlink w:history="0" r:id="rId460"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второй</w:t>
              </w:r>
            </w:hyperlink>
            <w:r>
              <w:rPr>
                <w:sz w:val="16"/>
              </w:rPr>
            </w:r>
          </w:p>
          <w:p>
            <w:pPr>
              <w:pStyle w:val="1"/>
              <w:jc w:val="both"/>
            </w:pPr>
            <w:r>
              <w:rPr>
                <w:sz w:val="16"/>
              </w:rPr>
              <w:t xml:space="preserve">подпараграф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6, </w:t>
            </w:r>
          </w:p>
          <w:p>
            <w:pPr>
              <w:pStyle w:val="1"/>
              <w:jc w:val="both"/>
            </w:pPr>
            <w:r>
              <w:rPr>
                <w:sz w:val="16"/>
              </w:rPr>
            </w:r>
            <w:hyperlink w:history="0" w:anchor="P2734" w:tooltip="3.2. В случае если сточные воды от очистки отработанных газов обрабатываются на участке совместно с иными локальными источниками сточных вод, оператор производит измерения:">
              <w:r>
                <w:rPr>
                  <w:sz w:val="16"/>
                  <w:color w:val="0000ff"/>
                </w:rPr>
                <w:t xml:space="preserve">пункт 3.2</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8 (4),</w:t>
            </w:r>
          </w:p>
          <w:p>
            <w:pPr>
              <w:pStyle w:val="1"/>
              <w:jc w:val="both"/>
            </w:pPr>
            <w:r>
              <w:rPr>
                <w:sz w:val="16"/>
              </w:rPr>
            </w:r>
            <w:hyperlink w:history="0" r:id="rId461"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третий</w:t>
              </w:r>
            </w:hyperlink>
            <w:r>
              <w:rPr>
                <w:sz w:val="16"/>
              </w:rPr>
            </w:r>
          </w:p>
          <w:p>
            <w:pPr>
              <w:pStyle w:val="1"/>
              <w:jc w:val="both"/>
            </w:pPr>
            <w:r>
              <w:rPr>
                <w:sz w:val="16"/>
              </w:rPr>
              <w:t xml:space="preserve">подпараграф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8 (4),</w:t>
            </w:r>
          </w:p>
          <w:p>
            <w:pPr>
              <w:pStyle w:val="1"/>
              <w:jc w:val="both"/>
            </w:pPr>
            <w:r>
              <w:rPr>
                <w:sz w:val="16"/>
              </w:rPr>
            </w:r>
            <w:hyperlink w:history="0" r:id="rId462"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четвертый</w:t>
              </w:r>
            </w:hyperlink>
            <w:r>
              <w:rPr>
                <w:sz w:val="16"/>
              </w:rPr>
            </w:r>
          </w:p>
          <w:p>
            <w:pPr>
              <w:pStyle w:val="1"/>
              <w:jc w:val="both"/>
            </w:pPr>
            <w:r>
              <w:rPr>
                <w:sz w:val="16"/>
              </w:rPr>
              <w:t xml:space="preserve">подпараграф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63"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8 (5)</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46    </w:t>
            </w:r>
          </w:p>
          <w:p>
            <w:pPr>
              <w:pStyle w:val="1"/>
              <w:jc w:val="both"/>
            </w:pPr>
            <w:r>
              <w:rPr>
                <w:sz w:val="16"/>
              </w:rPr>
            </w:r>
            <w:hyperlink w:history="0" w:anchor="P831" w:tooltip="При обработке сточных вод, образуемых вследствие очистки газообразных отходов, за пределами завода по сжиганию отходов или завода по совместному сжиганию отходов на водоочистной станции, предназначенной исключительно для обработки такого рода сточных вод, применяются пороговые значения выбросов, установленные частью 5 Приложения VI к настоящей Директиве, в месте выхода сточных вод с водоочистной станции. При обработке сточных вод, образуемых вследствие очистки газообразных отходов, совместно с другими ис...">
              <w:r>
                <w:rPr>
                  <w:sz w:val="16"/>
                  <w:color w:val="0000ff"/>
                </w:rPr>
                <w:t xml:space="preserve">(4), второй</w:t>
              </w:r>
            </w:hyperlink>
            <w:r>
              <w:rPr>
                <w:sz w:val="16"/>
              </w:rPr>
              <w:t xml:space="preserve"> и</w:t>
            </w:r>
          </w:p>
          <w:p>
            <w:pPr>
              <w:pStyle w:val="1"/>
              <w:jc w:val="both"/>
            </w:pPr>
            <w:r>
              <w:rPr>
                <w:sz w:val="16"/>
              </w:rPr>
            </w:r>
            <w:hyperlink w:history="0" w:anchor="P832" w:tooltip="Разжижение сточных вод ни при каких обстоятельствах не должно иметь место в целях соблюдения пороговых значений выбросов, установленных частью 5 Приложения VI к настоящей Директиве.">
              <w:r>
                <w:rPr>
                  <w:sz w:val="16"/>
                  <w:color w:val="0000ff"/>
                </w:rPr>
                <w:t xml:space="preserve">третий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64"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8 (6)</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45    </w:t>
            </w:r>
          </w:p>
          <w:p>
            <w:pPr>
              <w:pStyle w:val="1"/>
              <w:jc w:val="both"/>
            </w:pPr>
            <w:r>
              <w:rPr>
                <w:sz w:val="16"/>
              </w:rPr>
              <w:t xml:space="preserve">(1), пункты  </w:t>
            </w:r>
          </w:p>
          <w:p>
            <w:pPr>
              <w:pStyle w:val="1"/>
              <w:jc w:val="both"/>
            </w:pPr>
            <w:r>
              <w:rPr>
                <w:sz w:val="16"/>
              </w:rPr>
            </w:r>
            <w:hyperlink w:history="0" w:anchor="P812" w:tooltip="c) пороговые значения выбросов в воздух и воду;">
              <w:r>
                <w:rPr>
                  <w:sz w:val="16"/>
                  <w:color w:val="0000ff"/>
                </w:rPr>
                <w:t xml:space="preserve">"c"</w:t>
              </w:r>
            </w:hyperlink>
            <w:r>
              <w:rPr>
                <w:sz w:val="16"/>
              </w:rPr>
              <w:t xml:space="preserve"> и </w:t>
            </w:r>
            <w:hyperlink w:history="0" w:anchor="P813" w:tooltip="d) требования к величине pH, температуре и скорости потока при сливе сточных вод;">
              <w:r>
                <w:rPr>
                  <w:sz w:val="16"/>
                  <w:color w:val="0000ff"/>
                </w:rPr>
                <w:t xml:space="preserve">"d"</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65"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8 (7)</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833" w:tooltip="5. Участки, на которых расположены заводы по сжиганию отходов или заводы по совместному сжиганию отходов, в том числе соответствующие места для хранения отходов, проектируются и эксплуатируются таким образом, чтобы предотвратить несанкционированное и аварийное выделение загрязняющих веществ в почву, поверхностные воды и грунтовые воды.">
              <w:r>
                <w:rPr>
                  <w:sz w:val="16"/>
                  <w:color w:val="0000ff"/>
                </w:rPr>
                <w:t xml:space="preserve">Статья 46 (5)</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66"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8 (8)</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9,    </w:t>
            </w:r>
          </w:p>
          <w:p>
            <w:pPr>
              <w:pStyle w:val="1"/>
              <w:jc w:val="both"/>
            </w:pPr>
            <w:r>
              <w:rPr>
                <w:sz w:val="16"/>
              </w:rPr>
            </w:r>
            <w:hyperlink w:history="0" r:id="rId467"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первый</w:t>
              </w:r>
            </w:hyperlink>
            <w:r>
              <w:rPr>
                <w:sz w:val="16"/>
              </w:rPr>
            </w:r>
          </w:p>
          <w:p>
            <w:pPr>
              <w:pStyle w:val="1"/>
              <w:jc w:val="both"/>
            </w:pPr>
            <w:r>
              <w:rPr>
                <w:sz w:val="16"/>
              </w:rPr>
              <w:t xml:space="preserve">подпараграф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917" w:tooltip="1. Количество и вредность остатков должны быть сведены к минимуму; по необходимости осуществляется переработка остатков непосредственно на заводе или за его пределами.">
              <w:r>
                <w:rPr>
                  <w:sz w:val="16"/>
                  <w:color w:val="0000ff"/>
                </w:rPr>
                <w:t xml:space="preserve">Статья 53 (1)</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9,    </w:t>
            </w:r>
          </w:p>
          <w:p>
            <w:pPr>
              <w:pStyle w:val="1"/>
              <w:jc w:val="both"/>
            </w:pPr>
            <w:r>
              <w:rPr>
                <w:sz w:val="16"/>
              </w:rPr>
            </w:r>
            <w:hyperlink w:history="0" r:id="rId468"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второй</w:t>
              </w:r>
            </w:hyperlink>
            <w:r>
              <w:rPr>
                <w:sz w:val="16"/>
              </w:rPr>
            </w:r>
          </w:p>
          <w:p>
            <w:pPr>
              <w:pStyle w:val="1"/>
              <w:jc w:val="both"/>
            </w:pPr>
            <w:r>
              <w:rPr>
                <w:sz w:val="16"/>
              </w:rPr>
              <w:t xml:space="preserve">подпараграф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918" w:tooltip="2. Транспортировка и промежуточное хранение сухих остатков в форме пыли осуществляется таким образом, чтобы предотвратить их распыление в окружающую среду.">
              <w:r>
                <w:rPr>
                  <w:sz w:val="16"/>
                  <w:color w:val="0000ff"/>
                </w:rPr>
                <w:t xml:space="preserve">Статья 53 (2)</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9,    </w:t>
            </w:r>
          </w:p>
          <w:p>
            <w:pPr>
              <w:pStyle w:val="1"/>
              <w:jc w:val="both"/>
            </w:pPr>
            <w:r>
              <w:rPr>
                <w:sz w:val="16"/>
              </w:rPr>
            </w:r>
            <w:hyperlink w:history="0" r:id="rId469"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третий</w:t>
              </w:r>
            </w:hyperlink>
            <w:r>
              <w:rPr>
                <w:sz w:val="16"/>
              </w:rPr>
            </w:r>
          </w:p>
          <w:p>
            <w:pPr>
              <w:pStyle w:val="1"/>
              <w:jc w:val="both"/>
            </w:pPr>
            <w:r>
              <w:rPr>
                <w:sz w:val="16"/>
              </w:rPr>
              <w:t xml:space="preserve">подпараграф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919" w:tooltip="3. Перед определением способов захоронения или переработки остатков проводятся соответствующие тесты, чтобы установить физические и химические характеристики, а также способность к загрязнению таких остатков. Указанные тесты касаются суммарных растворимых фракций и растворимых фракций тяжелых металлов.">
              <w:r>
                <w:rPr>
                  <w:sz w:val="16"/>
                  <w:color w:val="0000ff"/>
                </w:rPr>
                <w:t xml:space="preserve">Статья 53 (3)</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70"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10 (1)</w:t>
              </w:r>
            </w:hyperlink>
          </w:p>
          <w:p>
            <w:pPr>
              <w:pStyle w:val="1"/>
              <w:jc w:val="both"/>
            </w:pPr>
            <w:r>
              <w:rPr>
                <w:sz w:val="16"/>
              </w:rPr>
              <w:t xml:space="preserve">и </w:t>
            </w:r>
            <w:hyperlink w:history="0" r:id="rId471"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(2)</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10    </w:t>
            </w:r>
          </w:p>
          <w:p>
            <w:pPr>
              <w:pStyle w:val="1"/>
              <w:jc w:val="both"/>
            </w:pPr>
            <w:r>
              <w:rPr>
                <w:sz w:val="16"/>
              </w:rPr>
            </w:r>
            <w:hyperlink w:history="0" r:id="rId472"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(3), первое</w:t>
              </w:r>
            </w:hyperlink>
            <w:r>
              <w:rPr>
                <w:sz w:val="16"/>
              </w:rPr>
            </w:r>
          </w:p>
          <w:p>
            <w:pPr>
              <w:pStyle w:val="1"/>
              <w:jc w:val="both"/>
            </w:pPr>
            <w:r>
              <w:rPr>
                <w:sz w:val="16"/>
              </w:rPr>
              <w:t xml:space="preserve">предложение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850" w:tooltip="2. Контроль за установкой и функционированием системы автоматического мониторинга, а также ежегодные контрольные испытания такой системы проводятся в соответствии с пунктом 1 части 6 Приложения VI к настоящей Директиве.">
              <w:r>
                <w:rPr>
                  <w:sz w:val="16"/>
                  <w:color w:val="0000ff"/>
                </w:rPr>
                <w:t xml:space="preserve">Статья 48 (2)</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10    </w:t>
            </w:r>
          </w:p>
          <w:p>
            <w:pPr>
              <w:pStyle w:val="1"/>
              <w:jc w:val="both"/>
            </w:pPr>
            <w:r>
              <w:rPr>
                <w:sz w:val="16"/>
              </w:rPr>
            </w:r>
            <w:hyperlink w:history="0" r:id="rId473"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(3), второе</w:t>
              </w:r>
            </w:hyperlink>
            <w:r>
              <w:rPr>
                <w:sz w:val="16"/>
              </w:rPr>
            </w:r>
          </w:p>
          <w:p>
            <w:pPr>
              <w:pStyle w:val="1"/>
              <w:jc w:val="both"/>
            </w:pPr>
            <w:r>
              <w:rPr>
                <w:sz w:val="16"/>
              </w:rPr>
              <w:t xml:space="preserve">предложение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74"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10 (4)</w:t>
              </w:r>
            </w:hyperlink>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851" w:tooltip="3. Компетентный орган определяет расположение мест взятия образцов или контрольно-измерительных точек, используемых при мониторинге выбросов.">
              <w:r>
                <w:rPr>
                  <w:sz w:val="16"/>
                  <w:color w:val="0000ff"/>
                </w:rPr>
                <w:t xml:space="preserve">Статья 48 (3)</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75"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10 (5)</w:t>
              </w:r>
            </w:hyperlink>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6, </w:t>
            </w:r>
          </w:p>
          <w:p>
            <w:pPr>
              <w:pStyle w:val="1"/>
              <w:jc w:val="both"/>
            </w:pPr>
            <w:r>
              <w:rPr>
                <w:sz w:val="16"/>
              </w:rPr>
              <w:t xml:space="preserve">вторая часть </w:t>
            </w:r>
          </w:p>
          <w:p>
            <w:pPr>
              <w:pStyle w:val="1"/>
              <w:jc w:val="both"/>
            </w:pPr>
            <w:r>
              <w:rPr>
                <w:sz w:val="16"/>
              </w:rPr>
            </w:r>
            <w:hyperlink w:history="0" w:anchor="P2690" w:tooltip="Периодические измерения выбросов в воздух должны проводиться в соответствии с пунктами 1.1 и 1.2.">
              <w:r>
                <w:rPr>
                  <w:sz w:val="16"/>
                  <w:color w:val="0000ff"/>
                </w:rPr>
                <w:t xml:space="preserve">пункта 1.3</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76"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11 (1)</w:t>
              </w:r>
            </w:hyperlink>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849" w:tooltip="1. Государства-члены ЕС гарантируют, что мониторинг выбросов осуществляется в соответствии с частями 6 и 7 Приложения VI к настоящей Директиве.">
              <w:r>
                <w:rPr>
                  <w:sz w:val="16"/>
                  <w:color w:val="0000ff"/>
                </w:rPr>
                <w:t xml:space="preserve">Статья 48 (1)</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77"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11 (2)</w:t>
              </w:r>
            </w:hyperlink>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6, </w:t>
            </w:r>
          </w:p>
          <w:p>
            <w:pPr>
              <w:pStyle w:val="1"/>
              <w:jc w:val="both"/>
            </w:pPr>
            <w:r>
              <w:rPr>
                <w:sz w:val="16"/>
              </w:rPr>
            </w:r>
            <w:hyperlink w:history="0" w:anchor="P2692" w:tooltip="2.1. Необходимо проводить следующие измерения загрязняющих воздух веществ:">
              <w:r>
                <w:rPr>
                  <w:sz w:val="16"/>
                  <w:color w:val="0000ff"/>
                </w:rPr>
                <w:t xml:space="preserve">пункт 2.1</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78"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11 (3)</w:t>
              </w:r>
            </w:hyperlink>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6, </w:t>
            </w:r>
          </w:p>
          <w:p>
            <w:pPr>
              <w:pStyle w:val="1"/>
              <w:jc w:val="both"/>
            </w:pPr>
            <w:r>
              <w:rPr>
                <w:sz w:val="16"/>
              </w:rPr>
            </w:r>
            <w:hyperlink w:history="0" w:anchor="P2699" w:tooltip="2.2. Необходимо надлежащим образом проверять время обработки, а также минимальную температуру и содержание кислорода в отработанных газах, по крайней мере, один раз при вводе в эксплуатацию завода по сжиганию отходов или завода по совместному сжиганию отходов и при наиболее неблагоприятных ожидаемых условиях.">
              <w:r>
                <w:rPr>
                  <w:sz w:val="16"/>
                  <w:color w:val="0000ff"/>
                </w:rPr>
                <w:t xml:space="preserve">пункт 2.2</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79"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11 (4)</w:t>
              </w:r>
            </w:hyperlink>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6, </w:t>
            </w:r>
          </w:p>
          <w:p>
            <w:pPr>
              <w:pStyle w:val="1"/>
              <w:jc w:val="both"/>
            </w:pPr>
            <w:r>
              <w:rPr>
                <w:sz w:val="16"/>
              </w:rPr>
            </w:r>
            <w:hyperlink w:history="0" w:anchor="P2700" w:tooltip="2.3. Непрерывные измерения HF могут не проводиться при наличии этапов обработки HCl, что гарантирует соблюдение порогового значения выбросов для HCl. В этом случае необходимо проводить периодические измерения выбросов HF в соответствии с пунктом 2.1 &quot;c&quot; настоящей части.">
              <w:r>
                <w:rPr>
                  <w:sz w:val="16"/>
                  <w:color w:val="0000ff"/>
                </w:rPr>
                <w:t xml:space="preserve">пункт 2.3</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80"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11 (5)</w:t>
              </w:r>
            </w:hyperlink>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6, </w:t>
            </w:r>
          </w:p>
          <w:p>
            <w:pPr>
              <w:pStyle w:val="1"/>
              <w:jc w:val="both"/>
            </w:pPr>
            <w:r>
              <w:rPr>
                <w:sz w:val="16"/>
              </w:rPr>
            </w:r>
            <w:hyperlink w:history="0" w:anchor="P2701" w:tooltip="2.4. Непрерывные измерения водяного пара не требуются, если образцы отработанного газа высушены перед проведением анализа.">
              <w:r>
                <w:rPr>
                  <w:sz w:val="16"/>
                  <w:color w:val="0000ff"/>
                </w:rPr>
                <w:t xml:space="preserve">пункт 2.4</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81"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11 (6)</w:t>
              </w:r>
            </w:hyperlink>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6, </w:t>
            </w:r>
          </w:p>
          <w:p>
            <w:pPr>
              <w:pStyle w:val="1"/>
              <w:jc w:val="both"/>
            </w:pPr>
            <w:r>
              <w:rPr>
                <w:sz w:val="16"/>
              </w:rPr>
              <w:t xml:space="preserve">пункт 2.5,   </w:t>
            </w:r>
          </w:p>
          <w:p>
            <w:pPr>
              <w:pStyle w:val="1"/>
              <w:jc w:val="both"/>
            </w:pPr>
            <w:r>
              <w:rPr>
                <w:sz w:val="16"/>
              </w:rPr>
            </w:r>
            <w:hyperlink w:history="0" w:anchor="P2702" w:tooltip="    2.5.  Компетентный  орган  вправе  не  требовать проведения непрерывных">
              <w:r>
                <w:rPr>
                  <w:sz w:val="16"/>
                  <w:color w:val="0000ff"/>
                </w:rPr>
                <w:t xml:space="preserve">первый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6, </w:t>
            </w:r>
          </w:p>
          <w:p>
            <w:pPr>
              <w:pStyle w:val="1"/>
              <w:jc w:val="both"/>
            </w:pPr>
            <w:r>
              <w:rPr>
                <w:sz w:val="16"/>
              </w:rPr>
              <w:t xml:space="preserve">пункт 2.5,   </w:t>
            </w:r>
          </w:p>
          <w:p>
            <w:pPr>
              <w:pStyle w:val="1"/>
              <w:jc w:val="both"/>
            </w:pPr>
            <w:r>
              <w:rPr>
                <w:sz w:val="16"/>
              </w:rPr>
            </w:r>
            <w:hyperlink w:history="0" w:anchor="P2710" w:tooltip="    Компетентный орган вправе не требовать проведения непрерывных измерений">
              <w:r>
                <w:rPr>
                  <w:sz w:val="16"/>
                  <w:color w:val="0000ff"/>
                </w:rPr>
                <w:t xml:space="preserve">второй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r>
            <w:hyperlink w:history="0" r:id="rId482"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(7), первая</w:t>
              </w:r>
            </w:hyperlink>
            <w:r>
              <w:rPr>
                <w:sz w:val="16"/>
              </w:rPr>
            </w:r>
          </w:p>
          <w:p>
            <w:pPr>
              <w:pStyle w:val="1"/>
              <w:jc w:val="both"/>
            </w:pPr>
            <w:r>
              <w:rPr>
                <w:sz w:val="16"/>
              </w:rPr>
              <w:t xml:space="preserve">часть первого</w:t>
            </w:r>
          </w:p>
          <w:p>
            <w:pPr>
              <w:pStyle w:val="1"/>
              <w:jc w:val="both"/>
            </w:pPr>
            <w:r>
              <w:rPr>
                <w:sz w:val="16"/>
              </w:rPr>
              <w:t xml:space="preserve">предложения  </w:t>
            </w:r>
          </w:p>
          <w:p>
            <w:pPr>
              <w:pStyle w:val="1"/>
              <w:jc w:val="both"/>
            </w:pPr>
            <w:r>
              <w:rPr>
                <w:sz w:val="16"/>
              </w:rPr>
              <w:t xml:space="preserve">первого      </w:t>
            </w:r>
          </w:p>
          <w:p>
            <w:pPr>
              <w:pStyle w:val="1"/>
              <w:jc w:val="both"/>
            </w:pPr>
            <w:r>
              <w:rPr>
                <w:sz w:val="16"/>
              </w:rPr>
              <w:t xml:space="preserve">подпараграфа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6, </w:t>
            </w:r>
          </w:p>
          <w:p>
            <w:pPr>
              <w:pStyle w:val="1"/>
              <w:jc w:val="both"/>
            </w:pPr>
            <w:r>
              <w:rPr>
                <w:sz w:val="16"/>
              </w:rPr>
              <w:t xml:space="preserve">пункт 2.6,   </w:t>
            </w:r>
          </w:p>
          <w:p>
            <w:pPr>
              <w:pStyle w:val="1"/>
              <w:jc w:val="both"/>
            </w:pPr>
            <w:r>
              <w:rPr>
                <w:sz w:val="16"/>
              </w:rPr>
            </w:r>
            <w:hyperlink w:history="0" w:anchor="P2721" w:tooltip="2.6. Компетентный орган вправе требовать проведения измерения один раз каждые два года для тяжелых металлов и раз в год - для диоксинов и фуранов в следующих случаях:">
              <w:r>
                <w:rPr>
                  <w:sz w:val="16"/>
                  <w:color w:val="0000ff"/>
                </w:rPr>
                <w:t xml:space="preserve">вводная фраза</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r>
            <w:hyperlink w:history="0" r:id="rId483"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(7), вторая</w:t>
              </w:r>
            </w:hyperlink>
            <w:r>
              <w:rPr>
                <w:sz w:val="16"/>
              </w:rPr>
            </w:r>
          </w:p>
          <w:p>
            <w:pPr>
              <w:pStyle w:val="1"/>
              <w:jc w:val="both"/>
            </w:pPr>
            <w:r>
              <w:rPr>
                <w:sz w:val="16"/>
              </w:rPr>
              <w:t xml:space="preserve">часть первого</w:t>
            </w:r>
          </w:p>
          <w:p>
            <w:pPr>
              <w:pStyle w:val="1"/>
              <w:jc w:val="both"/>
            </w:pPr>
            <w:r>
              <w:rPr>
                <w:sz w:val="16"/>
              </w:rPr>
              <w:t xml:space="preserve">предложения  </w:t>
            </w:r>
          </w:p>
          <w:p>
            <w:pPr>
              <w:pStyle w:val="1"/>
              <w:jc w:val="both"/>
            </w:pPr>
            <w:r>
              <w:rPr>
                <w:sz w:val="16"/>
              </w:rPr>
              <w:t xml:space="preserve">первого      </w:t>
            </w:r>
          </w:p>
          <w:p>
            <w:pPr>
              <w:pStyle w:val="1"/>
              <w:jc w:val="both"/>
            </w:pPr>
            <w:r>
              <w:rPr>
                <w:sz w:val="16"/>
              </w:rPr>
              <w:t xml:space="preserve">подпараграфа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6, </w:t>
            </w:r>
          </w:p>
          <w:p>
            <w:pPr>
              <w:pStyle w:val="1"/>
              <w:jc w:val="both"/>
            </w:pPr>
            <w:r>
              <w:rPr>
                <w:sz w:val="16"/>
              </w:rPr>
            </w:r>
            <w:hyperlink w:history="0" w:anchor="P2722" w:tooltip="a) выбросы, образующиеся вследствие совместного сжигания или сжигания отходов при всех обстоятельствах ниже 50% порогового значения выбросов;">
              <w:r>
                <w:rPr>
                  <w:sz w:val="16"/>
                  <w:color w:val="0000ff"/>
                </w:rPr>
                <w:t xml:space="preserve">пункт 2.6 "a"</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r>
            <w:hyperlink w:history="0" r:id="rId484"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(7), второе</w:t>
              </w:r>
            </w:hyperlink>
            <w:r>
              <w:rPr>
                <w:sz w:val="16"/>
              </w:rPr>
            </w:r>
          </w:p>
          <w:p>
            <w:pPr>
              <w:pStyle w:val="1"/>
              <w:jc w:val="both"/>
            </w:pPr>
            <w:r>
              <w:rPr>
                <w:sz w:val="16"/>
              </w:rPr>
              <w:t xml:space="preserve">предложение  </w:t>
            </w:r>
          </w:p>
          <w:p>
            <w:pPr>
              <w:pStyle w:val="1"/>
              <w:jc w:val="both"/>
            </w:pPr>
            <w:r>
              <w:rPr>
                <w:sz w:val="16"/>
              </w:rPr>
              <w:t xml:space="preserve">первого      </w:t>
            </w:r>
          </w:p>
          <w:p>
            <w:pPr>
              <w:pStyle w:val="1"/>
              <w:jc w:val="both"/>
            </w:pPr>
            <w:r>
              <w:rPr>
                <w:sz w:val="16"/>
              </w:rPr>
              <w:t xml:space="preserve">подпараграфа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r>
            <w:hyperlink w:history="0" r:id="rId485"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(7), второй</w:t>
              </w:r>
            </w:hyperlink>
            <w:r>
              <w:rPr>
                <w:sz w:val="16"/>
              </w:rPr>
            </w:r>
          </w:p>
          <w:p>
            <w:pPr>
              <w:pStyle w:val="1"/>
              <w:jc w:val="both"/>
            </w:pPr>
            <w:r>
              <w:rPr>
                <w:sz w:val="16"/>
              </w:rPr>
              <w:t xml:space="preserve">подпараграф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t xml:space="preserve">(7),         </w:t>
            </w:r>
          </w:p>
          <w:p>
            <w:pPr>
              <w:pStyle w:val="1"/>
              <w:jc w:val="both"/>
            </w:pPr>
            <w:r>
              <w:rPr>
                <w:sz w:val="16"/>
              </w:rPr>
            </w:r>
            <w:hyperlink w:history="0" r:id="rId486"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пункт "a"</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6, </w:t>
            </w:r>
          </w:p>
          <w:p>
            <w:pPr>
              <w:pStyle w:val="1"/>
              <w:jc w:val="both"/>
            </w:pPr>
            <w:r>
              <w:rPr>
                <w:sz w:val="16"/>
              </w:rPr>
            </w:r>
            <w:hyperlink w:history="0" w:anchor="P2723" w:tooltip="b) отходы, подлежащие совместному сжиганию или сжиганию, состоят только из отсортированных горючих фракций неопасных отходов, не пригодных для переработки и имеющих определенные характеристики, которые уточняются на основе оценки, предусмотренной пунктом &quot;c&quot; настоящего параграфа;">
              <w:r>
                <w:rPr>
                  <w:sz w:val="16"/>
                  <w:color w:val="0000ff"/>
                </w:rPr>
                <w:t xml:space="preserve">пункт 2.6 "b"</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t xml:space="preserve">(7), пункты  </w:t>
            </w:r>
          </w:p>
          <w:p>
            <w:pPr>
              <w:pStyle w:val="1"/>
              <w:jc w:val="both"/>
            </w:pPr>
            <w:r>
              <w:rPr>
                <w:sz w:val="16"/>
              </w:rPr>
            </w:r>
            <w:hyperlink w:history="0" r:id="rId487"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"b"</w:t>
              </w:r>
            </w:hyperlink>
            <w:r>
              <w:rPr>
                <w:sz w:val="16"/>
              </w:rPr>
              <w:t xml:space="preserve"> и </w:t>
            </w:r>
            <w:hyperlink w:history="0" r:id="rId488"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"c"</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t xml:space="preserve">(7),         </w:t>
            </w:r>
          </w:p>
          <w:p>
            <w:pPr>
              <w:pStyle w:val="1"/>
              <w:jc w:val="both"/>
            </w:pPr>
            <w:r>
              <w:rPr>
                <w:sz w:val="16"/>
              </w:rPr>
            </w:r>
            <w:hyperlink w:history="0" r:id="rId489"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пункт "d"</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6, </w:t>
            </w:r>
          </w:p>
          <w:p>
            <w:pPr>
              <w:pStyle w:val="1"/>
              <w:jc w:val="both"/>
            </w:pPr>
            <w:r>
              <w:rPr>
                <w:sz w:val="16"/>
              </w:rPr>
            </w:r>
            <w:hyperlink w:history="0" w:anchor="P2724" w:tooltip="c) оператор может доказать, основываясь на информации о качестве отходов и результатах мониторинга выбросов, что выбросы при всех обстоятельствах значительно ниже пороговых значений выбросов для тяжелых металлов, а также для диоксинов и фуранов.">
              <w:r>
                <w:rPr>
                  <w:sz w:val="16"/>
                  <w:color w:val="0000ff"/>
                </w:rPr>
                <w:t xml:space="preserve">пункт 2.6 "c"</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t xml:space="preserve">(7), пункты  </w:t>
            </w:r>
          </w:p>
          <w:p>
            <w:pPr>
              <w:pStyle w:val="1"/>
              <w:jc w:val="both"/>
            </w:pPr>
            <w:r>
              <w:rPr>
                <w:sz w:val="16"/>
              </w:rPr>
            </w:r>
            <w:hyperlink w:history="0" r:id="rId490"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"e"</w:t>
              </w:r>
            </w:hyperlink>
            <w:r>
              <w:rPr>
                <w:sz w:val="16"/>
              </w:rPr>
              <w:t xml:space="preserve"> и </w:t>
            </w:r>
            <w:hyperlink w:history="0" r:id="rId491"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"f"</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t xml:space="preserve">(8), первый  </w:t>
            </w:r>
          </w:p>
          <w:p>
            <w:pPr>
              <w:pStyle w:val="1"/>
              <w:jc w:val="both"/>
            </w:pPr>
            <w:r>
              <w:rPr>
                <w:sz w:val="16"/>
              </w:rPr>
              <w:t xml:space="preserve">подпараграф, </w:t>
            </w:r>
          </w:p>
          <w:p>
            <w:pPr>
              <w:pStyle w:val="1"/>
              <w:jc w:val="both"/>
            </w:pPr>
            <w:r>
              <w:rPr>
                <w:sz w:val="16"/>
              </w:rPr>
            </w:r>
            <w:hyperlink w:history="0" r:id="rId492"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пункты "a"</w:t>
              </w:r>
            </w:hyperlink>
            <w:r>
              <w:rPr>
                <w:sz w:val="16"/>
              </w:rPr>
              <w:t xml:space="preserve"> и </w:t>
            </w:r>
          </w:p>
          <w:p>
            <w:pPr>
              <w:pStyle w:val="1"/>
              <w:jc w:val="both"/>
            </w:pPr>
            <w:r>
              <w:rPr>
                <w:sz w:val="16"/>
              </w:rPr>
            </w:r>
            <w:hyperlink w:history="0" r:id="rId493"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"b"</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3, </w:t>
            </w:r>
          </w:p>
          <w:p>
            <w:pPr>
              <w:pStyle w:val="1"/>
              <w:jc w:val="both"/>
            </w:pPr>
            <w:r>
              <w:rPr>
                <w:sz w:val="16"/>
              </w:rPr>
            </w:r>
            <w:hyperlink w:history="0" w:anchor="P2140" w:tooltip="1. Пороговые значения выбросов в воздух исчисляются при температуре 273,15 K, давлении 101,3 kPa после корректировок содержания водяного пара в отработанных газах.">
              <w:r>
                <w:rPr>
                  <w:sz w:val="16"/>
                  <w:color w:val="0000ff"/>
                </w:rPr>
                <w:t xml:space="preserve">пункт 1</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t xml:space="preserve">(8), первый  </w:t>
            </w:r>
          </w:p>
          <w:p>
            <w:pPr>
              <w:pStyle w:val="1"/>
              <w:jc w:val="both"/>
            </w:pPr>
            <w:r>
              <w:rPr>
                <w:sz w:val="16"/>
              </w:rPr>
              <w:t xml:space="preserve">подпараграф, </w:t>
            </w:r>
          </w:p>
          <w:p>
            <w:pPr>
              <w:pStyle w:val="1"/>
              <w:jc w:val="both"/>
            </w:pPr>
            <w:r>
              <w:rPr>
                <w:sz w:val="16"/>
              </w:rPr>
            </w:r>
            <w:hyperlink w:history="0" r:id="rId494"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пункт "c"</w:t>
              </w:r>
            </w:hyperlink>
            <w:r>
              <w:rPr>
                <w:sz w:val="16"/>
              </w:rPr>
              <w:t xml:space="preserve"> и  </w:t>
            </w:r>
          </w:p>
          <w:p>
            <w:pPr>
              <w:pStyle w:val="1"/>
              <w:jc w:val="both"/>
            </w:pPr>
            <w:r>
              <w:rPr>
                <w:sz w:val="16"/>
              </w:rPr>
            </w:r>
            <w:hyperlink w:history="0" r:id="rId495"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второй</w:t>
              </w:r>
            </w:hyperlink>
            <w:r>
              <w:rPr>
                <w:sz w:val="16"/>
              </w:rPr>
            </w:r>
          </w:p>
          <w:p>
            <w:pPr>
              <w:pStyle w:val="1"/>
              <w:jc w:val="both"/>
            </w:pPr>
            <w:r>
              <w:rPr>
                <w:sz w:val="16"/>
              </w:rPr>
              <w:t xml:space="preserve">подпараграф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6, </w:t>
            </w:r>
          </w:p>
          <w:p>
            <w:pPr>
              <w:pStyle w:val="1"/>
              <w:jc w:val="both"/>
            </w:pPr>
            <w:r>
              <w:rPr>
                <w:sz w:val="16"/>
              </w:rPr>
            </w:r>
            <w:hyperlink w:history="0" w:anchor="P2726" w:tooltip="В случае если сжигание или совместное сжигание отходов осуществляется в обогащенной кислородом среде, результаты измерений могут быть стандартизированы при содержании кислорода, установленном компетентным органом с учетом конкретных обстоятельств для каждого отдельного случая.">
              <w:r>
                <w:rPr>
                  <w:sz w:val="16"/>
                  <w:color w:val="0000ff"/>
                </w:rPr>
                <w:t xml:space="preserve">второй</w:t>
              </w:r>
            </w:hyperlink>
            <w:r>
              <w:rPr>
                <w:sz w:val="16"/>
              </w:rPr>
            </w:r>
          </w:p>
          <w:p>
            <w:pPr>
              <w:pStyle w:val="1"/>
              <w:jc w:val="both"/>
            </w:pPr>
            <w:r>
              <w:rPr>
                <w:sz w:val="16"/>
              </w:rPr>
              <w:t xml:space="preserve">подпараграф  </w:t>
            </w:r>
          </w:p>
          <w:p>
            <w:pPr>
              <w:pStyle w:val="1"/>
              <w:jc w:val="both"/>
            </w:pPr>
            <w:r>
              <w:rPr>
                <w:sz w:val="16"/>
              </w:rPr>
              <w:t xml:space="preserve">пункта 2.7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t xml:space="preserve">(8), первый  </w:t>
            </w:r>
          </w:p>
          <w:p>
            <w:pPr>
              <w:pStyle w:val="1"/>
              <w:jc w:val="both"/>
            </w:pPr>
            <w:r>
              <w:rPr>
                <w:sz w:val="16"/>
              </w:rPr>
              <w:t xml:space="preserve">подпараграф, </w:t>
            </w:r>
          </w:p>
          <w:p>
            <w:pPr>
              <w:pStyle w:val="1"/>
              <w:jc w:val="both"/>
            </w:pPr>
            <w:r>
              <w:rPr>
                <w:sz w:val="16"/>
              </w:rPr>
            </w:r>
            <w:hyperlink w:history="0" r:id="rId496"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пункт "d"</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4, </w:t>
            </w:r>
          </w:p>
          <w:p>
            <w:pPr>
              <w:pStyle w:val="1"/>
              <w:jc w:val="both"/>
            </w:pPr>
            <w:r>
              <w:rPr>
                <w:sz w:val="16"/>
              </w:rPr>
              <w:t xml:space="preserve">пункт 2.1,   </w:t>
            </w:r>
          </w:p>
          <w:p>
            <w:pPr>
              <w:pStyle w:val="1"/>
              <w:jc w:val="both"/>
            </w:pPr>
            <w:r>
              <w:rPr>
                <w:sz w:val="16"/>
              </w:rPr>
            </w:r>
            <w:hyperlink w:history="0" w:anchor="P2322" w:tooltip="Все значения стандартизированы при 10-процентном содержании кислорода.">
              <w:r>
                <w:rPr>
                  <w:sz w:val="16"/>
                  <w:color w:val="0000ff"/>
                </w:rPr>
                <w:t xml:space="preserve">второй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497"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11 (9)</w:t>
              </w:r>
            </w:hyperlink>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852" w:tooltip="4. Результаты мониторинга фиксируются, обрабатываются и представляются таким образом, чтобы компетентный орган мог проверить соответствие условиям эксплуатации и пороговым значениям выбросов, установленным в разрешении.">
              <w:r>
                <w:rPr>
                  <w:sz w:val="16"/>
                  <w:color w:val="0000ff"/>
                </w:rPr>
                <w:t xml:space="preserve">Статья 48 (4)</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r>
            <w:hyperlink w:history="0" r:id="rId498"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(10)</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8, </w:t>
            </w:r>
          </w:p>
          <w:p>
            <w:pPr>
              <w:pStyle w:val="1"/>
              <w:jc w:val="both"/>
            </w:pPr>
            <w:r>
              <w:rPr>
                <w:sz w:val="16"/>
              </w:rPr>
            </w:r>
            <w:hyperlink w:history="0" w:anchor="P2767" w:tooltip="1.1. Пороговые значения выбросов в воздух считаются соблюденными, если:">
              <w:r>
                <w:rPr>
                  <w:sz w:val="16"/>
                  <w:color w:val="0000ff"/>
                </w:rPr>
                <w:t xml:space="preserve">пункт 1.1</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r>
            <w:hyperlink w:history="0" r:id="rId499"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(11)</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8, </w:t>
            </w:r>
          </w:p>
          <w:p>
            <w:pPr>
              <w:pStyle w:val="1"/>
              <w:jc w:val="both"/>
            </w:pPr>
            <w:r>
              <w:rPr>
                <w:sz w:val="16"/>
              </w:rPr>
            </w:r>
            <w:hyperlink w:history="0" w:anchor="P2776" w:tooltip="1.2. Средние получасовые значения, а также средние десятиминутные значения определяются в течение эффективного рабочего времени (за исключением периодов включения и отключения, если не осуществляется сжигание отходов) путем вычитания из измеренных значений значения доверительного интервала, указанные в пункте 1.3 части 6 настоящего Приложения. Среднесуточные значения определяются на основе этих действительных средних значений.">
              <w:r>
                <w:rPr>
                  <w:sz w:val="16"/>
                  <w:color w:val="0000ff"/>
                </w:rPr>
                <w:t xml:space="preserve">пункт 1.2</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r>
            <w:hyperlink w:history="0" r:id="rId500"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(12)</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8, </w:t>
            </w:r>
          </w:p>
          <w:p>
            <w:pPr>
              <w:pStyle w:val="1"/>
              <w:jc w:val="both"/>
            </w:pPr>
            <w:r>
              <w:rPr>
                <w:sz w:val="16"/>
              </w:rPr>
            </w:r>
            <w:hyperlink w:history="0" w:anchor="P2778" w:tooltip="    1.3.  Средние  значения  за период отбора, а также средние значения при">
              <w:r>
                <w:rPr>
                  <w:sz w:val="16"/>
                  <w:color w:val="0000ff"/>
                </w:rPr>
                <w:t xml:space="preserve">пункт 1.3</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r>
            <w:hyperlink w:history="0" r:id="rId501"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(13)</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853" w:tooltip="5. Как только Европейский Союз будет располагать соответствующими технологиями измерений, Европейская комиссия посредством актов делегированного законодательства в соответствии со статьей 76 настоящей Директивы, а также в соответствии с условиями, предусмотренными статьями 77 и 78 настоящей Директивы, определяет дату, с которой должны проводиться непрерывные измерения выбросов в воздух тяжелых металлов, диоксинов и фуранов.">
              <w:r>
                <w:rPr>
                  <w:sz w:val="16"/>
                  <w:color w:val="0000ff"/>
                </w:rPr>
                <w:t xml:space="preserve">Статья 48 (5)</w:t>
              </w:r>
            </w:hyperlink>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r>
            <w:hyperlink w:history="0" w:anchor="P855" w:tooltip="Статья 49">
              <w:r>
                <w:rPr>
                  <w:sz w:val="16"/>
                  <w:color w:val="0000ff"/>
                </w:rPr>
                <w:t xml:space="preserve">Статья 49</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r>
            <w:hyperlink w:history="0" r:id="rId502"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(14)</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6, </w:t>
            </w:r>
          </w:p>
          <w:p>
            <w:pPr>
              <w:pStyle w:val="1"/>
              <w:jc w:val="both"/>
            </w:pPr>
            <w:r>
              <w:rPr>
                <w:sz w:val="16"/>
              </w:rPr>
            </w:r>
            <w:hyperlink w:history="0" w:anchor="P2729" w:tooltip="3.1. Необходимо проводить следующие измерения в месте сброса сточных вод:">
              <w:r>
                <w:rPr>
                  <w:sz w:val="16"/>
                  <w:color w:val="0000ff"/>
                </w:rPr>
                <w:t xml:space="preserve">пункт 3.1</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r>
            <w:hyperlink w:history="0" r:id="rId503"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(15)</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45    </w:t>
            </w:r>
          </w:p>
          <w:p>
            <w:pPr>
              <w:pStyle w:val="1"/>
              <w:jc w:val="both"/>
            </w:pPr>
            <w:r>
              <w:rPr>
                <w:sz w:val="16"/>
              </w:rPr>
              <w:t xml:space="preserve">(1),         </w:t>
            </w:r>
          </w:p>
          <w:p>
            <w:pPr>
              <w:pStyle w:val="1"/>
              <w:jc w:val="both"/>
            </w:pPr>
            <w:r>
              <w:rPr>
                <w:sz w:val="16"/>
              </w:rPr>
            </w:r>
            <w:hyperlink w:history="0" w:anchor="P814" w:tooltip="e) порядок и частота взятия образцов и проведения измерений с учетом условий, установленных для мониторинга выбросов;">
              <w:r>
                <w:rPr>
                  <w:sz w:val="16"/>
                  <w:color w:val="0000ff"/>
                </w:rPr>
                <w:t xml:space="preserve">пункт "e"</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r>
            <w:hyperlink w:history="0" r:id="rId504"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(16)</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8, </w:t>
            </w:r>
          </w:p>
          <w:p>
            <w:pPr>
              <w:pStyle w:val="1"/>
              <w:jc w:val="both"/>
            </w:pPr>
            <w:r>
              <w:rPr>
                <w:sz w:val="16"/>
              </w:rPr>
            </w:r>
            <w:hyperlink w:history="0" w:anchor="P2783" w:tooltip="2. Пороговые значения выбросов в воду">
              <w:r>
                <w:rPr>
                  <w:sz w:val="16"/>
                  <w:color w:val="0000ff"/>
                </w:rPr>
                <w:t xml:space="preserve">пункт 2</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11    </w:t>
            </w:r>
          </w:p>
          <w:p>
            <w:pPr>
              <w:pStyle w:val="1"/>
              <w:jc w:val="both"/>
            </w:pPr>
            <w:r>
              <w:rPr>
                <w:sz w:val="16"/>
              </w:rPr>
            </w:r>
            <w:hyperlink w:history="0" r:id="rId505"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(17)</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8 (2),</w:t>
            </w:r>
          </w:p>
          <w:p>
            <w:pPr>
              <w:pStyle w:val="1"/>
              <w:jc w:val="both"/>
            </w:pPr>
            <w:r>
              <w:rPr>
                <w:sz w:val="16"/>
              </w:rPr>
            </w:r>
            <w:hyperlink w:history="0" w:anchor="P283" w:tooltip="a) оператор незамедлительно информирует компетентный орган;">
              <w:r>
                <w:rPr>
                  <w:sz w:val="16"/>
                  <w:color w:val="0000ff"/>
                </w:rPr>
                <w:t xml:space="preserve">пункт "a"</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506"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12 (1)</w:t>
              </w:r>
            </w:hyperlink>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933" w:tooltip="1. Заявления на выдачу новых разрешений для заводов по сжиганию отходов или заводов по совместному сжиганию отходов должно быть опубликовано в одном или нескольких местах в течение надлежащего периода, что позволит общественности оставлять свои комментарии относительно заявлений до принятия решений компетентными органами. Такое решение, в том числе копия разрешения и любые последующие изменения, также должны быть опубликованы.">
              <w:r>
                <w:rPr>
                  <w:sz w:val="16"/>
                  <w:color w:val="0000ff"/>
                </w:rPr>
                <w:t xml:space="preserve">Статья 55 (1)</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12    </w:t>
            </w:r>
          </w:p>
          <w:p>
            <w:pPr>
              <w:pStyle w:val="1"/>
              <w:jc w:val="both"/>
            </w:pPr>
            <w:r>
              <w:rPr>
                <w:sz w:val="16"/>
              </w:rPr>
            </w:r>
            <w:hyperlink w:history="0" r:id="rId507"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(2), первое</w:t>
              </w:r>
            </w:hyperlink>
            <w:r>
              <w:rPr>
                <w:sz w:val="16"/>
              </w:rPr>
              <w:t xml:space="preserve"> и</w:t>
            </w:r>
          </w:p>
          <w:p>
            <w:pPr>
              <w:pStyle w:val="1"/>
              <w:jc w:val="both"/>
            </w:pPr>
            <w:r>
              <w:rPr>
                <w:sz w:val="16"/>
              </w:rPr>
            </w:r>
            <w:hyperlink w:history="0" r:id="rId508"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второе</w:t>
              </w:r>
            </w:hyperlink>
            <w:r>
              <w:rPr>
                <w:sz w:val="16"/>
              </w:rPr>
            </w:r>
          </w:p>
          <w:p>
            <w:pPr>
              <w:pStyle w:val="1"/>
              <w:jc w:val="both"/>
            </w:pPr>
            <w:r>
              <w:rPr>
                <w:sz w:val="16"/>
              </w:rPr>
              <w:t xml:space="preserve">предложения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934" w:tooltip="2. В отношении заводов по сжиганию отходов или заводов по совместному сжиганию отходов с номинальной производительностью 2 тонны или более в час отчет, предусмотренный статьей 72 настоящей Директивы, должен содержать информацию о функционировании и мониторинге завода, отчетность о ходе процессов сжигания и совместного сжигания отходов, а также об уровне выбросов в воздух и воду по сравнению с пороговыми значениями выбросов. Такая информация должна быть опубликована.">
              <w:r>
                <w:rPr>
                  <w:sz w:val="16"/>
                  <w:color w:val="0000ff"/>
                </w:rPr>
                <w:t xml:space="preserve">Статья 55 (2)</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12    </w:t>
            </w:r>
          </w:p>
          <w:p>
            <w:pPr>
              <w:pStyle w:val="1"/>
              <w:jc w:val="both"/>
            </w:pPr>
            <w:r>
              <w:rPr>
                <w:sz w:val="16"/>
              </w:rPr>
            </w:r>
            <w:hyperlink w:history="0" r:id="rId509"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(2), третье</w:t>
              </w:r>
            </w:hyperlink>
            <w:r>
              <w:rPr>
                <w:sz w:val="16"/>
              </w:rPr>
            </w:r>
          </w:p>
          <w:p>
            <w:pPr>
              <w:pStyle w:val="1"/>
              <w:jc w:val="both"/>
            </w:pPr>
            <w:r>
              <w:rPr>
                <w:sz w:val="16"/>
              </w:rPr>
              <w:t xml:space="preserve">предложение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935" w:tooltip="3. Перечень заводов по сжиганию отходов или заводов по совместному сжиганию отходов с номинальной производительностью менее 2 тонн в час составляется компетентным органом и подлежит опубликованию.">
              <w:r>
                <w:rPr>
                  <w:sz w:val="16"/>
                  <w:color w:val="0000ff"/>
                </w:rPr>
                <w:t xml:space="preserve">Статья 55 (3)</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510"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13 (1)</w:t>
              </w:r>
            </w:hyperlink>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Статья 45    </w:t>
            </w:r>
          </w:p>
          <w:p>
            <w:pPr>
              <w:pStyle w:val="1"/>
              <w:jc w:val="both"/>
            </w:pPr>
            <w:r>
              <w:rPr>
                <w:sz w:val="16"/>
              </w:rPr>
              <w:t xml:space="preserve">(1),         </w:t>
            </w:r>
          </w:p>
          <w:p>
            <w:pPr>
              <w:pStyle w:val="1"/>
              <w:jc w:val="both"/>
            </w:pPr>
            <w:r>
              <w:rPr>
                <w:sz w:val="16"/>
              </w:rPr>
            </w:r>
            <w:hyperlink w:history="0" w:anchor="P815" w:tooltip="f) максимально допустимый период технически неизбежных перебоев, помех или нарушений функционирования очистительных или измерительных приборов, в течение которого выбросы в воздух или сливы сточных вод могут превышать установленные пороговые значения выбросов.">
              <w:r>
                <w:rPr>
                  <w:sz w:val="16"/>
                  <w:color w:val="0000ff"/>
                </w:rPr>
                <w:t xml:space="preserve">пункт "f"</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511"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13 (2)</w:t>
              </w:r>
            </w:hyperlink>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839" w:tooltip="Статья 47">
              <w:r>
                <w:rPr>
                  <w:sz w:val="16"/>
                  <w:color w:val="0000ff"/>
                </w:rPr>
                <w:t xml:space="preserve">Статья 47</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512"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13 (3)</w:t>
              </w:r>
            </w:hyperlink>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w:anchor="P835" w:tooltip="6. Без ущерба действию статьи 50 (4) &quot;c&quot; настоящей Директивы заводы по сжиганию отходов или заводы по совместному сжиганию отходов либо отдельные печи, входящие в состав таких заводов, ни при каких обстоятельствах не должны сжигать отходы более 4 часов подряд при превышении пороговых значений выбросов.">
              <w:r>
                <w:rPr>
                  <w:sz w:val="16"/>
                  <w:color w:val="0000ff"/>
                </w:rPr>
                <w:t xml:space="preserve">Статья 46 (6)</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513"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13 (4)</w:t>
              </w:r>
            </w:hyperlink>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3, </w:t>
            </w:r>
          </w:p>
          <w:p>
            <w:pPr>
              <w:pStyle w:val="1"/>
              <w:jc w:val="both"/>
            </w:pPr>
            <w:r>
              <w:rPr>
                <w:sz w:val="16"/>
              </w:rPr>
            </w:r>
            <w:hyperlink w:history="0" w:anchor="P2254" w:tooltip="2. Пороговые значения выбросов, применимые при условиях, предусмотренных статьей 46 (6) и статьей 47 настоящей Директивы.">
              <w:r>
                <w:rPr>
                  <w:sz w:val="16"/>
                  <w:color w:val="0000ff"/>
                </w:rPr>
                <w:t xml:space="preserve">пункт 2</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514"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14</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515"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15</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516"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16</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517"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Статья 20</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518"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Приложение I</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w:t>
            </w:r>
            <w:hyperlink w:history="0" w:anchor="P2088" w:tooltip="Часть 2">
              <w:r>
                <w:rPr>
                  <w:sz w:val="16"/>
                  <w:color w:val="0000ff"/>
                </w:rPr>
                <w:t xml:space="preserve">часть 2</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II, </w:t>
            </w:r>
            <w:hyperlink w:history="0" r:id="rId519"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первая</w:t>
              </w:r>
            </w:hyperlink>
            <w:r>
              <w:rPr>
                <w:sz w:val="16"/>
              </w:rPr>
            </w:r>
          </w:p>
          <w:p>
            <w:pPr>
              <w:pStyle w:val="1"/>
              <w:jc w:val="both"/>
            </w:pPr>
            <w:r>
              <w:rPr>
                <w:sz w:val="16"/>
              </w:rPr>
              <w:t xml:space="preserve">часть (без   </w:t>
            </w:r>
          </w:p>
          <w:p>
            <w:pPr>
              <w:pStyle w:val="1"/>
              <w:jc w:val="both"/>
            </w:pPr>
            <w:r>
              <w:rPr>
                <w:sz w:val="16"/>
              </w:rPr>
              <w:t xml:space="preserve">перечисления)</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4, </w:t>
            </w:r>
          </w:p>
          <w:p>
            <w:pPr>
              <w:pStyle w:val="1"/>
              <w:jc w:val="both"/>
            </w:pPr>
            <w:r>
              <w:rPr>
                <w:sz w:val="16"/>
              </w:rPr>
            </w:r>
            <w:hyperlink w:history="0" w:anchor="P2267" w:tooltip="1. В случае если общее пороговое значение выбросов C не определено в таблице, предусмотренной настоящей частью, применяется следующая формула (правило смешивания).">
              <w:r>
                <w:rPr>
                  <w:sz w:val="16"/>
                  <w:color w:val="0000ff"/>
                </w:rPr>
                <w:t xml:space="preserve">пункт 1</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II, пункт 1, </w:t>
            </w:r>
          </w:p>
          <w:p>
            <w:pPr>
              <w:pStyle w:val="1"/>
              <w:jc w:val="both"/>
            </w:pPr>
            <w:r>
              <w:rPr>
                <w:sz w:val="16"/>
              </w:rPr>
            </w:r>
            <w:hyperlink w:history="0" r:id="rId520"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вводная фраза</w:t>
              </w:r>
            </w:hyperlink>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4, </w:t>
            </w:r>
          </w:p>
          <w:p>
            <w:pPr>
              <w:pStyle w:val="1"/>
              <w:jc w:val="both"/>
            </w:pPr>
            <w:r>
              <w:rPr>
                <w:sz w:val="16"/>
              </w:rPr>
            </w:r>
            <w:hyperlink w:history="0" w:anchor="P2314" w:tooltip="    2.1.  Пороговые  значения  выбросов,  установленные в пунктах 2.2 и 2.3">
              <w:r>
                <w:rPr>
                  <w:sz w:val="16"/>
                  <w:color w:val="0000ff"/>
                </w:rPr>
                <w:t xml:space="preserve">пункт 2.1</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II, пункты   </w:t>
            </w:r>
          </w:p>
          <w:p>
            <w:pPr>
              <w:pStyle w:val="1"/>
              <w:jc w:val="both"/>
            </w:pPr>
            <w:r>
              <w:rPr>
                <w:sz w:val="16"/>
              </w:rPr>
            </w:r>
            <w:hyperlink w:history="0" r:id="rId521"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1.1</w:t>
              </w:r>
            </w:hyperlink>
            <w:r>
              <w:rPr>
                <w:sz w:val="16"/>
              </w:rPr>
              <w:t xml:space="preserve"> и </w:t>
            </w:r>
            <w:hyperlink w:history="0" r:id="rId522"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1.2</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4, </w:t>
            </w:r>
          </w:p>
          <w:p>
            <w:pPr>
              <w:pStyle w:val="1"/>
              <w:jc w:val="both"/>
            </w:pPr>
            <w:r>
              <w:rPr>
                <w:sz w:val="16"/>
              </w:rPr>
            </w:r>
            <w:hyperlink w:history="0" w:anchor="P2325" w:tooltip="    2.2.  C  -  общие пороговые значения выбросов (мг/Nm  кроме диоксинов и">
              <w:r>
                <w:rPr>
                  <w:sz w:val="16"/>
                  <w:color w:val="0000ff"/>
                </w:rPr>
                <w:t xml:space="preserve">пункты 2.2</w:t>
              </w:r>
            </w:hyperlink>
            <w:r>
              <w:rPr>
                <w:sz w:val="16"/>
              </w:rPr>
              <w:t xml:space="preserve"> и </w:t>
            </w:r>
          </w:p>
          <w:p>
            <w:pPr>
              <w:pStyle w:val="1"/>
              <w:jc w:val="both"/>
            </w:pPr>
            <w:r>
              <w:rPr>
                <w:sz w:val="16"/>
              </w:rPr>
            </w:r>
            <w:hyperlink w:history="0" w:anchor="P2360" w:tooltip="    2.3. C - общие пороговые значения выбросов (мг/Nm ) для SO  и TOC">
              <w:r>
                <w:rPr>
                  <w:sz w:val="16"/>
                  <w:color w:val="0000ff"/>
                </w:rPr>
                <w:t xml:space="preserve">2.3</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4, </w:t>
            </w:r>
          </w:p>
          <w:p>
            <w:pPr>
              <w:pStyle w:val="1"/>
              <w:jc w:val="both"/>
            </w:pPr>
            <w:r>
              <w:rPr>
                <w:sz w:val="16"/>
              </w:rPr>
            </w:r>
            <w:hyperlink w:history="0" w:anchor="P2376" w:tooltip="2.4. C - общие пороговые значения выбросов для CO">
              <w:r>
                <w:rPr>
                  <w:sz w:val="16"/>
                  <w:color w:val="0000ff"/>
                </w:rPr>
                <w:t xml:space="preserve">пункт 2.4</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II, </w:t>
            </w:r>
            <w:hyperlink w:history="0" r:id="rId523"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пункт 1.3</w:t>
              </w:r>
            </w:hyperlink>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II, </w:t>
            </w:r>
            <w:hyperlink w:history="0" r:id="rId524"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пункт 2.1</w:t>
              </w:r>
            </w:hyperlink>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4, </w:t>
            </w:r>
          </w:p>
          <w:p>
            <w:pPr>
              <w:pStyle w:val="1"/>
              <w:jc w:val="both"/>
            </w:pPr>
            <w:r>
              <w:rPr>
                <w:sz w:val="16"/>
              </w:rPr>
            </w:r>
            <w:hyperlink w:history="0" w:anchor="P2380" w:tooltip="    3.1.   Значение   C       ,   выраженное  как  среднесуточное  значение">
              <w:r>
                <w:rPr>
                  <w:sz w:val="16"/>
                  <w:color w:val="0000ff"/>
                </w:rPr>
                <w:t xml:space="preserve">пункт 3.1</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4, </w:t>
            </w:r>
          </w:p>
          <w:p>
            <w:pPr>
              <w:pStyle w:val="1"/>
              <w:jc w:val="both"/>
            </w:pPr>
            <w:r>
              <w:rPr>
                <w:sz w:val="16"/>
              </w:rPr>
            </w:r>
            <w:hyperlink w:history="0" w:anchor="P2436" w:tooltip="    3.2.   Значение   C       ,   выраженное  как  среднесуточное  значение">
              <w:r>
                <w:rPr>
                  <w:sz w:val="16"/>
                  <w:color w:val="0000ff"/>
                </w:rPr>
                <w:t xml:space="preserve">пункт 3.2</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II, </w:t>
            </w:r>
            <w:hyperlink w:history="0" r:id="rId525"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пункт 2.2</w:t>
              </w:r>
            </w:hyperlink>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4, </w:t>
            </w:r>
          </w:p>
          <w:p>
            <w:pPr>
              <w:pStyle w:val="1"/>
              <w:jc w:val="both"/>
            </w:pPr>
            <w:r>
              <w:rPr>
                <w:sz w:val="16"/>
              </w:rPr>
            </w:r>
            <w:hyperlink w:history="0" w:anchor="P2565" w:tooltip="    3.3.  C  -  это  общие пороговые значения выбросов для тяжелых металлов">
              <w:r>
                <w:rPr>
                  <w:sz w:val="16"/>
                  <w:color w:val="0000ff"/>
                </w:rPr>
                <w:t xml:space="preserve">пункт 3.3</w:t>
              </w:r>
            </w:hyperlink>
            <w:r>
              <w:rPr>
                <w:sz w:val="16"/>
              </w:rPr>
              <w:t xml:space="preserve"> и  </w:t>
            </w:r>
          </w:p>
          <w:p>
            <w:pPr>
              <w:pStyle w:val="1"/>
              <w:jc w:val="both"/>
            </w:pPr>
            <w:r>
              <w:rPr>
                <w:sz w:val="16"/>
              </w:rPr>
            </w:r>
            <w:hyperlink w:history="0" w:anchor="P2583" w:tooltip="    3.4. C - это общие пороговые значения выбросов (ng/Nm ) для диоксинов и">
              <w:r>
                <w:rPr>
                  <w:sz w:val="16"/>
                  <w:color w:val="0000ff"/>
                </w:rPr>
                <w:t xml:space="preserve">3.4</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II, </w:t>
            </w:r>
            <w:hyperlink w:history="0" r:id="rId526"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пункт 3</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4, </w:t>
            </w:r>
          </w:p>
          <w:p>
            <w:pPr>
              <w:pStyle w:val="1"/>
              <w:jc w:val="both"/>
            </w:pPr>
            <w:r>
              <w:rPr>
                <w:sz w:val="16"/>
              </w:rPr>
            </w:r>
            <w:hyperlink w:history="0" w:anchor="P2595" w:tooltip="4. Специальные положения для заводов по совместному сжиганию отходов в промышленных отраслях, не подпадающих под действие пунктов 2 и 3 настоящей части">
              <w:r>
                <w:rPr>
                  <w:sz w:val="16"/>
                  <w:color w:val="0000ff"/>
                </w:rPr>
                <w:t xml:space="preserve">пункт 4</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r>
            <w:hyperlink w:history="0" r:id="rId527"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III</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6, </w:t>
            </w:r>
          </w:p>
          <w:p>
            <w:pPr>
              <w:pStyle w:val="1"/>
              <w:jc w:val="both"/>
            </w:pPr>
            <w:r>
              <w:rPr>
                <w:sz w:val="16"/>
              </w:rPr>
            </w:r>
            <w:hyperlink w:history="0" w:anchor="P2669" w:tooltip="1. Технологии измерения">
              <w:r>
                <w:rPr>
                  <w:sz w:val="16"/>
                  <w:color w:val="0000ff"/>
                </w:rPr>
                <w:t xml:space="preserve">пункт 1</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IV, </w:t>
            </w:r>
            <w:hyperlink w:history="0" r:id="rId528"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таблица</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w:t>
            </w:r>
            <w:hyperlink w:history="0" w:anchor="P2620" w:tooltip="Часть 5">
              <w:r>
                <w:rPr>
                  <w:sz w:val="16"/>
                  <w:color w:val="0000ff"/>
                </w:rPr>
                <w:t xml:space="preserve">часть 5</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IV, </w:t>
            </w:r>
            <w:hyperlink w:history="0" r:id="rId529"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последнее</w:t>
              </w:r>
            </w:hyperlink>
          </w:p>
          <w:p>
            <w:pPr>
              <w:pStyle w:val="1"/>
              <w:jc w:val="both"/>
            </w:pPr>
            <w:r>
              <w:rPr>
                <w:sz w:val="16"/>
              </w:rPr>
              <w:t xml:space="preserve">предложение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V,</w:t>
            </w:r>
          </w:p>
          <w:p>
            <w:pPr>
              <w:pStyle w:val="1"/>
              <w:jc w:val="both"/>
            </w:pPr>
            <w:r>
              <w:rPr>
                <w:sz w:val="16"/>
              </w:rPr>
            </w:r>
            <w:hyperlink w:history="0" r:id="rId530"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пункт "a"</w:t>
              </w:r>
            </w:hyperlink>
            <w:r>
              <w:rPr>
                <w:sz w:val="16"/>
              </w:rPr>
              <w:t xml:space="preserve">,   </w:t>
            </w:r>
          </w:p>
          <w:p>
            <w:pPr>
              <w:pStyle w:val="1"/>
              <w:jc w:val="both"/>
            </w:pPr>
            <w:r>
              <w:rPr>
                <w:sz w:val="16"/>
              </w:rPr>
              <w:t xml:space="preserve">таблица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3, </w:t>
            </w:r>
          </w:p>
          <w:p>
            <w:pPr>
              <w:pStyle w:val="1"/>
              <w:jc w:val="both"/>
            </w:pPr>
            <w:r>
              <w:rPr>
                <w:sz w:val="16"/>
              </w:rPr>
            </w:r>
            <w:hyperlink w:history="0" w:anchor="P2142" w:tooltip="    1.1.   Среднесуточные   пороговые   значения   выбросов  для  следующих">
              <w:r>
                <w:rPr>
                  <w:sz w:val="16"/>
                  <w:color w:val="0000ff"/>
                </w:rPr>
                <w:t xml:space="preserve">пункт 1.1</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V,</w:t>
            </w:r>
          </w:p>
          <w:p>
            <w:pPr>
              <w:pStyle w:val="1"/>
              <w:jc w:val="both"/>
            </w:pPr>
            <w:r>
              <w:rPr>
                <w:sz w:val="16"/>
              </w:rPr>
              <w:t xml:space="preserve">пункт "a",   </w:t>
            </w:r>
          </w:p>
          <w:p>
            <w:pPr>
              <w:pStyle w:val="1"/>
              <w:jc w:val="both"/>
            </w:pPr>
            <w:r>
              <w:rPr>
                <w:sz w:val="16"/>
              </w:rPr>
            </w:r>
            <w:hyperlink w:history="0" r:id="rId531"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последнее</w:t>
              </w:r>
            </w:hyperlink>
            <w:r>
              <w:rPr>
                <w:sz w:val="16"/>
              </w:rPr>
            </w:r>
          </w:p>
          <w:p>
            <w:pPr>
              <w:pStyle w:val="1"/>
              <w:jc w:val="both"/>
            </w:pPr>
            <w:r>
              <w:rPr>
                <w:sz w:val="16"/>
              </w:rPr>
              <w:t xml:space="preserve">предложение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V,</w:t>
            </w:r>
          </w:p>
          <w:p>
            <w:pPr>
              <w:pStyle w:val="1"/>
              <w:jc w:val="both"/>
            </w:pPr>
            <w:r>
              <w:rPr>
                <w:sz w:val="16"/>
              </w:rPr>
              <w:t xml:space="preserve">пункт "b",   </w:t>
            </w:r>
          </w:p>
          <w:p>
            <w:pPr>
              <w:pStyle w:val="1"/>
              <w:jc w:val="both"/>
            </w:pPr>
            <w:r>
              <w:rPr>
                <w:sz w:val="16"/>
              </w:rPr>
            </w:r>
            <w:hyperlink w:history="0" r:id="rId532"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таблица</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3, </w:t>
            </w:r>
          </w:p>
          <w:p>
            <w:pPr>
              <w:pStyle w:val="1"/>
              <w:jc w:val="both"/>
            </w:pPr>
            <w:r>
              <w:rPr>
                <w:sz w:val="16"/>
              </w:rPr>
            </w:r>
            <w:hyperlink w:history="0" w:anchor="P2171" w:tooltip="    1.2.  Средние  получасовые  пороговые  значения  выбросов для следующих">
              <w:r>
                <w:rPr>
                  <w:sz w:val="16"/>
                  <w:color w:val="0000ff"/>
                </w:rPr>
                <w:t xml:space="preserve">пункт 1.2</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V,</w:t>
            </w:r>
          </w:p>
          <w:p>
            <w:pPr>
              <w:pStyle w:val="1"/>
              <w:jc w:val="both"/>
            </w:pPr>
            <w:r>
              <w:rPr>
                <w:sz w:val="16"/>
              </w:rPr>
            </w:r>
            <w:hyperlink w:history="0" r:id="rId533"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пункт "b"</w:t>
              </w:r>
            </w:hyperlink>
            <w:r>
              <w:rPr>
                <w:sz w:val="16"/>
              </w:rPr>
              <w:t xml:space="preserve">,   </w:t>
            </w:r>
          </w:p>
          <w:p>
            <w:pPr>
              <w:pStyle w:val="1"/>
              <w:jc w:val="both"/>
            </w:pPr>
            <w:r>
              <w:rPr>
                <w:sz w:val="16"/>
              </w:rPr>
              <w:t xml:space="preserve">последнее    </w:t>
            </w:r>
          </w:p>
          <w:p>
            <w:pPr>
              <w:pStyle w:val="1"/>
              <w:jc w:val="both"/>
            </w:pPr>
            <w:r>
              <w:rPr>
                <w:sz w:val="16"/>
              </w:rPr>
              <w:t xml:space="preserve">предложение  </w:t>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V,</w:t>
            </w:r>
          </w:p>
          <w:p>
            <w:pPr>
              <w:pStyle w:val="1"/>
              <w:jc w:val="both"/>
            </w:pPr>
            <w:r>
              <w:rPr>
                <w:sz w:val="16"/>
              </w:rPr>
            </w:r>
            <w:hyperlink w:history="0" r:id="rId534"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пункт "c"</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3, </w:t>
            </w:r>
          </w:p>
          <w:p>
            <w:pPr>
              <w:pStyle w:val="1"/>
              <w:jc w:val="both"/>
            </w:pPr>
            <w:r>
              <w:rPr>
                <w:sz w:val="16"/>
              </w:rPr>
            </w:r>
            <w:hyperlink w:history="0" w:anchor="P2200" w:tooltip="    1.3. Средние пороговые значения выбросов (мг/Nm ) для следующих тяжелых">
              <w:r>
                <w:rPr>
                  <w:sz w:val="16"/>
                  <w:color w:val="0000ff"/>
                </w:rPr>
                <w:t xml:space="preserve">пункт 1.3</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V,</w:t>
            </w:r>
          </w:p>
          <w:p>
            <w:pPr>
              <w:pStyle w:val="1"/>
              <w:jc w:val="both"/>
            </w:pPr>
            <w:r>
              <w:rPr>
                <w:sz w:val="16"/>
              </w:rPr>
            </w:r>
            <w:hyperlink w:history="0" r:id="rId535"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пункт "d"</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3, </w:t>
            </w:r>
          </w:p>
          <w:p>
            <w:pPr>
              <w:pStyle w:val="1"/>
              <w:jc w:val="both"/>
            </w:pPr>
            <w:r>
              <w:rPr>
                <w:sz w:val="16"/>
              </w:rPr>
            </w:r>
            <w:hyperlink w:history="0" w:anchor="P2232" w:tooltip="    1.4.  Средние  пороговые  значения  выбросов  (ng/Nm )  для диоксинов и">
              <w:r>
                <w:rPr>
                  <w:sz w:val="16"/>
                  <w:color w:val="0000ff"/>
                </w:rPr>
                <w:t xml:space="preserve">пункт 1.4</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V,</w:t>
            </w:r>
          </w:p>
          <w:p>
            <w:pPr>
              <w:pStyle w:val="1"/>
              <w:jc w:val="both"/>
            </w:pPr>
            <w:r>
              <w:rPr>
                <w:sz w:val="16"/>
              </w:rPr>
            </w:r>
            <w:hyperlink w:history="0" r:id="rId536"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пункт "e"</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3, </w:t>
            </w:r>
          </w:p>
          <w:p>
            <w:pPr>
              <w:pStyle w:val="1"/>
              <w:jc w:val="both"/>
            </w:pPr>
            <w:r>
              <w:rPr>
                <w:sz w:val="16"/>
              </w:rPr>
            </w:r>
            <w:hyperlink w:history="0" w:anchor="P2242" w:tooltip="    1.5. Пороговые значения выбросов (мг/Nm ) для моноксида углерода (СО) в">
              <w:r>
                <w:rPr>
                  <w:sz w:val="16"/>
                  <w:color w:val="0000ff"/>
                </w:rPr>
                <w:t xml:space="preserve">пункт 1.5</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V,</w:t>
            </w:r>
          </w:p>
          <w:p>
            <w:pPr>
              <w:pStyle w:val="1"/>
              <w:jc w:val="both"/>
            </w:pPr>
            <w:r>
              <w:rPr>
                <w:sz w:val="16"/>
              </w:rPr>
            </w:r>
            <w:hyperlink w:history="0" r:id="rId537"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пункт "f"</w:t>
              </w:r>
            </w:hyperlink>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часть 3, </w:t>
            </w:r>
          </w:p>
          <w:p>
            <w:pPr>
              <w:pStyle w:val="1"/>
              <w:jc w:val="both"/>
            </w:pPr>
            <w:r>
              <w:rPr>
                <w:sz w:val="16"/>
              </w:rPr>
            </w:r>
            <w:hyperlink w:history="0" w:anchor="P2260" w:tooltip="3. Государства-члены ЕС вправе разработать нормы, регламентирующие предоставление исключений в соответствии с настоящей частью.">
              <w:r>
                <w:rPr>
                  <w:sz w:val="16"/>
                  <w:color w:val="0000ff"/>
                </w:rPr>
                <w:t xml:space="preserve">пункт 3</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hyperlink w:history="0" r:id="rId538" w:tooltip="Директива N 2000/76/ЕС Европейского парламента и Совета Европейского Союза &quot;О сжигании отходов&quot; [рус., англ.] (Вместе с &quot;Факторами эквивалентности для диоксинов и дибензофуранов&quot;, &quot;Определением пределов выбросов в воздушную среду для совместного сжигания опасных...&quot;, &quot;Измерительной техникой&quot;, &lt;Пределами сбросов водяных отходов после очистки выхлопных газов и выбросов&gt;) (Принята в г. Брюсселе 04.12.2000) ------------ Утратил силу или отменен {КонсультантПлюс}">
              <w:r>
                <w:rPr>
                  <w:sz w:val="16"/>
                  <w:color w:val="0000ff"/>
                </w:rPr>
                <w:t xml:space="preserve">Приложение VI</w:t>
              </w:r>
            </w:hyperlink>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w:t>
            </w:r>
          </w:p>
          <w:p>
            <w:pPr>
              <w:pStyle w:val="1"/>
              <w:jc w:val="both"/>
            </w:pPr>
            <w:r>
              <w:rPr>
                <w:sz w:val="16"/>
              </w:rPr>
              <w:t xml:space="preserve">VI, </w:t>
            </w:r>
            <w:hyperlink w:history="0" w:anchor="P2739" w:tooltip="Часть 7">
              <w:r>
                <w:rPr>
                  <w:sz w:val="16"/>
                  <w:color w:val="0000ff"/>
                </w:rPr>
                <w:t xml:space="preserve">часть 7</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539"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Статья 1</w:t>
              </w:r>
            </w:hyperlink>
            <w:r>
              <w:rPr>
                <w:sz w:val="16"/>
              </w:rPr>
            </w:r>
          </w:p>
        </w:tc>
        <w:tc>
          <w:tcPr>
            <w:tcW w:w="1485" w:type="dxa"/>
            <w:tcBorders>
              <w:top w:val="nil"/>
            </w:tcBorders>
          </w:tcPr>
          <w:p>
            <w:pPr>
              <w:pStyle w:val="1"/>
              <w:jc w:val="both"/>
            </w:pPr>
            <w:r>
              <w:rPr>
                <w:sz w:val="16"/>
              </w:rPr>
              <w:t xml:space="preserve">Статья 28,   </w:t>
            </w:r>
          </w:p>
          <w:p>
            <w:pPr>
              <w:pStyle w:val="1"/>
              <w:jc w:val="both"/>
            </w:pPr>
            <w:r>
              <w:rPr>
                <w:sz w:val="16"/>
              </w:rPr>
            </w:r>
            <w:hyperlink w:history="0" w:anchor="P580" w:tooltip="Настоящая глава применяется по отношению к заводам по сжиганию, совокупная номинальная тепловая мощность которых составляет 50 MW или выше независимо от вида используемого топлива.">
              <w:r>
                <w:rPr>
                  <w:sz w:val="16"/>
                  <w:color w:val="0000ff"/>
                </w:rPr>
                <w:t xml:space="preserve">первый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540"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Статья 2 (2)</w:t>
              </w:r>
            </w:hyperlink>
          </w:p>
        </w:tc>
        <w:tc>
          <w:tcPr>
            <w:tcW w:w="1485" w:type="dxa"/>
            <w:tcBorders>
              <w:top w:val="nil"/>
            </w:tcBorders>
          </w:tcPr>
          <w:p>
            <w:pPr>
              <w:pStyle w:val="1"/>
              <w:jc w:val="both"/>
            </w:pPr>
            <w:r>
              <w:rPr>
                <w:sz w:val="16"/>
              </w:rPr>
              <w:t xml:space="preserve">Приложение   </w:t>
            </w:r>
          </w:p>
          <w:p>
            <w:pPr>
              <w:pStyle w:val="1"/>
              <w:jc w:val="both"/>
            </w:pPr>
            <w:r>
              <w:rPr>
                <w:sz w:val="16"/>
              </w:rPr>
              <w:t xml:space="preserve">V, часть 1,  </w:t>
            </w:r>
          </w:p>
          <w:p>
            <w:pPr>
              <w:pStyle w:val="1"/>
              <w:jc w:val="both"/>
            </w:pPr>
            <w:r>
              <w:rPr>
                <w:sz w:val="16"/>
              </w:rPr>
            </w:r>
            <w:hyperlink w:history="0" w:anchor="P1515" w:tooltip="    1.  Все  пороговые значения выбросов исчисляются при температуре 273,15">
              <w:r>
                <w:rPr>
                  <w:sz w:val="16"/>
                  <w:color w:val="0000ff"/>
                </w:rPr>
                <w:t xml:space="preserve">пункт 1</w:t>
              </w:r>
            </w:hyperlink>
            <w:r>
              <w:rPr>
                <w:sz w:val="16"/>
              </w:rPr>
              <w:t xml:space="preserve"> и    </w:t>
            </w:r>
          </w:p>
          <w:p>
            <w:pPr>
              <w:pStyle w:val="1"/>
              <w:jc w:val="both"/>
            </w:pPr>
            <w:r>
              <w:rPr>
                <w:sz w:val="16"/>
              </w:rPr>
              <w:t xml:space="preserve">часть 2,     </w:t>
            </w:r>
          </w:p>
          <w:p>
            <w:pPr>
              <w:pStyle w:val="1"/>
              <w:jc w:val="both"/>
            </w:pPr>
            <w:r>
              <w:rPr>
                <w:sz w:val="16"/>
              </w:rPr>
              <w:t xml:space="preserve">пункт 1,     </w:t>
            </w:r>
          </w:p>
          <w:p>
            <w:pPr>
              <w:pStyle w:val="1"/>
              <w:jc w:val="both"/>
            </w:pPr>
            <w:r>
              <w:rPr>
                <w:sz w:val="16"/>
              </w:rPr>
            </w:r>
            <w:hyperlink w:history="0" w:anchor="P1776" w:tooltip="    1.  Все  пороговые значения выбросов исчисляются при температуре 273,15">
              <w:r>
                <w:rPr>
                  <w:sz w:val="16"/>
                  <w:color w:val="0000ff"/>
                </w:rPr>
                <w:t xml:space="preserve">первый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Приложение V,</w:t>
            </w:r>
          </w:p>
          <w:p>
            <w:pPr>
              <w:pStyle w:val="1"/>
              <w:jc w:val="both"/>
            </w:pPr>
            <w:r>
              <w:rPr>
                <w:sz w:val="16"/>
              </w:rPr>
              <w:t xml:space="preserve">часть 1,     </w:t>
            </w:r>
          </w:p>
          <w:p>
            <w:pPr>
              <w:pStyle w:val="1"/>
              <w:jc w:val="both"/>
            </w:pPr>
            <w:r>
              <w:rPr>
                <w:sz w:val="16"/>
              </w:rPr>
            </w:r>
            <w:hyperlink w:history="0" w:anchor="P1515" w:tooltip="    1.  Все  пороговые значения выбросов исчисляются при температуре 273,15">
              <w:r>
                <w:rPr>
                  <w:sz w:val="16"/>
                  <w:color w:val="0000ff"/>
                </w:rPr>
                <w:t xml:space="preserve">пункт 1</w:t>
              </w:r>
            </w:hyperlink>
            <w:r>
              <w:rPr>
                <w:sz w:val="16"/>
              </w:rPr>
              <w:t xml:space="preserve"> и    </w:t>
            </w:r>
          </w:p>
          <w:p>
            <w:pPr>
              <w:pStyle w:val="1"/>
              <w:jc w:val="both"/>
            </w:pPr>
            <w:r>
              <w:rPr>
                <w:sz w:val="16"/>
              </w:rPr>
              <w:t xml:space="preserve">часть 2,     </w:t>
            </w:r>
          </w:p>
          <w:p>
            <w:pPr>
              <w:pStyle w:val="1"/>
              <w:jc w:val="both"/>
            </w:pPr>
            <w:r>
              <w:rPr>
                <w:sz w:val="16"/>
              </w:rPr>
              <w:t xml:space="preserve">пункт 1,     </w:t>
            </w:r>
          </w:p>
          <w:p>
            <w:pPr>
              <w:pStyle w:val="1"/>
              <w:jc w:val="both"/>
            </w:pPr>
            <w:r>
              <w:rPr>
                <w:sz w:val="16"/>
              </w:rPr>
            </w:r>
            <w:hyperlink w:history="0" w:anchor="P1783" w:tooltip="    В  отношении  газовых  турбин  комбинированного  цикла с дополнительным">
              <w:r>
                <w:rPr>
                  <w:sz w:val="16"/>
                  <w:color w:val="0000ff"/>
                </w:rPr>
                <w:t xml:space="preserve">второй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2 (3)</w:t>
            </w:r>
          </w:p>
          <w:p>
            <w:pPr>
              <w:pStyle w:val="1"/>
              <w:jc w:val="both"/>
            </w:pPr>
            <w:r>
              <w:rPr>
                <w:sz w:val="16"/>
              </w:rPr>
            </w:r>
            <w:hyperlink w:history="0" r:id="rId541"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вторая часть</w:t>
              </w:r>
            </w:hyperlink>
          </w:p>
        </w:tc>
        <w:tc>
          <w:tcPr>
            <w:tcW w:w="1485" w:type="dxa"/>
            <w:tcBorders>
              <w:top w:val="nil"/>
            </w:tcBorders>
          </w:tcPr>
          <w:p>
            <w:pPr>
              <w:pStyle w:val="1"/>
              <w:jc w:val="both"/>
            </w:pPr>
            <w:r>
              <w:rPr>
                <w:sz w:val="16"/>
              </w:rPr>
              <w:t xml:space="preserve">Приложение V,</w:t>
            </w:r>
          </w:p>
          <w:p>
            <w:pPr>
              <w:pStyle w:val="1"/>
              <w:jc w:val="both"/>
            </w:pPr>
            <w:r>
              <w:rPr>
                <w:sz w:val="16"/>
              </w:rPr>
              <w:t xml:space="preserve">часть 1,     </w:t>
            </w:r>
          </w:p>
          <w:p>
            <w:pPr>
              <w:pStyle w:val="1"/>
              <w:jc w:val="both"/>
            </w:pPr>
            <w:r>
              <w:rPr>
                <w:sz w:val="16"/>
              </w:rPr>
            </w:r>
            <w:hyperlink w:history="0" w:anchor="P1515" w:tooltip="    1.  Все  пороговые значения выбросов исчисляются при температуре 273,15">
              <w:r>
                <w:rPr>
                  <w:sz w:val="16"/>
                  <w:color w:val="0000ff"/>
                </w:rPr>
                <w:t xml:space="preserve">пункт 1</w:t>
              </w:r>
            </w:hyperlink>
            <w:r>
              <w:rPr>
                <w:sz w:val="16"/>
              </w:rPr>
              <w:t xml:space="preserve"> и    </w:t>
            </w:r>
          </w:p>
          <w:p>
            <w:pPr>
              <w:pStyle w:val="1"/>
              <w:jc w:val="both"/>
            </w:pPr>
            <w:r>
              <w:rPr>
                <w:sz w:val="16"/>
              </w:rPr>
              <w:t xml:space="preserve">часть 2,     </w:t>
            </w:r>
          </w:p>
          <w:p>
            <w:pPr>
              <w:pStyle w:val="1"/>
              <w:jc w:val="both"/>
            </w:pPr>
            <w:r>
              <w:rPr>
                <w:sz w:val="16"/>
              </w:rPr>
              <w:t xml:space="preserve">пункт 1,     </w:t>
            </w:r>
          </w:p>
          <w:p>
            <w:pPr>
              <w:pStyle w:val="1"/>
              <w:jc w:val="both"/>
            </w:pPr>
            <w:r>
              <w:rPr>
                <w:sz w:val="16"/>
              </w:rPr>
            </w:r>
            <w:hyperlink w:history="0" w:anchor="P1776" w:tooltip="    1.  Все  пороговые значения выбросов исчисляются при температуре 273,15">
              <w:r>
                <w:rPr>
                  <w:sz w:val="16"/>
                  <w:color w:val="0000ff"/>
                </w:rPr>
                <w:t xml:space="preserve">первый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Приложение V,</w:t>
            </w:r>
          </w:p>
          <w:p>
            <w:pPr>
              <w:pStyle w:val="1"/>
              <w:jc w:val="both"/>
            </w:pPr>
            <w:r>
              <w:rPr>
                <w:sz w:val="16"/>
              </w:rPr>
              <w:t xml:space="preserve">часть 1,     </w:t>
            </w:r>
          </w:p>
          <w:p>
            <w:pPr>
              <w:pStyle w:val="1"/>
              <w:jc w:val="both"/>
            </w:pPr>
            <w:r>
              <w:rPr>
                <w:sz w:val="16"/>
              </w:rPr>
            </w:r>
            <w:hyperlink w:history="0" w:anchor="P1515" w:tooltip="    1.  Все  пороговые значения выбросов исчисляются при температуре 273,15">
              <w:r>
                <w:rPr>
                  <w:sz w:val="16"/>
                  <w:color w:val="0000ff"/>
                </w:rPr>
                <w:t xml:space="preserve">пункт 1</w:t>
              </w:r>
            </w:hyperlink>
            <w:r>
              <w:rPr>
                <w:sz w:val="16"/>
              </w:rPr>
              <w:t xml:space="preserve"> и    </w:t>
            </w:r>
          </w:p>
          <w:p>
            <w:pPr>
              <w:pStyle w:val="1"/>
              <w:jc w:val="both"/>
            </w:pPr>
            <w:r>
              <w:rPr>
                <w:sz w:val="16"/>
              </w:rPr>
              <w:t xml:space="preserve">часть 2,     </w:t>
            </w:r>
          </w:p>
          <w:p>
            <w:pPr>
              <w:pStyle w:val="1"/>
              <w:jc w:val="both"/>
            </w:pPr>
            <w:r>
              <w:rPr>
                <w:sz w:val="16"/>
              </w:rPr>
              <w:t xml:space="preserve">пункт 1,     </w:t>
            </w:r>
          </w:p>
          <w:p>
            <w:pPr>
              <w:pStyle w:val="1"/>
              <w:jc w:val="both"/>
            </w:pPr>
            <w:r>
              <w:rPr>
                <w:sz w:val="16"/>
              </w:rPr>
            </w:r>
            <w:hyperlink w:history="0" w:anchor="P1783" w:tooltip="    В  отношении  газовых  турбин  комбинированного  цикла с дополнительным">
              <w:r>
                <w:rPr>
                  <w:sz w:val="16"/>
                  <w:color w:val="0000ff"/>
                </w:rPr>
                <w:t xml:space="preserve">второй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542"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Статья 2 (4)</w:t>
              </w:r>
            </w:hyperlink>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2    </w:t>
            </w:r>
          </w:p>
          <w:p>
            <w:pPr>
              <w:pStyle w:val="1"/>
              <w:jc w:val="both"/>
            </w:pPr>
            <w:r>
              <w:rPr>
                <w:sz w:val="16"/>
              </w:rPr>
            </w:r>
            <w:hyperlink w:history="0" r:id="rId543"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(6), первая</w:t>
              </w:r>
            </w:hyperlink>
            <w:r>
              <w:rPr>
                <w:sz w:val="16"/>
              </w:rPr>
            </w:r>
          </w:p>
          <w:p>
            <w:pPr>
              <w:pStyle w:val="1"/>
              <w:jc w:val="both"/>
            </w:pPr>
            <w:r>
              <w:rPr>
                <w:sz w:val="16"/>
              </w:rPr>
              <w:t xml:space="preserve">часть       </w:t>
            </w:r>
          </w:p>
        </w:tc>
        <w:tc>
          <w:tcPr>
            <w:tcW w:w="1485" w:type="dxa"/>
            <w:tcBorders>
              <w:top w:val="nil"/>
            </w:tcBorders>
          </w:tcPr>
          <w:p>
            <w:pPr>
              <w:pStyle w:val="1"/>
              <w:jc w:val="both"/>
            </w:pPr>
            <w:r>
              <w:rPr>
                <w:sz w:val="16"/>
              </w:rPr>
            </w:r>
            <w:hyperlink w:history="0" w:anchor="P188" w:tooltip="24) под &quot;топливом&quot; понимается любые твердые, жидкие или газообразные горючие материалы;">
              <w:r>
                <w:rPr>
                  <w:sz w:val="16"/>
                  <w:color w:val="0000ff"/>
                </w:rPr>
                <w:t xml:space="preserve">Статья 3 (24)</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2    </w:t>
            </w:r>
          </w:p>
          <w:p>
            <w:pPr>
              <w:pStyle w:val="1"/>
              <w:jc w:val="both"/>
            </w:pPr>
            <w:r>
              <w:rPr>
                <w:sz w:val="16"/>
              </w:rPr>
            </w:r>
            <w:hyperlink w:history="0" r:id="rId544"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(6), вторая</w:t>
              </w:r>
            </w:hyperlink>
            <w:r>
              <w:rPr>
                <w:sz w:val="16"/>
              </w:rPr>
            </w:r>
          </w:p>
          <w:p>
            <w:pPr>
              <w:pStyle w:val="1"/>
              <w:jc w:val="both"/>
            </w:pPr>
            <w:r>
              <w:rPr>
                <w:sz w:val="16"/>
              </w:rPr>
              <w:t xml:space="preserve">часть       </w:t>
            </w:r>
          </w:p>
        </w:tc>
        <w:tc>
          <w:tcPr>
            <w:tcW w:w="1485" w:type="dxa"/>
            <w:tcBorders>
              <w:top w:val="nil"/>
            </w:tcBorders>
          </w:tcPr>
          <w:p>
            <w:pPr>
              <w:pStyle w:val="1"/>
              <w:jc w:val="both"/>
            </w:pPr>
            <w:r>
              <w:rPr>
                <w:sz w:val="16"/>
              </w:rPr>
              <w:t xml:space="preserve">Статья 28,   </w:t>
            </w:r>
          </w:p>
          <w:p>
            <w:pPr>
              <w:pStyle w:val="1"/>
              <w:jc w:val="both"/>
            </w:pPr>
            <w:r>
              <w:rPr>
                <w:sz w:val="16"/>
              </w:rPr>
              <w:t xml:space="preserve">второй       </w:t>
            </w:r>
          </w:p>
          <w:p>
            <w:pPr>
              <w:pStyle w:val="1"/>
              <w:jc w:val="both"/>
            </w:pPr>
            <w:r>
              <w:rPr>
                <w:sz w:val="16"/>
              </w:rPr>
              <w:t xml:space="preserve">подпараграф, </w:t>
            </w:r>
          </w:p>
          <w:p>
            <w:pPr>
              <w:pStyle w:val="1"/>
              <w:jc w:val="both"/>
            </w:pPr>
            <w:r>
              <w:rPr>
                <w:sz w:val="16"/>
              </w:rPr>
            </w:r>
            <w:hyperlink w:history="0" w:anchor="P591" w:tooltip="j) заводам, которые используют в качестве топлива любые твердые или жидкие отходы, за исключением отходов, указанных в пункте &quot;b&quot; пункта 31 статьи 3 настоящей Директивы.">
              <w:r>
                <w:rPr>
                  <w:sz w:val="16"/>
                  <w:color w:val="0000ff"/>
                </w:rPr>
                <w:t xml:space="preserve">пункт "j"</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2    </w:t>
            </w:r>
          </w:p>
          <w:p>
            <w:pPr>
              <w:pStyle w:val="1"/>
              <w:jc w:val="both"/>
            </w:pPr>
            <w:r>
              <w:rPr>
                <w:sz w:val="16"/>
              </w:rPr>
            </w:r>
            <w:hyperlink w:history="0" r:id="rId545"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(7), первый</w:t>
              </w:r>
            </w:hyperlink>
            <w:r>
              <w:rPr>
                <w:sz w:val="16"/>
              </w:rPr>
            </w:r>
          </w:p>
          <w:p>
            <w:pPr>
              <w:pStyle w:val="1"/>
              <w:jc w:val="both"/>
            </w:pPr>
            <w:r>
              <w:rPr>
                <w:sz w:val="16"/>
              </w:rPr>
              <w:t xml:space="preserve">подпараграф </w:t>
            </w:r>
          </w:p>
        </w:tc>
        <w:tc>
          <w:tcPr>
            <w:tcW w:w="1485" w:type="dxa"/>
            <w:tcBorders>
              <w:top w:val="nil"/>
            </w:tcBorders>
          </w:tcPr>
          <w:p>
            <w:pPr>
              <w:pStyle w:val="1"/>
              <w:jc w:val="both"/>
            </w:pPr>
            <w:r>
              <w:rPr>
                <w:sz w:val="16"/>
              </w:rPr>
            </w:r>
            <w:hyperlink w:history="0" w:anchor="P189" w:tooltip="25) под &quot;заводом по сжиганию&quot; понимается любой технический аппарат, в котором топливо окисляется в целях использования образовавшегося тепла;">
              <w:r>
                <w:rPr>
                  <w:sz w:val="16"/>
                  <w:color w:val="0000ff"/>
                </w:rPr>
                <w:t xml:space="preserve">Статья 3 (25)</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2    </w:t>
            </w:r>
          </w:p>
          <w:p>
            <w:pPr>
              <w:pStyle w:val="1"/>
              <w:jc w:val="both"/>
            </w:pPr>
            <w:r>
              <w:rPr>
                <w:sz w:val="16"/>
              </w:rPr>
              <w:t xml:space="preserve">(7), второй </w:t>
            </w:r>
          </w:p>
          <w:p>
            <w:pPr>
              <w:pStyle w:val="1"/>
              <w:jc w:val="both"/>
            </w:pPr>
            <w:r>
              <w:rPr>
                <w:sz w:val="16"/>
              </w:rPr>
              <w:t xml:space="preserve">подпараграф,</w:t>
            </w:r>
          </w:p>
          <w:p>
            <w:pPr>
              <w:pStyle w:val="1"/>
              <w:jc w:val="both"/>
            </w:pPr>
            <w:r>
              <w:rPr>
                <w:sz w:val="16"/>
              </w:rPr>
            </w:r>
            <w:hyperlink w:history="0" r:id="rId546"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первое</w:t>
              </w:r>
            </w:hyperlink>
            <w:r>
              <w:rPr>
                <w:sz w:val="16"/>
              </w:rPr>
            </w:r>
          </w:p>
          <w:p>
            <w:pPr>
              <w:pStyle w:val="1"/>
              <w:jc w:val="both"/>
            </w:pPr>
            <w:r>
              <w:rPr>
                <w:sz w:val="16"/>
              </w:rPr>
              <w:t xml:space="preserve">предложение </w:t>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2    </w:t>
            </w:r>
          </w:p>
          <w:p>
            <w:pPr>
              <w:pStyle w:val="1"/>
              <w:jc w:val="both"/>
            </w:pPr>
            <w:r>
              <w:rPr>
                <w:sz w:val="16"/>
              </w:rPr>
              <w:t xml:space="preserve">(7), второй </w:t>
            </w:r>
          </w:p>
          <w:p>
            <w:pPr>
              <w:pStyle w:val="1"/>
              <w:jc w:val="both"/>
            </w:pPr>
            <w:r>
              <w:rPr>
                <w:sz w:val="16"/>
              </w:rPr>
              <w:t xml:space="preserve">подпараграф,</w:t>
            </w:r>
          </w:p>
          <w:p>
            <w:pPr>
              <w:pStyle w:val="1"/>
              <w:jc w:val="both"/>
            </w:pPr>
            <w:r>
              <w:rPr>
                <w:sz w:val="16"/>
              </w:rPr>
            </w:r>
            <w:hyperlink w:history="0" r:id="rId547"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второе</w:t>
              </w:r>
            </w:hyperlink>
            <w:r>
              <w:rPr>
                <w:sz w:val="16"/>
              </w:rPr>
            </w:r>
          </w:p>
          <w:p>
            <w:pPr>
              <w:pStyle w:val="1"/>
              <w:jc w:val="both"/>
            </w:pPr>
            <w:r>
              <w:rPr>
                <w:sz w:val="16"/>
              </w:rPr>
              <w:t xml:space="preserve">предложение </w:t>
            </w:r>
          </w:p>
          <w:p>
            <w:pPr>
              <w:pStyle w:val="1"/>
              <w:jc w:val="both"/>
            </w:pPr>
            <w:r>
              <w:rPr>
                <w:sz w:val="16"/>
              </w:rPr>
              <w:t xml:space="preserve">и пункты    </w:t>
            </w:r>
          </w:p>
          <w:p>
            <w:pPr>
              <w:pStyle w:val="1"/>
              <w:jc w:val="both"/>
            </w:pPr>
            <w:r>
              <w:rPr>
                <w:sz w:val="16"/>
              </w:rPr>
            </w:r>
            <w:hyperlink w:history="0" r:id="rId548"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"a"</w:t>
              </w:r>
            </w:hyperlink>
            <w:r>
              <w:rPr>
                <w:sz w:val="16"/>
              </w:rPr>
              <w:t xml:space="preserve"> - </w:t>
            </w:r>
            <w:hyperlink w:history="0" r:id="rId549"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"i"</w:t>
              </w:r>
            </w:hyperlink>
            <w:r>
              <w:rPr>
                <w:sz w:val="16"/>
              </w:rPr>
            </w:r>
          </w:p>
        </w:tc>
        <w:tc>
          <w:tcPr>
            <w:tcW w:w="1485" w:type="dxa"/>
            <w:tcBorders>
              <w:top w:val="nil"/>
            </w:tcBorders>
          </w:tcPr>
          <w:p>
            <w:pPr>
              <w:pStyle w:val="1"/>
              <w:jc w:val="both"/>
            </w:pPr>
            <w:r>
              <w:rPr>
                <w:sz w:val="16"/>
              </w:rPr>
              <w:t xml:space="preserve">Статья 28,   </w:t>
            </w:r>
          </w:p>
          <w:p>
            <w:pPr>
              <w:pStyle w:val="1"/>
              <w:jc w:val="both"/>
            </w:pPr>
            <w:r>
              <w:rPr>
                <w:sz w:val="16"/>
              </w:rPr>
              <w:t xml:space="preserve">второй       </w:t>
            </w:r>
          </w:p>
          <w:p>
            <w:pPr>
              <w:pStyle w:val="1"/>
              <w:jc w:val="both"/>
            </w:pPr>
            <w:r>
              <w:rPr>
                <w:sz w:val="16"/>
              </w:rPr>
            </w:r>
            <w:hyperlink w:history="0" w:anchor="P581" w:tooltip="Настоящая глава не применяется по отношению к следующим заводам по сжиганию:">
              <w:r>
                <w:rPr>
                  <w:sz w:val="16"/>
                  <w:color w:val="0000ff"/>
                </w:rPr>
                <w:t xml:space="preserve">подпараграф</w:t>
              </w:r>
            </w:hyperlink>
            <w:r>
              <w:rPr>
                <w:sz w:val="16"/>
              </w:rPr>
              <w:t xml:space="preserve"> и</w:t>
            </w:r>
          </w:p>
          <w:p>
            <w:pPr>
              <w:pStyle w:val="1"/>
              <w:jc w:val="both"/>
            </w:pPr>
            <w:r>
              <w:rPr>
                <w:sz w:val="16"/>
              </w:rPr>
            </w:r>
            <w:hyperlink w:history="0" w:anchor="P582" w:tooltip="a) заводам, где продукты сгорания используются непосредственно для отопления, сушки или иной обработки объектов или материалов;">
              <w:r>
                <w:rPr>
                  <w:sz w:val="16"/>
                  <w:color w:val="0000ff"/>
                </w:rPr>
                <w:t xml:space="preserve">пункты "a"</w:t>
              </w:r>
            </w:hyperlink>
            <w:r>
              <w:rPr>
                <w:sz w:val="16"/>
              </w:rPr>
              <w:t xml:space="preserve"> - </w:t>
            </w:r>
          </w:p>
          <w:p>
            <w:pPr>
              <w:pStyle w:val="1"/>
              <w:jc w:val="both"/>
            </w:pPr>
            <w:r>
              <w:rPr>
                <w:sz w:val="16"/>
              </w:rPr>
            </w:r>
            <w:hyperlink w:history="0" w:anchor="P590" w:tooltip="i) газовым турбинам и газовым двигателям, используемым на морских платформах;">
              <w:r>
                <w:rPr>
                  <w:sz w:val="16"/>
                  <w:color w:val="0000ff"/>
                </w:rPr>
                <w:t xml:space="preserve">"i"</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2    </w:t>
            </w:r>
          </w:p>
          <w:p>
            <w:pPr>
              <w:pStyle w:val="1"/>
              <w:jc w:val="both"/>
            </w:pPr>
            <w:r>
              <w:rPr>
                <w:sz w:val="16"/>
              </w:rPr>
              <w:t xml:space="preserve">(7), второй </w:t>
            </w:r>
          </w:p>
          <w:p>
            <w:pPr>
              <w:pStyle w:val="1"/>
              <w:jc w:val="both"/>
            </w:pPr>
            <w:r>
              <w:rPr>
                <w:sz w:val="16"/>
              </w:rPr>
              <w:t xml:space="preserve">подпараграф,</w:t>
            </w:r>
          </w:p>
          <w:p>
            <w:pPr>
              <w:pStyle w:val="1"/>
              <w:jc w:val="both"/>
            </w:pPr>
            <w:r>
              <w:rPr>
                <w:sz w:val="16"/>
              </w:rPr>
            </w:r>
            <w:hyperlink w:history="0" r:id="rId550"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пункт "j"</w:t>
              </w:r>
            </w:hyperlink>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2    </w:t>
            </w:r>
          </w:p>
          <w:p>
            <w:pPr>
              <w:pStyle w:val="1"/>
              <w:jc w:val="both"/>
            </w:pPr>
            <w:r>
              <w:rPr>
                <w:sz w:val="16"/>
              </w:rPr>
            </w:r>
            <w:hyperlink w:history="0" r:id="rId551"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(7), третий</w:t>
              </w:r>
            </w:hyperlink>
            <w:r>
              <w:rPr>
                <w:sz w:val="16"/>
              </w:rPr>
            </w:r>
          </w:p>
          <w:p>
            <w:pPr>
              <w:pStyle w:val="1"/>
              <w:jc w:val="both"/>
            </w:pPr>
            <w:r>
              <w:rPr>
                <w:sz w:val="16"/>
              </w:rPr>
              <w:t xml:space="preserve">подпараграф </w:t>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r>
            <w:hyperlink w:history="0" w:anchor="P597" w:tooltip="1. В случае если газообразные отходы двух или нескольких отдельных заводов по сжиганию выбрасываются через общую дымовую трубу, комбинация, образуемая такими заводами, рассматривается как единый завод по сжиганию, а их мощности складываются в целях исчисления совокупной номинальной тепловой мощности.">
              <w:r>
                <w:rPr>
                  <w:sz w:val="16"/>
                  <w:color w:val="0000ff"/>
                </w:rPr>
                <w:t xml:space="preserve">Статья 29 (1)</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2    </w:t>
            </w:r>
          </w:p>
          <w:p>
            <w:pPr>
              <w:pStyle w:val="1"/>
              <w:jc w:val="both"/>
            </w:pPr>
            <w:r>
              <w:rPr>
                <w:sz w:val="16"/>
              </w:rPr>
              <w:t xml:space="preserve">(7),        </w:t>
            </w:r>
          </w:p>
          <w:p>
            <w:pPr>
              <w:pStyle w:val="1"/>
              <w:jc w:val="both"/>
            </w:pPr>
            <w:r>
              <w:rPr>
                <w:sz w:val="16"/>
              </w:rPr>
            </w:r>
            <w:hyperlink w:history="0" r:id="rId552"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четвертый</w:t>
              </w:r>
            </w:hyperlink>
            <w:r>
              <w:rPr>
                <w:sz w:val="16"/>
              </w:rPr>
            </w:r>
          </w:p>
          <w:p>
            <w:pPr>
              <w:pStyle w:val="1"/>
              <w:jc w:val="both"/>
            </w:pPr>
            <w:r>
              <w:rPr>
                <w:sz w:val="16"/>
              </w:rPr>
              <w:t xml:space="preserve">подпараграф </w:t>
            </w:r>
          </w:p>
        </w:tc>
        <w:tc>
          <w:tcPr>
            <w:tcW w:w="1485" w:type="dxa"/>
            <w:tcBorders>
              <w:top w:val="nil"/>
            </w:tcBorders>
          </w:tcPr>
          <w:p>
            <w:pPr>
              <w:pStyle w:val="1"/>
              <w:jc w:val="both"/>
            </w:pPr>
            <w:r>
              <w:rPr>
                <w:sz w:val="16"/>
              </w:rPr>
            </w:r>
            <w:hyperlink w:history="0" w:anchor="P598" w:tooltip="2. В случае если два или более отдельных завода по сжиганию, разрешение на которые было впервые выдано 1 июля 1987 г. или позднее, или операторы которых подали полностью оформленное заявление на выдачу разрешения в указанный день или позднее, установлены таким образом, что, принимая во внимание технический и экономический факторы, их газообразные отходы могут, по мнению компетентных органов, выбрасываться через общую дымовую трубу, комбинация, образуемая такими установками, рассматривается как единый зав...">
              <w:r>
                <w:rPr>
                  <w:sz w:val="16"/>
                  <w:color w:val="0000ff"/>
                </w:rPr>
                <w:t xml:space="preserve">Статья 29 (2)</w:t>
              </w:r>
            </w:hyperlink>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r>
            <w:hyperlink w:history="0" w:anchor="P599" w:tooltip="3. В целях исчисления совокупной номинальной тепловой мощности комбинации заводов по сжиганию, указанной в параграфах 1 и 2 настоящей статьи, не принимаются во внимание отдельные заводы по сжиганию с номинальной тепловой мощностью менее 15 MW.">
              <w:r>
                <w:rPr>
                  <w:sz w:val="16"/>
                  <w:color w:val="0000ff"/>
                </w:rPr>
                <w:t xml:space="preserve">Статья 29 (3)</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553"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Статья 2 (8)</w:t>
              </w:r>
            </w:hyperlink>
          </w:p>
        </w:tc>
        <w:tc>
          <w:tcPr>
            <w:tcW w:w="1485" w:type="dxa"/>
            <w:tcBorders>
              <w:top w:val="nil"/>
            </w:tcBorders>
          </w:tcPr>
          <w:p>
            <w:pPr>
              <w:pStyle w:val="1"/>
              <w:jc w:val="both"/>
            </w:pPr>
            <w:r>
              <w:rPr>
                <w:sz w:val="16"/>
              </w:rPr>
            </w:r>
            <w:hyperlink w:history="0" w:anchor="P203" w:tooltip="32) под &quot;многотопливными заводами по сжиганию&quot; понимаются любые заводы по сжиганию, которые могут одновременно или поочередно сжигать два или более видов топлива;">
              <w:r>
                <w:rPr>
                  <w:sz w:val="16"/>
                  <w:color w:val="0000ff"/>
                </w:rPr>
                <w:t xml:space="preserve">Статья 3 (32)</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554"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Статья 2 (9)</w:t>
              </w:r>
            </w:hyperlink>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2    </w:t>
            </w:r>
          </w:p>
          <w:p>
            <w:pPr>
              <w:pStyle w:val="1"/>
              <w:jc w:val="both"/>
            </w:pPr>
            <w:r>
              <w:rPr>
                <w:sz w:val="16"/>
              </w:rPr>
            </w:r>
            <w:hyperlink w:history="0" r:id="rId555"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(10)</w:t>
              </w:r>
            </w:hyperlink>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2    </w:t>
            </w:r>
          </w:p>
          <w:p>
            <w:pPr>
              <w:pStyle w:val="1"/>
              <w:jc w:val="both"/>
            </w:pPr>
            <w:r>
              <w:rPr>
                <w:sz w:val="16"/>
              </w:rPr>
            </w:r>
            <w:hyperlink w:history="0" r:id="rId556"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(11)</w:t>
              </w:r>
            </w:hyperlink>
            <w:r>
              <w:rPr>
                <w:sz w:val="16"/>
              </w:rPr>
            </w:r>
          </w:p>
        </w:tc>
        <w:tc>
          <w:tcPr>
            <w:tcW w:w="1485" w:type="dxa"/>
            <w:tcBorders>
              <w:top w:val="nil"/>
            </w:tcBorders>
          </w:tcPr>
          <w:p>
            <w:pPr>
              <w:pStyle w:val="1"/>
              <w:jc w:val="both"/>
            </w:pPr>
            <w:r>
              <w:rPr>
                <w:sz w:val="16"/>
              </w:rPr>
            </w:r>
            <w:hyperlink w:history="0" w:anchor="P195" w:tooltip="31) под &quot;биомассой&quot; понимается одно из следующего:">
              <w:r>
                <w:rPr>
                  <w:sz w:val="16"/>
                  <w:color w:val="0000ff"/>
                </w:rPr>
                <w:t xml:space="preserve">Статья 3 (31)</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2    </w:t>
            </w:r>
          </w:p>
          <w:p>
            <w:pPr>
              <w:pStyle w:val="1"/>
              <w:jc w:val="both"/>
            </w:pPr>
            <w:r>
              <w:rPr>
                <w:sz w:val="16"/>
              </w:rPr>
            </w:r>
            <w:hyperlink w:history="0" r:id="rId557"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(12)</w:t>
              </w:r>
            </w:hyperlink>
            <w:r>
              <w:rPr>
                <w:sz w:val="16"/>
              </w:rPr>
            </w:r>
          </w:p>
        </w:tc>
        <w:tc>
          <w:tcPr>
            <w:tcW w:w="1485" w:type="dxa"/>
            <w:tcBorders>
              <w:top w:val="nil"/>
            </w:tcBorders>
          </w:tcPr>
          <w:p>
            <w:pPr>
              <w:pStyle w:val="1"/>
              <w:jc w:val="both"/>
            </w:pPr>
            <w:r>
              <w:rPr>
                <w:sz w:val="16"/>
              </w:rPr>
            </w:r>
            <w:hyperlink w:history="0" w:anchor="P204" w:tooltip="33) под &quot;газовой турбиной&quot; понимается любое вращающееся устройство, которое преобразует тепловую энергию в механическую работу и состоит из компрессора, термального устройства, в котором окисляется топливо для нагрева рабочей жидкости, и турбины;">
              <w:r>
                <w:rPr>
                  <w:sz w:val="16"/>
                  <w:color w:val="0000ff"/>
                </w:rPr>
                <w:t xml:space="preserve">Статья 3 (33)</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2    </w:t>
            </w:r>
          </w:p>
          <w:p>
            <w:pPr>
              <w:pStyle w:val="1"/>
              <w:jc w:val="both"/>
            </w:pPr>
            <w:r>
              <w:rPr>
                <w:sz w:val="16"/>
              </w:rPr>
            </w:r>
            <w:hyperlink w:history="0" r:id="rId558"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(13)</w:t>
              </w:r>
            </w:hyperlink>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559"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Статья 3</w:t>
              </w:r>
            </w:hyperlink>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560"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Статья 4 (1)</w:t>
              </w:r>
            </w:hyperlink>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561"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Статья 4 (2)</w:t>
              </w:r>
            </w:hyperlink>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4    </w:t>
            </w:r>
          </w:p>
          <w:p>
            <w:pPr>
              <w:pStyle w:val="1"/>
              <w:jc w:val="both"/>
            </w:pPr>
            <w:r>
              <w:rPr>
                <w:sz w:val="16"/>
              </w:rPr>
            </w:r>
            <w:hyperlink w:history="0" r:id="rId562"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(3)</w:t>
              </w:r>
            </w:hyperlink>
            <w:r>
              <w:rPr>
                <w:sz w:val="16"/>
              </w:rPr>
              <w:t xml:space="preserve"> - </w:t>
            </w:r>
            <w:hyperlink w:history="0" r:id="rId563"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4 (8)</w:t>
              </w:r>
            </w:hyperlink>
            <w:r>
              <w:rPr>
                <w:sz w:val="16"/>
              </w:rPr>
            </w:r>
          </w:p>
        </w:tc>
        <w:tc>
          <w:tcPr>
            <w:tcW w:w="1485" w:type="dxa"/>
            <w:tcBorders>
              <w:top w:val="nil"/>
            </w:tcBorders>
          </w:tcPr>
          <w:p>
            <w:pPr>
              <w:pStyle w:val="1"/>
              <w:jc w:val="both"/>
            </w:pPr>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564"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Статья 5 (1)</w:t>
              </w:r>
            </w:hyperlink>
          </w:p>
        </w:tc>
        <w:tc>
          <w:tcPr>
            <w:tcW w:w="1485" w:type="dxa"/>
            <w:tcBorders>
              <w:top w:val="nil"/>
            </w:tcBorders>
          </w:tcPr>
          <w:p>
            <w:pPr>
              <w:pStyle w:val="1"/>
              <w:jc w:val="both"/>
            </w:pPr>
            <w:r>
              <w:rPr>
                <w:sz w:val="16"/>
              </w:rPr>
              <w:t xml:space="preserve">Приложение V,</w:t>
            </w:r>
          </w:p>
          <w:p>
            <w:pPr>
              <w:pStyle w:val="1"/>
              <w:jc w:val="both"/>
            </w:pPr>
            <w:r>
              <w:rPr>
                <w:sz w:val="16"/>
              </w:rPr>
              <w:t xml:space="preserve">часть 1,     </w:t>
            </w:r>
          </w:p>
          <w:p>
            <w:pPr>
              <w:pStyle w:val="1"/>
              <w:jc w:val="both"/>
            </w:pPr>
            <w:r>
              <w:rPr>
                <w:sz w:val="16"/>
              </w:rPr>
              <w:t xml:space="preserve">пункт 2,     </w:t>
            </w:r>
          </w:p>
          <w:p>
            <w:pPr>
              <w:pStyle w:val="1"/>
              <w:jc w:val="both"/>
            </w:pPr>
            <w:r>
              <w:rPr>
                <w:sz w:val="16"/>
              </w:rPr>
            </w:r>
            <w:hyperlink w:history="0" w:anchor="P1542" w:tooltip="    На  заводы  по сжиганию, использующие твердое топливо, которые получили">
              <w:r>
                <w:rPr>
                  <w:sz w:val="16"/>
                  <w:color w:val="0000ff"/>
                </w:rPr>
                <w:t xml:space="preserve">второй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485" w:type="dxa"/>
            <w:tcBorders>
              <w:top w:val="nil"/>
            </w:tcBorders>
          </w:tcPr>
          <w:p>
            <w:pPr>
              <w:pStyle w:val="1"/>
              <w:jc w:val="both"/>
            </w:pPr>
            <w:r>
              <w:rPr>
                <w:sz w:val="16"/>
              </w:rPr>
              <w:t xml:space="preserve">Приложение V,</w:t>
            </w:r>
          </w:p>
          <w:p>
            <w:pPr>
              <w:pStyle w:val="1"/>
              <w:jc w:val="both"/>
            </w:pPr>
            <w:r>
              <w:rPr>
                <w:sz w:val="16"/>
              </w:rPr>
              <w:t xml:space="preserve">часть 1,     </w:t>
            </w:r>
          </w:p>
          <w:p>
            <w:pPr>
              <w:pStyle w:val="1"/>
              <w:jc w:val="both"/>
            </w:pPr>
            <w:r>
              <w:rPr>
                <w:sz w:val="16"/>
              </w:rPr>
              <w:t xml:space="preserve">пункт 2,     </w:t>
            </w:r>
          </w:p>
          <w:p>
            <w:pPr>
              <w:pStyle w:val="1"/>
              <w:jc w:val="both"/>
            </w:pPr>
            <w:r>
              <w:rPr>
                <w:sz w:val="16"/>
              </w:rPr>
            </w:r>
            <w:hyperlink w:history="0" w:anchor="P1523" w:tooltip="    2.  Пороговые  значения  выбросов  (мг/Nm )  для  SO   для  заводов  по">
              <w:r>
                <w:rPr>
                  <w:sz w:val="16"/>
                  <w:color w:val="0000ff"/>
                </w:rPr>
                <w:t xml:space="preserve">первый</w:t>
              </w:r>
            </w:hyperlink>
            <w:r>
              <w:rPr>
                <w:sz w:val="16"/>
              </w:rPr>
              <w:t xml:space="preserve">,      </w:t>
            </w:r>
          </w:p>
          <w:p>
            <w:pPr>
              <w:pStyle w:val="1"/>
              <w:jc w:val="both"/>
            </w:pPr>
            <w:r>
              <w:rPr>
                <w:sz w:val="16"/>
              </w:rPr>
            </w:r>
            <w:hyperlink w:history="0" w:anchor="P1551" w:tooltip="    На  заводы  по  сжиганию, использующие жидкое топливо, которые получили">
              <w:r>
                <w:rPr>
                  <w:sz w:val="16"/>
                  <w:color w:val="0000ff"/>
                </w:rPr>
                <w:t xml:space="preserve">третий</w:t>
              </w:r>
            </w:hyperlink>
            <w:r>
              <w:rPr>
                <w:sz w:val="16"/>
              </w:rPr>
              <w:t xml:space="preserve"> и     </w:t>
            </w:r>
          </w:p>
          <w:p>
            <w:pPr>
              <w:pStyle w:val="1"/>
              <w:jc w:val="both"/>
            </w:pPr>
            <w:r>
              <w:rPr>
                <w:sz w:val="16"/>
              </w:rPr>
            </w:r>
            <w:hyperlink w:history="0" w:anchor="P1562" w:tooltip="На часть завода по сжиганию, сбрасывающую отработанные газы через один или несколько отдельных газоходов в общей дымовой трубе, которая функционирует не более 1500 часов в год, выраженных в виде скользящего среднего значения за пятилетний период, могут распространяться пороговые значения выбросов, установленные в предыдущих двух параграфах в отношении к совокупной номинальной тепловой мощности всего завода. В таких случаях мониторинг выбросов из каждого газохода осуществляется отдельно.">
              <w:r>
                <w:rPr>
                  <w:sz w:val="16"/>
                  <w:color w:val="0000ff"/>
                </w:rPr>
                <w:t xml:space="preserve">четвертый</w:t>
              </w:r>
            </w:hyperlink>
            <w:r>
              <w:rPr>
                <w:sz w:val="16"/>
              </w:rPr>
            </w:r>
          </w:p>
          <w:p>
            <w:pPr>
              <w:pStyle w:val="1"/>
              <w:jc w:val="both"/>
            </w:pPr>
            <w:r>
              <w:rPr>
                <w:sz w:val="16"/>
              </w:rPr>
              <w:t xml:space="preserve">подпараграфы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565"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Статья 5 (2)</w:t>
              </w:r>
            </w:hyperlink>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566"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Статья 6</w:t>
              </w:r>
            </w:hyperlink>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567"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Статья 7 (1)</w:t>
              </w:r>
            </w:hyperlink>
          </w:p>
        </w:tc>
        <w:tc>
          <w:tcPr>
            <w:tcW w:w="1485" w:type="dxa"/>
            <w:tcBorders>
              <w:top w:val="nil"/>
            </w:tcBorders>
          </w:tcPr>
          <w:p>
            <w:pPr>
              <w:pStyle w:val="1"/>
              <w:jc w:val="both"/>
            </w:pPr>
            <w:r>
              <w:rPr>
                <w:sz w:val="16"/>
              </w:rPr>
            </w:r>
            <w:hyperlink w:history="0" w:anchor="P713" w:tooltip="Статья 37">
              <w:r>
                <w:rPr>
                  <w:sz w:val="16"/>
                  <w:color w:val="0000ff"/>
                </w:rPr>
                <w:t xml:space="preserve">Статья 37</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568"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Статья 7 (2)</w:t>
              </w:r>
            </w:hyperlink>
          </w:p>
        </w:tc>
        <w:tc>
          <w:tcPr>
            <w:tcW w:w="1485" w:type="dxa"/>
            <w:tcBorders>
              <w:top w:val="nil"/>
            </w:tcBorders>
          </w:tcPr>
          <w:p>
            <w:pPr>
              <w:pStyle w:val="1"/>
              <w:jc w:val="both"/>
            </w:pPr>
            <w:r>
              <w:rPr>
                <w:sz w:val="16"/>
              </w:rPr>
            </w:r>
            <w:hyperlink w:history="0" w:anchor="P610" w:tooltip="5. Компетентный орган может предоставить частичное отступление от обязательства по соблюдению пороговых значений выбросов, указанных в параграфах 2 и 3 настоящей статьи, для диоксида серы на срок не более 6 месяцев. Такое освобождение может касаться заводов по сжиганию, которые обычно используют топливо с низким содержанием серы, в тех случаях, когда оператор не способен соблюдать указанные пороговые значения вследствие сбоев в поставке топлива с низким содержанием серы, вызванных серьезным дефицитом.">
              <w:r>
                <w:rPr>
                  <w:sz w:val="16"/>
                  <w:color w:val="0000ff"/>
                </w:rPr>
                <w:t xml:space="preserve">Статья 30 (5)</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569"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Статья 7 (3)</w:t>
              </w:r>
            </w:hyperlink>
          </w:p>
        </w:tc>
        <w:tc>
          <w:tcPr>
            <w:tcW w:w="1485" w:type="dxa"/>
            <w:tcBorders>
              <w:top w:val="nil"/>
            </w:tcBorders>
          </w:tcPr>
          <w:p>
            <w:pPr>
              <w:pStyle w:val="1"/>
              <w:jc w:val="both"/>
            </w:pPr>
            <w:r>
              <w:rPr>
                <w:sz w:val="16"/>
              </w:rPr>
            </w:r>
            <w:hyperlink w:history="0" w:anchor="P612" w:tooltip="6. Компетентный орган может предоставить частичное отступление от обязательства по соблюдению пороговых значений выбросов, указанных в параграфах 2 и 3 настоящей статьи, в тех случаях, когда заводу по сжиганию, который использует исключительно газообразное топливо, приходится переходить на использование других видов топлива вследствие сбоев в поставке газа и по этой причине устанавливать оборудование по очистке отработанных газов. Срок такого освобождения не должен превышать 10 дней, за исключением случа...">
              <w:r>
                <w:rPr>
                  <w:sz w:val="16"/>
                  <w:color w:val="0000ff"/>
                </w:rPr>
                <w:t xml:space="preserve">Статья 30 (6)</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570"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Статья 8 (1)</w:t>
              </w:r>
            </w:hyperlink>
          </w:p>
        </w:tc>
        <w:tc>
          <w:tcPr>
            <w:tcW w:w="1485" w:type="dxa"/>
            <w:tcBorders>
              <w:top w:val="nil"/>
            </w:tcBorders>
          </w:tcPr>
          <w:p>
            <w:pPr>
              <w:pStyle w:val="1"/>
              <w:jc w:val="both"/>
            </w:pPr>
            <w:r>
              <w:rPr>
                <w:sz w:val="16"/>
              </w:rPr>
            </w:r>
            <w:hyperlink w:history="0" w:anchor="P744" w:tooltip="1. В отношении многотопливных заводов по сжиганию, использующих одновременно два или более видов топлива, компетентный орган устанавливает пороговые значения выбросов в следующем порядке:">
              <w:r>
                <w:rPr>
                  <w:sz w:val="16"/>
                  <w:color w:val="0000ff"/>
                </w:rPr>
                <w:t xml:space="preserve">Статья 40 (1)</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8    </w:t>
            </w:r>
          </w:p>
          <w:p>
            <w:pPr>
              <w:pStyle w:val="1"/>
              <w:jc w:val="both"/>
            </w:pPr>
            <w:r>
              <w:rPr>
                <w:sz w:val="16"/>
              </w:rPr>
            </w:r>
            <w:hyperlink w:history="0" r:id="rId571"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(2), первая</w:t>
              </w:r>
            </w:hyperlink>
            <w:r>
              <w:rPr>
                <w:sz w:val="16"/>
              </w:rPr>
            </w:r>
          </w:p>
          <w:p>
            <w:pPr>
              <w:pStyle w:val="1"/>
              <w:jc w:val="both"/>
            </w:pPr>
            <w:r>
              <w:rPr>
                <w:sz w:val="16"/>
              </w:rPr>
              <w:t xml:space="preserve">часть       </w:t>
            </w:r>
          </w:p>
          <w:p>
            <w:pPr>
              <w:pStyle w:val="1"/>
              <w:jc w:val="both"/>
            </w:pPr>
            <w:r>
              <w:rPr>
                <w:sz w:val="16"/>
              </w:rPr>
              <w:t xml:space="preserve">первого     </w:t>
            </w:r>
          </w:p>
          <w:p>
            <w:pPr>
              <w:pStyle w:val="1"/>
              <w:jc w:val="both"/>
            </w:pPr>
            <w:r>
              <w:rPr>
                <w:sz w:val="16"/>
              </w:rPr>
              <w:t xml:space="preserve">подпараграфа</w:t>
            </w:r>
          </w:p>
        </w:tc>
        <w:tc>
          <w:tcPr>
            <w:tcW w:w="1485" w:type="dxa"/>
            <w:tcBorders>
              <w:top w:val="nil"/>
            </w:tcBorders>
          </w:tcPr>
          <w:p>
            <w:pPr>
              <w:pStyle w:val="1"/>
              <w:jc w:val="both"/>
            </w:pPr>
            <w:r>
              <w:rPr>
                <w:sz w:val="16"/>
              </w:rPr>
              <w:t xml:space="preserve">Статья 40    </w:t>
            </w:r>
          </w:p>
          <w:p>
            <w:pPr>
              <w:pStyle w:val="1"/>
              <w:jc w:val="both"/>
            </w:pPr>
            <w:r>
              <w:rPr>
                <w:sz w:val="16"/>
              </w:rPr>
            </w:r>
            <w:hyperlink w:history="0" w:anchor="P748" w:tooltip="2. В отношении многотопливных заводов по сжиганию, подпадающих под действие статьи 30 (2) настоящей Директивы и использующих дистилляцию и конверсию остатков перегонки сырой нефти для собственных нужд отдельно или совместно с другими видами топлива, применяются следующие пороговые значения выбросов, установленные в соответствии с параграфом 1 настоящей статьи:">
              <w:r>
                <w:rPr>
                  <w:sz w:val="16"/>
                  <w:color w:val="0000ff"/>
                </w:rPr>
                <w:t xml:space="preserve">(2), первая</w:t>
              </w:r>
            </w:hyperlink>
            <w:r>
              <w:rPr>
                <w:sz w:val="16"/>
              </w:rPr>
            </w:r>
          </w:p>
          <w:p>
            <w:pPr>
              <w:pStyle w:val="1"/>
              <w:jc w:val="both"/>
            </w:pPr>
            <w:r>
              <w:rPr>
                <w:sz w:val="16"/>
              </w:rPr>
              <w:t xml:space="preserve">часть первого</w:t>
            </w:r>
          </w:p>
          <w:p>
            <w:pPr>
              <w:pStyle w:val="1"/>
              <w:jc w:val="both"/>
            </w:pPr>
            <w:r>
              <w:rPr>
                <w:sz w:val="16"/>
              </w:rPr>
              <w:t xml:space="preserve">подпараграфа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8    </w:t>
            </w:r>
          </w:p>
          <w:p>
            <w:pPr>
              <w:pStyle w:val="1"/>
              <w:jc w:val="both"/>
            </w:pPr>
            <w:r>
              <w:rPr>
                <w:sz w:val="16"/>
              </w:rPr>
            </w:r>
            <w:hyperlink w:history="0" r:id="rId572"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(2), вторая</w:t>
              </w:r>
            </w:hyperlink>
            <w:r>
              <w:rPr>
                <w:sz w:val="16"/>
              </w:rPr>
            </w:r>
          </w:p>
          <w:p>
            <w:pPr>
              <w:pStyle w:val="1"/>
              <w:jc w:val="both"/>
            </w:pPr>
            <w:r>
              <w:rPr>
                <w:sz w:val="16"/>
              </w:rPr>
              <w:t xml:space="preserve">часть       </w:t>
            </w:r>
          </w:p>
          <w:p>
            <w:pPr>
              <w:pStyle w:val="1"/>
              <w:jc w:val="both"/>
            </w:pPr>
            <w:r>
              <w:rPr>
                <w:sz w:val="16"/>
              </w:rPr>
              <w:t xml:space="preserve">первого     </w:t>
            </w:r>
          </w:p>
          <w:p>
            <w:pPr>
              <w:pStyle w:val="1"/>
              <w:jc w:val="both"/>
            </w:pPr>
            <w:r>
              <w:rPr>
                <w:sz w:val="16"/>
              </w:rPr>
              <w:t xml:space="preserve">подпараграфа</w:t>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40    </w:t>
            </w:r>
          </w:p>
          <w:p>
            <w:pPr>
              <w:pStyle w:val="1"/>
              <w:jc w:val="both"/>
            </w:pPr>
            <w:r>
              <w:rPr>
                <w:sz w:val="16"/>
              </w:rPr>
            </w:r>
            <w:hyperlink w:history="0" w:anchor="P748" w:tooltip="2. В отношении многотопливных заводов по сжиганию, подпадающих под действие статьи 30 (2) настоящей Директивы и использующих дистилляцию и конверсию остатков перегонки сырой нефти для собственных нужд отдельно или совместно с другими видами топлива, применяются следующие пороговые значения выбросов, установленные в соответствии с параграфом 1 настоящей статьи:">
              <w:r>
                <w:rPr>
                  <w:sz w:val="16"/>
                  <w:color w:val="0000ff"/>
                </w:rPr>
                <w:t xml:space="preserve">(2), вторая</w:t>
              </w:r>
            </w:hyperlink>
            <w:r>
              <w:rPr>
                <w:sz w:val="16"/>
              </w:rPr>
            </w:r>
          </w:p>
          <w:p>
            <w:pPr>
              <w:pStyle w:val="1"/>
              <w:jc w:val="both"/>
            </w:pPr>
            <w:r>
              <w:rPr>
                <w:sz w:val="16"/>
              </w:rPr>
              <w:t xml:space="preserve">часть первого</w:t>
            </w:r>
          </w:p>
          <w:p>
            <w:pPr>
              <w:pStyle w:val="1"/>
              <w:jc w:val="both"/>
            </w:pPr>
            <w:r>
              <w:rPr>
                <w:sz w:val="16"/>
              </w:rPr>
              <w:t xml:space="preserve">подпараграфа </w:t>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40    </w:t>
            </w:r>
          </w:p>
          <w:p>
            <w:pPr>
              <w:pStyle w:val="1"/>
              <w:jc w:val="both"/>
            </w:pPr>
            <w:r>
              <w:rPr>
                <w:sz w:val="16"/>
              </w:rPr>
            </w:r>
            <w:hyperlink w:history="0" w:anchor="P749" w:tooltip="a) если при эксплуатации завода по сжиганию отношение определенного топлива к сумме тепловых мощностей всех видов топлива составляет 50% или более, - пороговые значения выбросов, установленные в части 1 Приложения V к настоящей Директиве для определенного топлива;">
              <w:r>
                <w:rPr>
                  <w:sz w:val="16"/>
                  <w:color w:val="0000ff"/>
                </w:rPr>
                <w:t xml:space="preserve">(2), второй</w:t>
              </w:r>
            </w:hyperlink>
            <w:r>
              <w:rPr>
                <w:sz w:val="16"/>
              </w:rPr>
            </w:r>
          </w:p>
          <w:p>
            <w:pPr>
              <w:pStyle w:val="1"/>
              <w:jc w:val="both"/>
            </w:pPr>
            <w:r>
              <w:rPr>
                <w:sz w:val="16"/>
              </w:rPr>
              <w:t xml:space="preserve">подпараграф  </w:t>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r>
            <w:hyperlink w:history="0" w:anchor="P755" w:tooltip="3. В отношении многотопливных заводов по сжиганию, подпадающих под действие статьи 30 (2) настоящей Директивы и использующих дистилляцию и конверсию остатков перегонки сырой нефти для собственных нужд отдельно или совместно с другими видами топлива, вместо пороговых значений выбросов, определенных в соответствии с параграфами 1 и 2 настоящей статьи, могут применяться средние пороговые значения выбросов для диоксида серы, указанные в части 7 Приложения V к настоящей Директиве.">
              <w:r>
                <w:rPr>
                  <w:sz w:val="16"/>
                  <w:color w:val="0000ff"/>
                </w:rPr>
                <w:t xml:space="preserve">Статья 40 (3)</w:t>
              </w:r>
            </w:hyperlink>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r>
            <w:hyperlink w:history="0" w:anchor="P757" w:tooltip="Статья 41">
              <w:r>
                <w:rPr>
                  <w:sz w:val="16"/>
                  <w:color w:val="0000ff"/>
                </w:rPr>
                <w:t xml:space="preserve">Статья 41</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8    </w:t>
            </w:r>
          </w:p>
          <w:p>
            <w:pPr>
              <w:pStyle w:val="1"/>
              <w:jc w:val="both"/>
            </w:pPr>
            <w:r>
              <w:rPr>
                <w:sz w:val="16"/>
              </w:rPr>
            </w:r>
            <w:hyperlink w:history="0" r:id="rId573"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(2), второй</w:t>
              </w:r>
            </w:hyperlink>
            <w:r>
              <w:rPr>
                <w:sz w:val="16"/>
              </w:rPr>
            </w:r>
          </w:p>
          <w:p>
            <w:pPr>
              <w:pStyle w:val="1"/>
              <w:jc w:val="both"/>
            </w:pPr>
            <w:r>
              <w:rPr>
                <w:sz w:val="16"/>
              </w:rPr>
              <w:t xml:space="preserve">подпараграф </w:t>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574"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Статья 8 (3)</w:t>
              </w:r>
            </w:hyperlink>
          </w:p>
          <w:p>
            <w:pPr>
              <w:pStyle w:val="1"/>
              <w:jc w:val="both"/>
            </w:pPr>
            <w:r>
              <w:rPr>
                <w:sz w:val="16"/>
              </w:rPr>
              <w:t xml:space="preserve">и </w:t>
            </w:r>
            <w:hyperlink w:history="0" r:id="rId575"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(4)</w:t>
              </w:r>
            </w:hyperlink>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576"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Статья 9</w:t>
              </w:r>
            </w:hyperlink>
            <w:r>
              <w:rPr>
                <w:sz w:val="16"/>
              </w:rPr>
            </w:r>
          </w:p>
        </w:tc>
        <w:tc>
          <w:tcPr>
            <w:tcW w:w="1485" w:type="dxa"/>
            <w:tcBorders>
              <w:top w:val="nil"/>
            </w:tcBorders>
          </w:tcPr>
          <w:p>
            <w:pPr>
              <w:pStyle w:val="1"/>
              <w:jc w:val="both"/>
            </w:pPr>
            <w:r>
              <w:rPr>
                <w:sz w:val="16"/>
              </w:rPr>
            </w:r>
            <w:hyperlink w:history="0" w:anchor="P605" w:tooltip="1. Выброс газообразных отходов от заводов по сжиганию осуществляется под контролем через дымовую трубу, содержащую один или несколько газоходов, высота которых исчисляется таким образом, чтобы обеспечить защиту здоровья человека и окружающей среды.">
              <w:r>
                <w:rPr>
                  <w:sz w:val="16"/>
                  <w:color w:val="0000ff"/>
                </w:rPr>
                <w:t xml:space="preserve">Статья 30 (1)</w:t>
              </w:r>
            </w:hyperlink>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30    </w:t>
            </w:r>
          </w:p>
          <w:p>
            <w:pPr>
              <w:pStyle w:val="1"/>
              <w:jc w:val="both"/>
            </w:pPr>
            <w:r>
              <w:rPr>
                <w:sz w:val="16"/>
              </w:rPr>
            </w:r>
            <w:hyperlink w:history="0" w:anchor="P606" w:tooltip="2. Все разрешения на установки, содержащие заводы по сжиганию, разрешение на которые были выданы до 7 января 2013 г., или операторы которых подали полностью оформленное заявление на выдачу разрешения до указанной даты, при условии, что такие заводы введены в эксплуатацию не позднее 7 января 2014 г., должны содержать условия, гарантирующие, что выбросы в воздух от таких заводов не превышают пороговые значения выбросов, установленные в части 1 Приложения V к настоящей Директиве.">
              <w:r>
                <w:rPr>
                  <w:sz w:val="16"/>
                  <w:color w:val="0000ff"/>
                </w:rPr>
                <w:t xml:space="preserve">(2)</w:t>
              </w:r>
            </w:hyperlink>
            <w:r>
              <w:rPr>
                <w:sz w:val="16"/>
              </w:rPr>
              <w:t xml:space="preserve">, </w:t>
            </w:r>
            <w:hyperlink w:history="0" w:anchor="P608" w:tooltip="3. Все разрешения на установки, содержащие заводы по сжиганию, на которые не распространяется действие параграфа 2 настоящей статьи, должны содержать условия, гарантирующие, что выбросы в воздух от таких заводов не превышают пороговые значения выбросов, установленные в части 2 Приложения V к настоящей Директиве.">
              <w:r>
                <w:rPr>
                  <w:sz w:val="16"/>
                  <w:color w:val="0000ff"/>
                </w:rPr>
                <w:t xml:space="preserve">(3)</w:t>
              </w:r>
            </w:hyperlink>
            <w:r>
              <w:rPr>
                <w:sz w:val="16"/>
              </w:rPr>
              <w:t xml:space="preserve"> и   </w:t>
            </w:r>
          </w:p>
          <w:p>
            <w:pPr>
              <w:pStyle w:val="1"/>
              <w:jc w:val="both"/>
            </w:pPr>
            <w:r>
              <w:rPr>
                <w:sz w:val="16"/>
              </w:rPr>
            </w:r>
            <w:hyperlink w:history="0" w:anchor="P609" w:tooltip="4. Пороговые значения выбросов, установленные в частях 1 и 2 Приложения V к настоящей Директиве, а также минимальные коэффициенты десульфуризации, установленные в части 5 этого Приложения, применяются к выбросам из каждой дымовой трубы в отношении к совокупной номинальной тепловой мощности всего завода по сжиганию. В случае если, согласно Приложению V к настоящей Директиве, пороговые значения выбросов могут применяться к части завода по сжиганию с ограниченным количеством часов эксплуатации, такие порого...">
              <w:r>
                <w:rPr>
                  <w:sz w:val="16"/>
                  <w:color w:val="0000ff"/>
                </w:rPr>
                <w:t xml:space="preserve">(4)</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9а   </w:t>
            </w:r>
          </w:p>
        </w:tc>
        <w:tc>
          <w:tcPr>
            <w:tcW w:w="1485" w:type="dxa"/>
            <w:tcBorders>
              <w:top w:val="nil"/>
            </w:tcBorders>
          </w:tcPr>
          <w:p>
            <w:pPr>
              <w:pStyle w:val="1"/>
              <w:jc w:val="both"/>
            </w:pPr>
            <w:r>
              <w:rPr>
                <w:sz w:val="16"/>
              </w:rPr>
            </w:r>
            <w:hyperlink w:history="0" w:anchor="P700" w:tooltip="Статья 36">
              <w:r>
                <w:rPr>
                  <w:sz w:val="16"/>
                  <w:color w:val="0000ff"/>
                </w:rPr>
                <w:t xml:space="preserve">Статья 36</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10,  </w:t>
            </w:r>
          </w:p>
          <w:p>
            <w:pPr>
              <w:pStyle w:val="1"/>
              <w:jc w:val="both"/>
            </w:pPr>
            <w:r>
              <w:rPr>
                <w:sz w:val="16"/>
              </w:rPr>
              <w:t xml:space="preserve">первый      </w:t>
            </w:r>
          </w:p>
          <w:p>
            <w:pPr>
              <w:pStyle w:val="1"/>
              <w:jc w:val="both"/>
            </w:pPr>
            <w:r>
              <w:rPr>
                <w:sz w:val="16"/>
              </w:rPr>
              <w:t xml:space="preserve">параграф,   </w:t>
            </w:r>
          </w:p>
          <w:p>
            <w:pPr>
              <w:pStyle w:val="1"/>
              <w:jc w:val="both"/>
            </w:pPr>
            <w:r>
              <w:rPr>
                <w:sz w:val="16"/>
              </w:rPr>
            </w:r>
            <w:hyperlink w:history="0" r:id="rId577"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первое</w:t>
              </w:r>
            </w:hyperlink>
            <w:r>
              <w:rPr>
                <w:sz w:val="16"/>
              </w:rPr>
            </w:r>
          </w:p>
          <w:p>
            <w:pPr>
              <w:pStyle w:val="1"/>
              <w:jc w:val="both"/>
            </w:pPr>
            <w:r>
              <w:rPr>
                <w:sz w:val="16"/>
              </w:rPr>
              <w:t xml:space="preserve">предложение </w:t>
            </w:r>
          </w:p>
        </w:tc>
        <w:tc>
          <w:tcPr>
            <w:tcW w:w="1485" w:type="dxa"/>
            <w:tcBorders>
              <w:top w:val="nil"/>
            </w:tcBorders>
          </w:tcPr>
          <w:p>
            <w:pPr>
              <w:pStyle w:val="1"/>
              <w:jc w:val="both"/>
            </w:pPr>
            <w:r>
              <w:rPr>
                <w:sz w:val="16"/>
              </w:rPr>
              <w:t xml:space="preserve">Статья 30    </w:t>
            </w:r>
          </w:p>
          <w:p>
            <w:pPr>
              <w:pStyle w:val="1"/>
              <w:jc w:val="both"/>
            </w:pPr>
            <w:r>
              <w:rPr>
                <w:sz w:val="16"/>
              </w:rPr>
            </w:r>
            <w:hyperlink w:history="0" w:anchor="P615" w:tooltip="7. При расширении завода по сжиганию пороговые значения выбросов, установленные в части 2 Приложения V к настоящей Директиве, применяются к части, подвергшейся изменению, и устанавливаются в отношении к совокупной номинальной тепловой мощности всего завода по сжиганию. При изменениях завода по сжиганию, имеющих последствия для окружающей среды и оказывающих влияние на часть завода с номинальной тепловой мощностью 50 MW или более, пороговые значения выбросов, установленные в части 2 Приложения V к настоящ...">
              <w:r>
                <w:rPr>
                  <w:sz w:val="16"/>
                  <w:color w:val="0000ff"/>
                </w:rPr>
                <w:t xml:space="preserve">(7), первое</w:t>
              </w:r>
            </w:hyperlink>
            <w:r>
              <w:rPr>
                <w:sz w:val="16"/>
              </w:rPr>
            </w:r>
          </w:p>
          <w:p>
            <w:pPr>
              <w:pStyle w:val="1"/>
              <w:jc w:val="both"/>
            </w:pPr>
            <w:r>
              <w:rPr>
                <w:sz w:val="16"/>
              </w:rPr>
              <w:t xml:space="preserve">предложение  </w:t>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30    </w:t>
            </w:r>
          </w:p>
          <w:p>
            <w:pPr>
              <w:pStyle w:val="1"/>
              <w:jc w:val="both"/>
            </w:pPr>
            <w:r>
              <w:rPr>
                <w:sz w:val="16"/>
              </w:rPr>
            </w:r>
            <w:hyperlink w:history="0" w:anchor="P615" w:tooltip="7. При расширении завода по сжиганию пороговые значения выбросов, установленные в части 2 Приложения V к настоящей Директиве, применяются к части, подвергшейся изменению, и устанавливаются в отношении к совокупной номинальной тепловой мощности всего завода по сжиганию. При изменениях завода по сжиганию, имеющих последствия для окружающей среды и оказывающих влияние на часть завода с номинальной тепловой мощностью 50 MW или более, пороговые значения выбросов, установленные в части 2 Приложения V к настоящ...">
              <w:r>
                <w:rPr>
                  <w:sz w:val="16"/>
                  <w:color w:val="0000ff"/>
                </w:rPr>
                <w:t xml:space="preserve">(7), второе</w:t>
              </w:r>
            </w:hyperlink>
            <w:r>
              <w:rPr>
                <w:sz w:val="16"/>
              </w:rPr>
            </w:r>
          </w:p>
          <w:p>
            <w:pPr>
              <w:pStyle w:val="1"/>
              <w:jc w:val="both"/>
            </w:pPr>
            <w:r>
              <w:rPr>
                <w:sz w:val="16"/>
              </w:rPr>
              <w:t xml:space="preserve">предложение  </w:t>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r>
            <w:hyperlink w:history="0" w:anchor="P616" w:tooltip="8. Пороговые значения выбросов, установленные в частях 1 и 2 Приложения V к настоящей Директиве, не применяются к следующим заводам по сжиганию:">
              <w:r>
                <w:rPr>
                  <w:sz w:val="16"/>
                  <w:color w:val="0000ff"/>
                </w:rPr>
                <w:t xml:space="preserve">Статья 30 (8)</w:t>
              </w:r>
            </w:hyperlink>
          </w:p>
          <w:p>
            <w:pPr>
              <w:pStyle w:val="1"/>
              <w:jc w:val="both"/>
            </w:pPr>
            <w:r>
              <w:rPr>
                <w:sz w:val="16"/>
              </w:rPr>
              <w:t xml:space="preserve">и </w:t>
            </w:r>
            <w:hyperlink w:history="0" w:anchor="P619" w:tooltip="9. В отношении следующих видов заводов по сжиганию Европейская комиссия на основе наилучших доступных технологий пересматривает необходимость установления пороговых значений выбросов на уровне Европейского Союза, а также необходимость изменения пороговых значений выбросов, установленных в Приложении V к настоящей Директиве:">
              <w:r>
                <w:rPr>
                  <w:sz w:val="16"/>
                  <w:color w:val="0000ff"/>
                </w:rPr>
                <w:t xml:space="preserve">(9)</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r>
            <w:hyperlink w:history="0" w:anchor="P626" w:tooltip="Статья 31">
              <w:r>
                <w:rPr>
                  <w:sz w:val="16"/>
                  <w:color w:val="0000ff"/>
                </w:rPr>
                <w:t xml:space="preserve">Статья 31</w:t>
              </w:r>
            </w:hyperlink>
            <w:r>
              <w:rPr>
                <w:sz w:val="16"/>
              </w:rPr>
              <w:t xml:space="preserve"> -  </w:t>
            </w:r>
          </w:p>
          <w:p>
            <w:pPr>
              <w:pStyle w:val="1"/>
              <w:jc w:val="both"/>
            </w:pPr>
            <w:r>
              <w:rPr>
                <w:sz w:val="16"/>
              </w:rPr>
            </w:r>
            <w:hyperlink w:history="0" w:anchor="P689" w:tooltip="Статья 35">
              <w:r>
                <w:rPr>
                  <w:sz w:val="16"/>
                  <w:color w:val="0000ff"/>
                </w:rPr>
                <w:t xml:space="preserve">35</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10,  </w:t>
            </w:r>
          </w:p>
          <w:p>
            <w:pPr>
              <w:pStyle w:val="1"/>
              <w:jc w:val="both"/>
            </w:pPr>
            <w:r>
              <w:rPr>
                <w:sz w:val="16"/>
              </w:rPr>
              <w:t xml:space="preserve">первый      </w:t>
            </w:r>
          </w:p>
          <w:p>
            <w:pPr>
              <w:pStyle w:val="1"/>
              <w:jc w:val="both"/>
            </w:pPr>
            <w:r>
              <w:rPr>
                <w:sz w:val="16"/>
              </w:rPr>
              <w:t xml:space="preserve">параграф,   </w:t>
            </w:r>
          </w:p>
          <w:p>
            <w:pPr>
              <w:pStyle w:val="1"/>
              <w:jc w:val="both"/>
            </w:pPr>
            <w:r>
              <w:rPr>
                <w:sz w:val="16"/>
              </w:rPr>
            </w:r>
            <w:hyperlink w:history="0" r:id="rId578"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второе</w:t>
              </w:r>
            </w:hyperlink>
            <w:r>
              <w:rPr>
                <w:sz w:val="16"/>
              </w:rPr>
            </w:r>
          </w:p>
          <w:p>
            <w:pPr>
              <w:pStyle w:val="1"/>
              <w:jc w:val="both"/>
            </w:pPr>
            <w:r>
              <w:rPr>
                <w:sz w:val="16"/>
              </w:rPr>
              <w:t xml:space="preserve">предложение </w:t>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10,  </w:t>
            </w:r>
          </w:p>
          <w:p>
            <w:pPr>
              <w:pStyle w:val="1"/>
              <w:jc w:val="both"/>
            </w:pPr>
            <w:r>
              <w:rPr>
                <w:sz w:val="16"/>
              </w:rPr>
            </w:r>
            <w:hyperlink w:history="0" r:id="rId579"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второй</w:t>
              </w:r>
            </w:hyperlink>
            <w:r>
              <w:rPr>
                <w:sz w:val="16"/>
              </w:rPr>
            </w:r>
          </w:p>
          <w:p>
            <w:pPr>
              <w:pStyle w:val="1"/>
              <w:jc w:val="both"/>
            </w:pPr>
            <w:r>
              <w:rPr>
                <w:sz w:val="16"/>
              </w:rPr>
              <w:t xml:space="preserve">параграф    </w:t>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12,  </w:t>
            </w:r>
          </w:p>
          <w:p>
            <w:pPr>
              <w:pStyle w:val="1"/>
              <w:jc w:val="both"/>
            </w:pPr>
            <w:r>
              <w:rPr>
                <w:sz w:val="16"/>
              </w:rPr>
            </w:r>
            <w:hyperlink w:history="0" r:id="rId580"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первое</w:t>
              </w:r>
            </w:hyperlink>
            <w:r>
              <w:rPr>
                <w:sz w:val="16"/>
              </w:rPr>
            </w:r>
          </w:p>
          <w:p>
            <w:pPr>
              <w:pStyle w:val="1"/>
              <w:jc w:val="both"/>
            </w:pPr>
            <w:r>
              <w:rPr>
                <w:sz w:val="16"/>
              </w:rPr>
              <w:t xml:space="preserve">предложение </w:t>
            </w:r>
          </w:p>
        </w:tc>
        <w:tc>
          <w:tcPr>
            <w:tcW w:w="1485" w:type="dxa"/>
            <w:tcBorders>
              <w:top w:val="nil"/>
            </w:tcBorders>
          </w:tcPr>
          <w:p>
            <w:pPr>
              <w:pStyle w:val="1"/>
              <w:jc w:val="both"/>
            </w:pPr>
            <w:r>
              <w:rPr>
                <w:sz w:val="16"/>
              </w:rPr>
            </w:r>
            <w:hyperlink w:history="0" w:anchor="P729" w:tooltip="1. Государства-члены ЕС гарантируют, что мониторинг загрязняющих воздух веществ проводится в соответствии с частью 3 Приложения V к настоящей Директиве.">
              <w:r>
                <w:rPr>
                  <w:sz w:val="16"/>
                  <w:color w:val="0000ff"/>
                </w:rPr>
                <w:t xml:space="preserve">Статья 38 (1)</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12,  </w:t>
            </w:r>
          </w:p>
          <w:p>
            <w:pPr>
              <w:pStyle w:val="1"/>
              <w:jc w:val="both"/>
            </w:pPr>
            <w:r>
              <w:rPr>
                <w:sz w:val="16"/>
              </w:rPr>
            </w:r>
            <w:hyperlink w:history="0" r:id="rId581"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второе</w:t>
              </w:r>
            </w:hyperlink>
            <w:r>
              <w:rPr>
                <w:sz w:val="16"/>
              </w:rPr>
            </w:r>
          </w:p>
          <w:p>
            <w:pPr>
              <w:pStyle w:val="1"/>
              <w:jc w:val="both"/>
            </w:pPr>
            <w:r>
              <w:rPr>
                <w:sz w:val="16"/>
              </w:rPr>
              <w:t xml:space="preserve">предложение </w:t>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Статья 38    </w:t>
            </w:r>
          </w:p>
          <w:p>
            <w:pPr>
              <w:pStyle w:val="1"/>
              <w:jc w:val="both"/>
            </w:pPr>
            <w:r>
              <w:rPr>
                <w:sz w:val="16"/>
              </w:rPr>
            </w:r>
            <w:hyperlink w:history="0" w:anchor="P730" w:tooltip="2. Контроль за установкой и функционированием оборудования для автоматического мониторинга, а также ежегодные контрольные испытания такого оборудования осуществляются в соответствии с частью 3 Приложения V к настоящей Директиве.">
              <w:r>
                <w:rPr>
                  <w:sz w:val="16"/>
                  <w:color w:val="0000ff"/>
                </w:rPr>
                <w:t xml:space="preserve">(2)</w:t>
              </w:r>
            </w:hyperlink>
            <w:r>
              <w:rPr>
                <w:sz w:val="16"/>
              </w:rPr>
              <w:t xml:space="preserve">, </w:t>
            </w:r>
            <w:hyperlink w:history="0" w:anchor="P731" w:tooltip="3. Компетентный орган определяет расположение мест выборки или контрольно-измерительных точек, используемых при мониторинге выбросов.">
              <w:r>
                <w:rPr>
                  <w:sz w:val="16"/>
                  <w:color w:val="0000ff"/>
                </w:rPr>
                <w:t xml:space="preserve">(3)</w:t>
              </w:r>
            </w:hyperlink>
            <w:r>
              <w:rPr>
                <w:sz w:val="16"/>
              </w:rPr>
              <w:t xml:space="preserve"> и   </w:t>
            </w:r>
          </w:p>
          <w:p>
            <w:pPr>
              <w:pStyle w:val="1"/>
              <w:jc w:val="both"/>
            </w:pPr>
            <w:r>
              <w:rPr>
                <w:sz w:val="16"/>
              </w:rPr>
            </w:r>
            <w:hyperlink w:history="0" w:anchor="P732" w:tooltip="4. Результаты мониторинга фиксируются, обрабатываются и представляются таким образом, чтобы компетентный орган мог проверить соответствие условиям эксплуатации и уровням выбросов, установленным в разрешении.">
              <w:r>
                <w:rPr>
                  <w:sz w:val="16"/>
                  <w:color w:val="0000ff"/>
                </w:rPr>
                <w:t xml:space="preserve">(4)</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r>
            <w:hyperlink w:history="0" w:anchor="P734" w:tooltip="Статья 39">
              <w:r>
                <w:rPr>
                  <w:sz w:val="16"/>
                  <w:color w:val="0000ff"/>
                </w:rPr>
                <w:t xml:space="preserve">Статья 39</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582"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Статья 13</w:t>
              </w:r>
            </w:hyperlink>
            <w:r>
              <w:rPr>
                <w:sz w:val="16"/>
              </w:rPr>
            </w:r>
          </w:p>
        </w:tc>
        <w:tc>
          <w:tcPr>
            <w:tcW w:w="1485" w:type="dxa"/>
            <w:tcBorders>
              <w:top w:val="nil"/>
            </w:tcBorders>
          </w:tcPr>
          <w:p>
            <w:pPr>
              <w:pStyle w:val="1"/>
              <w:jc w:val="both"/>
            </w:pPr>
            <w:r>
              <w:rPr>
                <w:sz w:val="16"/>
              </w:rPr>
              <w:t xml:space="preserve">Приложение V,</w:t>
            </w:r>
          </w:p>
          <w:p>
            <w:pPr>
              <w:pStyle w:val="1"/>
              <w:jc w:val="both"/>
            </w:pPr>
            <w:r>
              <w:rPr>
                <w:sz w:val="16"/>
              </w:rPr>
              <w:t xml:space="preserve">часть 3,     </w:t>
            </w:r>
          </w:p>
          <w:p>
            <w:pPr>
              <w:pStyle w:val="1"/>
              <w:jc w:val="both"/>
            </w:pPr>
            <w:r>
              <w:rPr>
                <w:sz w:val="16"/>
              </w:rPr>
            </w:r>
            <w:hyperlink w:history="0" w:anchor="P1965" w:tooltip="Оператор информирует компетентный орган о результатах проверки автоматических систем измерения.">
              <w:r>
                <w:rPr>
                  <w:sz w:val="16"/>
                  <w:color w:val="0000ff"/>
                </w:rPr>
                <w:t xml:space="preserve">третья часть</w:t>
              </w:r>
            </w:hyperlink>
            <w:r>
              <w:rPr>
                <w:sz w:val="16"/>
              </w:rPr>
            </w:r>
          </w:p>
          <w:p>
            <w:pPr>
              <w:pStyle w:val="1"/>
              <w:jc w:val="both"/>
            </w:pPr>
            <w:r>
              <w:rPr>
                <w:sz w:val="16"/>
              </w:rPr>
              <w:t xml:space="preserve">пункта 8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583"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Статья 14</w:t>
              </w:r>
            </w:hyperlink>
            <w:r>
              <w:rPr>
                <w:sz w:val="16"/>
              </w:rPr>
            </w:r>
          </w:p>
        </w:tc>
        <w:tc>
          <w:tcPr>
            <w:tcW w:w="1485" w:type="dxa"/>
            <w:tcBorders>
              <w:top w:val="nil"/>
            </w:tcBorders>
          </w:tcPr>
          <w:p>
            <w:pPr>
              <w:pStyle w:val="1"/>
              <w:jc w:val="both"/>
            </w:pPr>
            <w:r>
              <w:rPr>
                <w:sz w:val="16"/>
              </w:rPr>
              <w:t xml:space="preserve">Приложение V,</w:t>
            </w:r>
          </w:p>
          <w:p>
            <w:pPr>
              <w:pStyle w:val="1"/>
              <w:jc w:val="both"/>
            </w:pPr>
            <w:r>
              <w:rPr>
                <w:sz w:val="16"/>
              </w:rPr>
            </w:r>
            <w:hyperlink w:history="0" w:anchor="P1982" w:tooltip="Часть 4">
              <w:r>
                <w:rPr>
                  <w:sz w:val="16"/>
                  <w:color w:val="0000ff"/>
                </w:rPr>
                <w:t xml:space="preserve">часть 4</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Приложение V,</w:t>
            </w:r>
          </w:p>
          <w:p>
            <w:pPr>
              <w:pStyle w:val="1"/>
              <w:jc w:val="both"/>
            </w:pPr>
            <w:r>
              <w:rPr>
                <w:sz w:val="16"/>
              </w:rPr>
            </w:r>
            <w:hyperlink w:history="0" w:anchor="P1995" w:tooltip="Часть 5">
              <w:r>
                <w:rPr>
                  <w:sz w:val="16"/>
                  <w:color w:val="0000ff"/>
                </w:rPr>
                <w:t xml:space="preserve">часть 5</w:t>
              </w:r>
            </w:hyperlink>
            <w:r>
              <w:rPr>
                <w:sz w:val="16"/>
              </w:rPr>
              <w:t xml:space="preserve">, </w:t>
            </w:r>
            <w:hyperlink w:history="0" w:anchor="P2036" w:tooltip="Часть 6">
              <w:r>
                <w:rPr>
                  <w:sz w:val="16"/>
                  <w:color w:val="0000ff"/>
                </w:rPr>
                <w:t xml:space="preserve">6</w:t>
              </w:r>
            </w:hyperlink>
            <w:r>
              <w:rPr>
                <w:sz w:val="16"/>
              </w:rPr>
              <w:t xml:space="preserve"> и </w:t>
            </w:r>
          </w:p>
          <w:p>
            <w:pPr>
              <w:pStyle w:val="1"/>
              <w:jc w:val="both"/>
            </w:pPr>
            <w:r>
              <w:rPr>
                <w:sz w:val="16"/>
              </w:rPr>
            </w:r>
            <w:hyperlink w:history="0" w:anchor="P2042" w:tooltip="Часть 7">
              <w:r>
                <w:rPr>
                  <w:sz w:val="16"/>
                  <w:color w:val="0000ff"/>
                </w:rPr>
                <w:t xml:space="preserve">7</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584"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Статья 15</w:t>
              </w:r>
            </w:hyperlink>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Статья 18   </w:t>
            </w:r>
          </w:p>
          <w:p>
            <w:pPr>
              <w:pStyle w:val="1"/>
              <w:jc w:val="both"/>
            </w:pPr>
            <w:r>
              <w:rPr>
                <w:sz w:val="16"/>
              </w:rPr>
            </w:r>
            <w:hyperlink w:history="0" r:id="rId585"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(2)</w:t>
              </w:r>
            </w:hyperlink>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586"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Приложение I</w:t>
              </w:r>
            </w:hyperlink>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r>
            <w:hyperlink w:history="0" r:id="rId587"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II</w:t>
              </w:r>
            </w:hyperlink>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r>
            <w:hyperlink w:history="0" r:id="rId588"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III</w:t>
              </w:r>
            </w:hyperlink>
            <w:r>
              <w:rPr>
                <w:sz w:val="16"/>
              </w:rPr>
              <w:t xml:space="preserve"> и </w:t>
            </w:r>
            <w:hyperlink w:history="0" r:id="rId589"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IV</w:t>
              </w:r>
            </w:hyperlink>
            <w:r>
              <w:rPr>
                <w:sz w:val="16"/>
              </w:rPr>
            </w:r>
          </w:p>
        </w:tc>
        <w:tc>
          <w:tcPr>
            <w:tcW w:w="1485" w:type="dxa"/>
            <w:tcBorders>
              <w:top w:val="nil"/>
            </w:tcBorders>
          </w:tcPr>
          <w:p>
            <w:pPr>
              <w:pStyle w:val="1"/>
              <w:jc w:val="both"/>
            </w:pPr>
            <w:r>
              <w:rPr>
                <w:sz w:val="16"/>
              </w:rPr>
              <w:t xml:space="preserve">Приложение V,</w:t>
            </w:r>
          </w:p>
          <w:p>
            <w:pPr>
              <w:pStyle w:val="1"/>
              <w:jc w:val="both"/>
            </w:pPr>
            <w:r>
              <w:rPr>
                <w:sz w:val="16"/>
              </w:rPr>
            </w:r>
            <w:hyperlink w:history="0" w:anchor="P1523" w:tooltip="    2.  Пороговые  значения  выбросов  (мг/Nm )  для  SO   для  заводов  по">
              <w:r>
                <w:rPr>
                  <w:sz w:val="16"/>
                  <w:color w:val="0000ff"/>
                </w:rPr>
                <w:t xml:space="preserve">пункт 2 части</w:t>
              </w:r>
            </w:hyperlink>
          </w:p>
          <w:p>
            <w:pPr>
              <w:pStyle w:val="1"/>
              <w:jc w:val="both"/>
            </w:pPr>
            <w:r>
              <w:rPr>
                <w:sz w:val="16"/>
              </w:rPr>
              <w:t xml:space="preserve">1 и </w:t>
            </w:r>
            <w:hyperlink w:history="0" w:anchor="P1771" w:tooltip="Часть 2">
              <w:r>
                <w:rPr>
                  <w:sz w:val="16"/>
                  <w:color w:val="0000ff"/>
                </w:rPr>
                <w:t xml:space="preserve">часть 2</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V</w:t>
            </w:r>
          </w:p>
          <w:p>
            <w:pPr>
              <w:pStyle w:val="1"/>
              <w:jc w:val="both"/>
            </w:pPr>
            <w:r>
              <w:rPr>
                <w:sz w:val="16"/>
              </w:rPr>
            </w:r>
            <w:hyperlink w:history="0" r:id="rId590"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A</w:t>
              </w:r>
            </w:hyperlink>
            <w:r>
              <w:rPr>
                <w:sz w:val="16"/>
              </w:rPr>
            </w:r>
          </w:p>
        </w:tc>
        <w:tc>
          <w:tcPr>
            <w:tcW w:w="1485" w:type="dxa"/>
            <w:tcBorders>
              <w:top w:val="nil"/>
            </w:tcBorders>
          </w:tcPr>
          <w:p>
            <w:pPr>
              <w:pStyle w:val="1"/>
              <w:jc w:val="both"/>
            </w:pPr>
            <w:r>
              <w:rPr>
                <w:sz w:val="16"/>
              </w:rPr>
              <w:t xml:space="preserve">Приложение V,</w:t>
            </w:r>
          </w:p>
          <w:p>
            <w:pPr>
              <w:pStyle w:val="1"/>
              <w:jc w:val="both"/>
            </w:pPr>
            <w:r>
              <w:rPr>
                <w:sz w:val="16"/>
              </w:rPr>
              <w:t xml:space="preserve">часть 1,     </w:t>
            </w:r>
          </w:p>
          <w:p>
            <w:pPr>
              <w:pStyle w:val="1"/>
              <w:jc w:val="both"/>
            </w:pPr>
            <w:r>
              <w:rPr>
                <w:sz w:val="16"/>
              </w:rPr>
            </w:r>
            <w:hyperlink w:history="0" w:anchor="P1564" w:tooltip="    3.  Пороговые  значения  выбросов  (мг/Nm )  для  SO   для  заводов  по">
              <w:r>
                <w:rPr>
                  <w:sz w:val="16"/>
                  <w:color w:val="0000ff"/>
                </w:rPr>
                <w:t xml:space="preserve">пункт 3</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V</w:t>
            </w:r>
          </w:p>
          <w:p>
            <w:pPr>
              <w:pStyle w:val="1"/>
              <w:jc w:val="both"/>
            </w:pPr>
            <w:r>
              <w:rPr>
                <w:sz w:val="16"/>
              </w:rPr>
            </w:r>
            <w:hyperlink w:history="0" r:id="rId591"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B</w:t>
              </w:r>
            </w:hyperlink>
            <w:r>
              <w:rPr>
                <w:sz w:val="16"/>
              </w:rPr>
            </w:r>
          </w:p>
        </w:tc>
        <w:tc>
          <w:tcPr>
            <w:tcW w:w="1485" w:type="dxa"/>
            <w:tcBorders>
              <w:top w:val="nil"/>
            </w:tcBorders>
          </w:tcPr>
          <w:p>
            <w:pPr>
              <w:pStyle w:val="1"/>
              <w:jc w:val="both"/>
            </w:pPr>
            <w:r>
              <w:rPr>
                <w:sz w:val="16"/>
              </w:rPr>
              <w:t xml:space="preserve">Приложение V,</w:t>
            </w:r>
          </w:p>
          <w:p>
            <w:pPr>
              <w:pStyle w:val="1"/>
              <w:jc w:val="both"/>
            </w:pPr>
            <w:r>
              <w:rPr>
                <w:sz w:val="16"/>
              </w:rPr>
              <w:t xml:space="preserve">часть 2,     </w:t>
            </w:r>
          </w:p>
          <w:p>
            <w:pPr>
              <w:pStyle w:val="1"/>
              <w:jc w:val="both"/>
            </w:pPr>
            <w:r>
              <w:rPr>
                <w:sz w:val="16"/>
              </w:rPr>
            </w:r>
            <w:hyperlink w:history="0" w:anchor="P1816" w:tooltip="    3.  Пороговые  значения  выбросов  (мг/Nm )  для  SO   для  заводов  по">
              <w:r>
                <w:rPr>
                  <w:sz w:val="16"/>
                  <w:color w:val="0000ff"/>
                </w:rPr>
                <w:t xml:space="preserve">пункт 3</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r>
            <w:hyperlink w:history="0" r:id="rId592"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VI A</w:t>
              </w:r>
            </w:hyperlink>
            <w:r>
              <w:rPr>
                <w:sz w:val="16"/>
              </w:rPr>
            </w:r>
          </w:p>
        </w:tc>
        <w:tc>
          <w:tcPr>
            <w:tcW w:w="1485" w:type="dxa"/>
            <w:tcBorders>
              <w:top w:val="nil"/>
            </w:tcBorders>
          </w:tcPr>
          <w:p>
            <w:pPr>
              <w:pStyle w:val="1"/>
              <w:jc w:val="both"/>
            </w:pPr>
            <w:r>
              <w:rPr>
                <w:sz w:val="16"/>
              </w:rPr>
              <w:t xml:space="preserve">Приложение V,</w:t>
            </w:r>
          </w:p>
          <w:p>
            <w:pPr>
              <w:pStyle w:val="1"/>
              <w:jc w:val="both"/>
            </w:pPr>
            <w:r>
              <w:rPr>
                <w:sz w:val="16"/>
              </w:rPr>
              <w:t xml:space="preserve">часть 1,     </w:t>
            </w:r>
          </w:p>
          <w:p>
            <w:pPr>
              <w:pStyle w:val="1"/>
              <w:jc w:val="both"/>
            </w:pPr>
            <w:r>
              <w:rPr>
                <w:sz w:val="16"/>
              </w:rPr>
            </w:r>
            <w:hyperlink w:history="0" w:anchor="P1587" w:tooltip="    4.  Пороговые  значения  выбросов  (мг/Nm )  для  NO   для  заводов  по">
              <w:r>
                <w:rPr>
                  <w:sz w:val="16"/>
                  <w:color w:val="0000ff"/>
                </w:rPr>
                <w:t xml:space="preserve">пункты 4</w:t>
              </w:r>
            </w:hyperlink>
            <w:r>
              <w:rPr>
                <w:sz w:val="16"/>
              </w:rPr>
              <w:t xml:space="preserve"> и </w:t>
            </w:r>
            <w:hyperlink w:history="0" w:anchor="P1663" w:tooltip="    6.  Пороговые  значения  выбросов  (мг/Nm ) для NO  и CO для заводов по">
              <w:r>
                <w:rPr>
                  <w:sz w:val="16"/>
                  <w:color w:val="0000ff"/>
                </w:rPr>
                <w:t xml:space="preserve">6</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Приложение V,</w:t>
            </w:r>
          </w:p>
          <w:p>
            <w:pPr>
              <w:pStyle w:val="1"/>
              <w:jc w:val="both"/>
            </w:pPr>
            <w:r>
              <w:rPr>
                <w:sz w:val="16"/>
              </w:rPr>
              <w:t xml:space="preserve">часть 1,     </w:t>
            </w:r>
          </w:p>
          <w:p>
            <w:pPr>
              <w:pStyle w:val="1"/>
              <w:jc w:val="both"/>
            </w:pPr>
            <w:r>
              <w:rPr>
                <w:sz w:val="16"/>
              </w:rPr>
            </w:r>
            <w:hyperlink w:history="0" w:anchor="P1656" w:tooltip="    5.  На  газовые  турбины  (в том числе газовые турбины комбинированного">
              <w:r>
                <w:rPr>
                  <w:sz w:val="16"/>
                  <w:color w:val="0000ff"/>
                </w:rPr>
                <w:t xml:space="preserve">пункт 5</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r>
            <w:hyperlink w:history="0" r:id="rId593"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VI B</w:t>
              </w:r>
            </w:hyperlink>
            <w:r>
              <w:rPr>
                <w:sz w:val="16"/>
              </w:rPr>
            </w:r>
          </w:p>
        </w:tc>
        <w:tc>
          <w:tcPr>
            <w:tcW w:w="1485" w:type="dxa"/>
            <w:tcBorders>
              <w:top w:val="nil"/>
            </w:tcBorders>
          </w:tcPr>
          <w:p>
            <w:pPr>
              <w:pStyle w:val="1"/>
              <w:jc w:val="both"/>
            </w:pPr>
            <w:r>
              <w:rPr>
                <w:sz w:val="16"/>
              </w:rPr>
              <w:t xml:space="preserve">Приложение V,</w:t>
            </w:r>
          </w:p>
          <w:p>
            <w:pPr>
              <w:pStyle w:val="1"/>
              <w:jc w:val="both"/>
            </w:pPr>
            <w:r>
              <w:rPr>
                <w:sz w:val="16"/>
              </w:rPr>
              <w:t xml:space="preserve">часть 2,     </w:t>
            </w:r>
          </w:p>
          <w:p>
            <w:pPr>
              <w:pStyle w:val="1"/>
              <w:jc w:val="both"/>
            </w:pPr>
            <w:r>
              <w:rPr>
                <w:sz w:val="16"/>
              </w:rPr>
            </w:r>
            <w:hyperlink w:history="0" w:anchor="P1832" w:tooltip="    4.  Пороговые  значения  выбросов  (мг/Nm )  для  NO   для  заводов  по">
              <w:r>
                <w:rPr>
                  <w:sz w:val="16"/>
                  <w:color w:val="0000ff"/>
                </w:rPr>
                <w:t xml:space="preserve">пункты 4</w:t>
              </w:r>
            </w:hyperlink>
            <w:r>
              <w:rPr>
                <w:sz w:val="16"/>
              </w:rPr>
              <w:t xml:space="preserve"> и </w:t>
            </w:r>
            <w:hyperlink w:history="0" w:anchor="P1863" w:tooltip="    6.  Пороговые  значения  выбросов  (мг/Nm ) для NO  и CO для заводов по">
              <w:r>
                <w:rPr>
                  <w:sz w:val="16"/>
                  <w:color w:val="0000ff"/>
                </w:rPr>
                <w:t xml:space="preserve">6</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Приложение V,</w:t>
            </w:r>
          </w:p>
          <w:p>
            <w:pPr>
              <w:pStyle w:val="1"/>
              <w:jc w:val="both"/>
            </w:pPr>
            <w:r>
              <w:rPr>
                <w:sz w:val="16"/>
              </w:rPr>
              <w:t xml:space="preserve">часть 2,     </w:t>
            </w:r>
          </w:p>
          <w:p>
            <w:pPr>
              <w:pStyle w:val="1"/>
              <w:jc w:val="both"/>
            </w:pPr>
            <w:r>
              <w:rPr>
                <w:sz w:val="16"/>
              </w:rPr>
            </w:r>
            <w:hyperlink w:history="0" w:anchor="P1856" w:tooltip="    5. На газовые турбины (в том числе CCGT), использующие легкие и средние">
              <w:r>
                <w:rPr>
                  <w:sz w:val="16"/>
                  <w:color w:val="0000ff"/>
                </w:rPr>
                <w:t xml:space="preserve">пункт 5</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r>
            <w:hyperlink w:history="0" r:id="rId594"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VII A</w:t>
              </w:r>
            </w:hyperlink>
            <w:r>
              <w:rPr>
                <w:sz w:val="16"/>
              </w:rPr>
            </w:r>
          </w:p>
        </w:tc>
        <w:tc>
          <w:tcPr>
            <w:tcW w:w="1485" w:type="dxa"/>
            <w:tcBorders>
              <w:top w:val="nil"/>
            </w:tcBorders>
          </w:tcPr>
          <w:p>
            <w:pPr>
              <w:pStyle w:val="1"/>
              <w:jc w:val="both"/>
            </w:pPr>
            <w:r>
              <w:rPr>
                <w:sz w:val="16"/>
              </w:rPr>
              <w:t xml:space="preserve">Приложение V,</w:t>
            </w:r>
          </w:p>
          <w:p>
            <w:pPr>
              <w:pStyle w:val="1"/>
              <w:jc w:val="both"/>
            </w:pPr>
            <w:r>
              <w:rPr>
                <w:sz w:val="16"/>
              </w:rPr>
              <w:t xml:space="preserve">часть 1,     </w:t>
            </w:r>
          </w:p>
          <w:p>
            <w:pPr>
              <w:pStyle w:val="1"/>
              <w:jc w:val="both"/>
            </w:pPr>
            <w:r>
              <w:rPr>
                <w:sz w:val="16"/>
              </w:rPr>
            </w:r>
            <w:hyperlink w:history="0" w:anchor="P1730" w:tooltip="    7.  Пороговые  значения  выбросов  (мг/Nm )  для  пыли  для  заводов по">
              <w:r>
                <w:rPr>
                  <w:sz w:val="16"/>
                  <w:color w:val="0000ff"/>
                </w:rPr>
                <w:t xml:space="preserve">пункты 7</w:t>
              </w:r>
            </w:hyperlink>
            <w:r>
              <w:rPr>
                <w:sz w:val="16"/>
              </w:rPr>
              <w:t xml:space="preserve"> и </w:t>
            </w:r>
            <w:hyperlink w:history="0" w:anchor="P1758" w:tooltip="    8.  Пороговые  значения  выбросов  (мг/Nm )  для  пыли  для  заводов по">
              <w:r>
                <w:rPr>
                  <w:sz w:val="16"/>
                  <w:color w:val="0000ff"/>
                </w:rPr>
                <w:t xml:space="preserve">8</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r>
            <w:hyperlink w:history="0" r:id="rId595"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VII B</w:t>
              </w:r>
            </w:hyperlink>
            <w:r>
              <w:rPr>
                <w:sz w:val="16"/>
              </w:rPr>
            </w:r>
          </w:p>
        </w:tc>
        <w:tc>
          <w:tcPr>
            <w:tcW w:w="1485" w:type="dxa"/>
            <w:tcBorders>
              <w:top w:val="nil"/>
            </w:tcBorders>
          </w:tcPr>
          <w:p>
            <w:pPr>
              <w:pStyle w:val="1"/>
              <w:jc w:val="both"/>
            </w:pPr>
            <w:r>
              <w:rPr>
                <w:sz w:val="16"/>
              </w:rPr>
              <w:t xml:space="preserve">Приложение V,</w:t>
            </w:r>
          </w:p>
          <w:p>
            <w:pPr>
              <w:pStyle w:val="1"/>
              <w:jc w:val="both"/>
            </w:pPr>
            <w:r>
              <w:rPr>
                <w:sz w:val="16"/>
              </w:rPr>
              <w:t xml:space="preserve">часть 2,     </w:t>
            </w:r>
          </w:p>
          <w:p>
            <w:pPr>
              <w:pStyle w:val="1"/>
              <w:jc w:val="both"/>
            </w:pPr>
            <w:r>
              <w:rPr>
                <w:sz w:val="16"/>
              </w:rPr>
            </w:r>
            <w:hyperlink w:history="0" w:anchor="P1894" w:tooltip="    7.  Пороговые  значения  выбросов  (мг/Nm )  для  пыли  для  заводов по">
              <w:r>
                <w:rPr>
                  <w:sz w:val="16"/>
                  <w:color w:val="0000ff"/>
                </w:rPr>
                <w:t xml:space="preserve">пункты 7</w:t>
              </w:r>
            </w:hyperlink>
            <w:r>
              <w:rPr>
                <w:sz w:val="16"/>
              </w:rPr>
              <w:t xml:space="preserve"> и </w:t>
            </w:r>
            <w:hyperlink w:history="0" w:anchor="P1909" w:tooltip="    8.  Пороговые  значения  выбросов  (мг/Nm )  для  пыли  для  заводов по">
              <w:r>
                <w:rPr>
                  <w:sz w:val="16"/>
                  <w:color w:val="0000ff"/>
                </w:rPr>
                <w:t xml:space="preserve">8</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t xml:space="preserve">VIII A      </w:t>
            </w:r>
          </w:p>
          <w:p>
            <w:pPr>
              <w:pStyle w:val="1"/>
              <w:jc w:val="both"/>
            </w:pPr>
            <w:r>
              <w:rPr>
                <w:sz w:val="16"/>
              </w:rPr>
            </w:r>
            <w:hyperlink w:history="0" r:id="rId596"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пункт 1</w:t>
              </w:r>
            </w:hyperlink>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t xml:space="preserve">VIII A      </w:t>
            </w:r>
          </w:p>
          <w:p>
            <w:pPr>
              <w:pStyle w:val="1"/>
              <w:jc w:val="both"/>
            </w:pPr>
            <w:r>
              <w:rPr>
                <w:sz w:val="16"/>
              </w:rPr>
            </w:r>
            <w:hyperlink w:history="0" r:id="rId597"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пункт 2</w:t>
              </w:r>
            </w:hyperlink>
            <w:r>
              <w:rPr>
                <w:sz w:val="16"/>
              </w:rPr>
            </w:r>
          </w:p>
        </w:tc>
        <w:tc>
          <w:tcPr>
            <w:tcW w:w="1485" w:type="dxa"/>
            <w:tcBorders>
              <w:top w:val="nil"/>
            </w:tcBorders>
          </w:tcPr>
          <w:p>
            <w:pPr>
              <w:pStyle w:val="1"/>
              <w:jc w:val="both"/>
            </w:pPr>
            <w:r>
              <w:rPr>
                <w:sz w:val="16"/>
              </w:rPr>
              <w:t xml:space="preserve">Приложение V,</w:t>
            </w:r>
          </w:p>
          <w:p>
            <w:pPr>
              <w:pStyle w:val="1"/>
              <w:jc w:val="both"/>
            </w:pPr>
            <w:r>
              <w:rPr>
                <w:sz w:val="16"/>
              </w:rPr>
              <w:t xml:space="preserve">часть 3,     </w:t>
            </w:r>
          </w:p>
          <w:p>
            <w:pPr>
              <w:pStyle w:val="1"/>
              <w:jc w:val="both"/>
            </w:pPr>
            <w:r>
              <w:rPr>
                <w:sz w:val="16"/>
              </w:rPr>
              <w:t xml:space="preserve">первая часть </w:t>
            </w:r>
          </w:p>
          <w:p>
            <w:pPr>
              <w:pStyle w:val="1"/>
              <w:jc w:val="both"/>
            </w:pPr>
            <w:r>
              <w:rPr>
                <w:sz w:val="16"/>
              </w:rPr>
            </w:r>
            <w:hyperlink w:history="0" w:anchor="P1927" w:tooltip="    1.  Концентрации SO , NO  и пыли в отработанных газах от каждого завода">
              <w:r>
                <w:rPr>
                  <w:sz w:val="16"/>
                  <w:color w:val="0000ff"/>
                </w:rPr>
                <w:t xml:space="preserve">пункта 1</w:t>
              </w:r>
            </w:hyperlink>
            <w:r>
              <w:rPr>
                <w:sz w:val="16"/>
              </w:rPr>
              <w:t xml:space="preserve"> и   </w:t>
            </w:r>
          </w:p>
          <w:p>
            <w:pPr>
              <w:pStyle w:val="1"/>
              <w:jc w:val="both"/>
            </w:pPr>
            <w:r>
              <w:rPr>
                <w:sz w:val="16"/>
              </w:rPr>
            </w:r>
            <w:hyperlink w:history="0" w:anchor="P1932" w:tooltip="2. Компетентный орган вправе не требовать непрерывных измерений, предусмотренных пунктом 1 настоящей части, в следующих случаях:">
              <w:r>
                <w:rPr>
                  <w:sz w:val="16"/>
                  <w:color w:val="0000ff"/>
                </w:rPr>
                <w:t xml:space="preserve">пункты 2</w:t>
              </w:r>
            </w:hyperlink>
            <w:r>
              <w:rPr>
                <w:sz w:val="16"/>
              </w:rPr>
              <w:t xml:space="preserve">, </w:t>
            </w:r>
            <w:hyperlink w:history="0" w:anchor="P1946" w:tooltip="    3.  При  отсутствии  требования о непрерывных измерениях измерения SO ,">
              <w:r>
                <w:rPr>
                  <w:sz w:val="16"/>
                  <w:color w:val="0000ff"/>
                </w:rPr>
                <w:t xml:space="preserve">3</w:t>
              </w:r>
            </w:hyperlink>
            <w:r>
              <w:rPr>
                <w:sz w:val="16"/>
              </w:rPr>
              <w:t xml:space="preserve"> и</w:t>
            </w:r>
          </w:p>
          <w:p>
            <w:pPr>
              <w:pStyle w:val="1"/>
              <w:jc w:val="both"/>
            </w:pPr>
            <w:r>
              <w:rPr>
                <w:sz w:val="16"/>
              </w:rPr>
            </w:r>
            <w:hyperlink w:history="0" w:anchor="P1952" w:tooltip="    5.  В  качестве альтернативы измерениям SO  и NO , указанным в пункте 3">
              <w:r>
                <w:rPr>
                  <w:sz w:val="16"/>
                  <w:color w:val="0000ff"/>
                </w:rPr>
                <w:t xml:space="preserve">5</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Приложение V,</w:t>
            </w:r>
          </w:p>
          <w:p>
            <w:pPr>
              <w:pStyle w:val="1"/>
              <w:jc w:val="both"/>
            </w:pPr>
            <w:r>
              <w:rPr>
                <w:sz w:val="16"/>
              </w:rPr>
              <w:t xml:space="preserve">часть 3,     </w:t>
            </w:r>
          </w:p>
          <w:p>
            <w:pPr>
              <w:pStyle w:val="1"/>
              <w:jc w:val="both"/>
            </w:pPr>
            <w:r>
              <w:rPr>
                <w:sz w:val="16"/>
              </w:rPr>
            </w:r>
            <w:hyperlink w:history="0" w:anchor="P1931" w:tooltip="Концентрации CO в отработанных газах от каждого завода по сжиганию, сжигающего газообразное топливо, с совокупной номинальной тепловой мощностью 100 MW или выше должны непрерывно измеряться.">
              <w:r>
                <w:rPr>
                  <w:sz w:val="16"/>
                  <w:color w:val="0000ff"/>
                </w:rPr>
                <w:t xml:space="preserve">вторая часть</w:t>
              </w:r>
            </w:hyperlink>
            <w:r>
              <w:rPr>
                <w:sz w:val="16"/>
              </w:rPr>
            </w:r>
          </w:p>
          <w:p>
            <w:pPr>
              <w:pStyle w:val="1"/>
              <w:jc w:val="both"/>
            </w:pPr>
            <w:r>
              <w:rPr>
                <w:sz w:val="16"/>
              </w:rPr>
              <w:t xml:space="preserve">пункта 1     </w:t>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Приложение V,</w:t>
            </w:r>
          </w:p>
          <w:p>
            <w:pPr>
              <w:pStyle w:val="1"/>
              <w:jc w:val="both"/>
            </w:pPr>
            <w:r>
              <w:rPr>
                <w:sz w:val="16"/>
              </w:rPr>
              <w:t xml:space="preserve">часть 3,     </w:t>
            </w:r>
          </w:p>
          <w:p>
            <w:pPr>
              <w:pStyle w:val="1"/>
              <w:jc w:val="both"/>
            </w:pPr>
            <w:r>
              <w:rPr>
                <w:sz w:val="16"/>
              </w:rPr>
            </w:r>
            <w:hyperlink w:history="0" w:anchor="P1951" w:tooltip="4. Для заводов по сжиганию, сжигающих уголь или бурый уголь, суммарные выбросы ртути должны измеряться, по крайней мере, один раз в год.">
              <w:r>
                <w:rPr>
                  <w:sz w:val="16"/>
                  <w:color w:val="0000ff"/>
                </w:rPr>
                <w:t xml:space="preserve">пункт 4</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t xml:space="preserve">VIII A      </w:t>
            </w:r>
          </w:p>
          <w:p>
            <w:pPr>
              <w:pStyle w:val="1"/>
              <w:jc w:val="both"/>
            </w:pPr>
            <w:r>
              <w:rPr>
                <w:sz w:val="16"/>
              </w:rPr>
            </w:r>
            <w:hyperlink w:history="0" r:id="rId598"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пункт 3</w:t>
              </w:r>
            </w:hyperlink>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t xml:space="preserve">VIII A      </w:t>
            </w:r>
          </w:p>
          <w:p>
            <w:pPr>
              <w:pStyle w:val="1"/>
              <w:jc w:val="both"/>
            </w:pPr>
            <w:r>
              <w:rPr>
                <w:sz w:val="16"/>
              </w:rPr>
            </w:r>
            <w:hyperlink w:history="0" r:id="rId599"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пункт 4</w:t>
              </w:r>
            </w:hyperlink>
            <w:r>
              <w:rPr>
                <w:sz w:val="16"/>
              </w:rPr>
            </w:r>
          </w:p>
        </w:tc>
        <w:tc>
          <w:tcPr>
            <w:tcW w:w="1485" w:type="dxa"/>
            <w:tcBorders>
              <w:top w:val="nil"/>
            </w:tcBorders>
          </w:tcPr>
          <w:p>
            <w:pPr>
              <w:pStyle w:val="1"/>
              <w:jc w:val="both"/>
            </w:pPr>
            <w:r>
              <w:rPr>
                <w:sz w:val="16"/>
              </w:rPr>
              <w:t xml:space="preserve">Приложение V,</w:t>
            </w:r>
          </w:p>
          <w:p>
            <w:pPr>
              <w:pStyle w:val="1"/>
              <w:jc w:val="both"/>
            </w:pPr>
            <w:r>
              <w:rPr>
                <w:sz w:val="16"/>
              </w:rPr>
              <w:t xml:space="preserve">часть 3,     </w:t>
            </w:r>
          </w:p>
          <w:p>
            <w:pPr>
              <w:pStyle w:val="1"/>
              <w:jc w:val="both"/>
            </w:pPr>
            <w:r>
              <w:rPr>
                <w:sz w:val="16"/>
              </w:rPr>
            </w:r>
            <w:hyperlink w:history="0" w:anchor="P1961" w:tooltip="6. Компетентный орган должен быть проинформирован о существенных изменениях вида топлива, используемого при эксплуатации завода. Компетентный орган решает, являются ли требования мониторинга, предусмотренные пунктами 1 - 4 настоящей части, надлежащими или требуют изменения.">
              <w:r>
                <w:rPr>
                  <w:sz w:val="16"/>
                  <w:color w:val="0000ff"/>
                </w:rPr>
                <w:t xml:space="preserve">пункт 6</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t xml:space="preserve">VIII A      </w:t>
            </w:r>
          </w:p>
          <w:p>
            <w:pPr>
              <w:pStyle w:val="1"/>
              <w:jc w:val="both"/>
            </w:pPr>
            <w:r>
              <w:rPr>
                <w:sz w:val="16"/>
              </w:rPr>
            </w:r>
            <w:hyperlink w:history="0" r:id="rId600"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пункт 5</w:t>
              </w:r>
            </w:hyperlink>
            <w:r>
              <w:rPr>
                <w:sz w:val="16"/>
              </w:rPr>
            </w:r>
          </w:p>
        </w:tc>
        <w:tc>
          <w:tcPr>
            <w:tcW w:w="1485" w:type="dxa"/>
            <w:tcBorders>
              <w:top w:val="nil"/>
            </w:tcBorders>
          </w:tcPr>
          <w:p>
            <w:pPr>
              <w:pStyle w:val="1"/>
              <w:jc w:val="both"/>
            </w:pPr>
            <w:r>
              <w:rPr>
                <w:sz w:val="16"/>
              </w:rPr>
              <w:t xml:space="preserve">Приложение V,</w:t>
            </w:r>
          </w:p>
          <w:p>
            <w:pPr>
              <w:pStyle w:val="1"/>
              <w:jc w:val="both"/>
            </w:pPr>
            <w:r>
              <w:rPr>
                <w:sz w:val="16"/>
              </w:rPr>
              <w:t xml:space="preserve">часть 3,     </w:t>
            </w:r>
          </w:p>
          <w:p>
            <w:pPr>
              <w:pStyle w:val="1"/>
              <w:jc w:val="both"/>
            </w:pPr>
            <w:r>
              <w:rPr>
                <w:sz w:val="16"/>
              </w:rPr>
            </w:r>
            <w:hyperlink w:history="0" w:anchor="P1962" w:tooltip="7. Непрерывные измерения, проводимые в соответствии с пунктом 1 настоящей части, должны включать измерения содержания кислорода, температуры, давления и содержания водяного пара в отработанных газах. Непрерывные измерения содержания водяного пара в отработанных газах не требуются при условии, что образцы отработанного газа высушены перед проведением анализа выбросов.">
              <w:r>
                <w:rPr>
                  <w:sz w:val="16"/>
                  <w:color w:val="0000ff"/>
                </w:rPr>
                <w:t xml:space="preserve">пункты 7</w:t>
              </w:r>
            </w:hyperlink>
            <w:r>
              <w:rPr>
                <w:sz w:val="16"/>
              </w:rPr>
              <w:t xml:space="preserve"> и </w:t>
            </w:r>
            <w:hyperlink w:history="0" w:anchor="P1963" w:tooltip="8. Отбор и анализ соответствующих загрязняющих веществ, измерения параметров процесса и гарантии качества автоматических систем измерения, а также контрольные измерения для проверки таких систем должны проводиться в соответствии со стандартами CEN. При невозможности применения стандартов CEN необходимо применять ISO, национальные или иные международные стандарты, которые гарантируют предоставление научных сведений эквивалентного качества.">
              <w:r>
                <w:rPr>
                  <w:sz w:val="16"/>
                  <w:color w:val="0000ff"/>
                </w:rPr>
                <w:t xml:space="preserve">8</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t xml:space="preserve">VIII A      </w:t>
            </w:r>
          </w:p>
          <w:p>
            <w:pPr>
              <w:pStyle w:val="1"/>
              <w:jc w:val="both"/>
            </w:pPr>
            <w:r>
              <w:rPr>
                <w:sz w:val="16"/>
              </w:rPr>
            </w:r>
            <w:hyperlink w:history="0" r:id="rId601"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пункт 6</w:t>
              </w:r>
            </w:hyperlink>
            <w:r>
              <w:rPr>
                <w:sz w:val="16"/>
              </w:rPr>
            </w:r>
          </w:p>
        </w:tc>
        <w:tc>
          <w:tcPr>
            <w:tcW w:w="1485" w:type="dxa"/>
            <w:tcBorders>
              <w:top w:val="nil"/>
            </w:tcBorders>
          </w:tcPr>
          <w:p>
            <w:pPr>
              <w:pStyle w:val="1"/>
              <w:jc w:val="both"/>
            </w:pPr>
            <w:r>
              <w:rPr>
                <w:sz w:val="16"/>
              </w:rPr>
              <w:t xml:space="preserve">Приложение V,</w:t>
            </w:r>
          </w:p>
          <w:p>
            <w:pPr>
              <w:pStyle w:val="1"/>
              <w:jc w:val="both"/>
            </w:pPr>
            <w:r>
              <w:rPr>
                <w:sz w:val="16"/>
              </w:rPr>
              <w:t xml:space="preserve">часть 3,     </w:t>
            </w:r>
          </w:p>
          <w:p>
            <w:pPr>
              <w:pStyle w:val="1"/>
              <w:jc w:val="both"/>
            </w:pPr>
            <w:r>
              <w:rPr>
                <w:sz w:val="16"/>
              </w:rPr>
            </w:r>
            <w:hyperlink w:history="0" w:anchor="P1966" w:tooltip="9. На уровне порогового значения выбросов значения 95-процентного доверительного интервала для результата, измеренного без контрольной проверки, не должны превышать следующие пороговые значения выбросов в процентах:">
              <w:r>
                <w:rPr>
                  <w:sz w:val="16"/>
                  <w:color w:val="0000ff"/>
                </w:rPr>
                <w:t xml:space="preserve">пункты 9</w:t>
              </w:r>
            </w:hyperlink>
            <w:r>
              <w:rPr>
                <w:sz w:val="16"/>
              </w:rPr>
              <w:t xml:space="preserve"> и </w:t>
            </w:r>
            <w:hyperlink w:history="0" w:anchor="P1978" w:tooltip="10. Допустимые среднечасовые и среднесуточные значения определяются путем измерения допустимых среднечасовых значений за вычетом значения доверительного коэффициента, определенного в пункте 9 настоящей части.">
              <w:r>
                <w:rPr>
                  <w:sz w:val="16"/>
                  <w:color w:val="0000ff"/>
                </w:rPr>
                <w:t xml:space="preserve">10</w:t>
              </w:r>
            </w:hyperlink>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Приложение V,</w:t>
            </w:r>
          </w:p>
          <w:p>
            <w:pPr>
              <w:pStyle w:val="1"/>
              <w:jc w:val="both"/>
            </w:pPr>
            <w:r>
              <w:rPr>
                <w:sz w:val="16"/>
              </w:rPr>
              <w:t xml:space="preserve">часть 3,     </w:t>
            </w:r>
          </w:p>
          <w:p>
            <w:pPr>
              <w:pStyle w:val="1"/>
              <w:jc w:val="both"/>
            </w:pPr>
            <w:r>
              <w:rPr>
                <w:sz w:val="16"/>
              </w:rPr>
            </w:r>
            <w:hyperlink w:history="0" w:anchor="P1980" w:tooltip="11. В отношении заводов, которые должны соблюдать коэффициенты десульфуризации, предусмотренные статьей 31 настоящей Директивы, необходимо осуществлять регулярный мониторинг содержания серы в сжигаемом топливе. Компетентные органы должны быть проинформированы о существенных изменениях вида используемого топлива.">
              <w:r>
                <w:rPr>
                  <w:sz w:val="16"/>
                  <w:color w:val="0000ff"/>
                </w:rPr>
                <w:t xml:space="preserve">пункт 11</w:t>
              </w:r>
            </w:hyperlink>
            <w:r>
              <w:rPr>
                <w:sz w:val="16"/>
              </w:rPr>
            </w:r>
          </w:p>
        </w:tc>
      </w:tr>
      <w:tr>
        <w:trPr>
          <w:trHeight w:val="210" w:hRule="atLeast"/>
        </w:trPr>
        <w:tc>
          <w:tcPr>
            <w:tcW w:w="1188" w:type="dxa"/>
            <w:tcBorders>
              <w:top w:val="nil"/>
            </w:tcBorders>
          </w:tcPr>
          <w:p>
            <w:pPr>
              <w:pStyle w:val="1"/>
              <w:jc w:val="both"/>
            </w:pPr>
            <w:r>
              <w:rPr>
                <w:sz w:val="16"/>
              </w:rPr>
              <w:t xml:space="preserve">    -     </w:t>
            </w:r>
          </w:p>
        </w:tc>
        <w:tc>
          <w:tcPr>
            <w:tcW w:w="1287" w:type="dxa"/>
            <w:tcBorders>
              <w:top w:val="nil"/>
            </w:tcBorders>
          </w:tcPr>
          <w:p>
            <w:pPr>
              <w:pStyle w:val="1"/>
              <w:jc w:val="both"/>
            </w:pPr>
            <w:r>
              <w:rPr>
                <w:sz w:val="16"/>
              </w:rPr>
              <w:t xml:space="preserve">     -     </w:t>
            </w:r>
          </w:p>
        </w:tc>
        <w:tc>
          <w:tcPr>
            <w:tcW w:w="1188"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584"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      -      </w:t>
            </w:r>
          </w:p>
        </w:tc>
        <w:tc>
          <w:tcPr>
            <w:tcW w:w="1386" w:type="dxa"/>
            <w:tcBorders>
              <w:top w:val="nil"/>
            </w:tcBorders>
          </w:tcPr>
          <w:p>
            <w:pPr>
              <w:pStyle w:val="1"/>
              <w:jc w:val="both"/>
            </w:pPr>
            <w:r>
              <w:rPr>
                <w:sz w:val="16"/>
              </w:rPr>
              <w:t xml:space="preserve">     -      </w:t>
            </w:r>
          </w:p>
        </w:tc>
        <w:tc>
          <w:tcPr>
            <w:tcW w:w="1485" w:type="dxa"/>
            <w:tcBorders>
              <w:top w:val="nil"/>
            </w:tcBorders>
          </w:tcPr>
          <w:p>
            <w:pPr>
              <w:pStyle w:val="1"/>
              <w:jc w:val="both"/>
            </w:pPr>
            <w:r>
              <w:rPr>
                <w:sz w:val="16"/>
              </w:rPr>
              <w:t xml:space="preserve">Приложение V,</w:t>
            </w:r>
          </w:p>
          <w:p>
            <w:pPr>
              <w:pStyle w:val="1"/>
              <w:jc w:val="both"/>
            </w:pPr>
            <w:r>
              <w:rPr>
                <w:sz w:val="16"/>
              </w:rPr>
            </w:r>
            <w:hyperlink w:history="0" w:anchor="P1982" w:tooltip="Часть 4">
              <w:r>
                <w:rPr>
                  <w:sz w:val="16"/>
                  <w:color w:val="0000ff"/>
                </w:rPr>
                <w:t xml:space="preserve">часть 4</w:t>
              </w:r>
            </w:hyperlink>
            <w:r>
              <w:rPr>
                <w:sz w:val="16"/>
              </w:rPr>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r>
            <w:hyperlink w:history="0" r:id="rId602"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VIII B</w:t>
              </w:r>
            </w:hyperlink>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r>
            <w:hyperlink w:history="0" r:id="rId603"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VIII C</w:t>
              </w:r>
            </w:hyperlink>
            <w:r>
              <w:rPr>
                <w:sz w:val="16"/>
              </w:rPr>
            </w:r>
          </w:p>
        </w:tc>
        <w:tc>
          <w:tcPr>
            <w:tcW w:w="1485" w:type="dxa"/>
            <w:tcBorders>
              <w:top w:val="nil"/>
            </w:tcBorders>
          </w:tcPr>
          <w:p>
            <w:pPr>
              <w:pStyle w:val="1"/>
              <w:jc w:val="both"/>
            </w:pPr>
            <w:r>
              <w:rPr>
                <w:sz w:val="16"/>
              </w:rPr>
              <w:t xml:space="preserve">      -      </w:t>
            </w:r>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r>
            <w:hyperlink w:history="0" r:id="rId604"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VI</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r>
            <w:hyperlink w:history="0" r:id="rId605"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IX</w:t>
              </w:r>
            </w:hyperlink>
            <w:r>
              <w:rPr>
                <w:sz w:val="16"/>
              </w:rPr>
            </w:r>
          </w:p>
        </w:tc>
        <w:tc>
          <w:tcPr>
            <w:tcW w:w="1485" w:type="dxa"/>
            <w:tcBorders>
              <w:top w:val="nil"/>
            </w:tcBorders>
          </w:tcPr>
          <w:p>
            <w:pPr>
              <w:pStyle w:val="1"/>
              <w:jc w:val="both"/>
            </w:pPr>
            <w:r>
              <w:rPr>
                <w:sz w:val="16"/>
              </w:rPr>
            </w:r>
            <w:hyperlink w:history="0" w:anchor="P3446" w:tooltip="Приложение IX">
              <w:r>
                <w:rPr>
                  <w:sz w:val="16"/>
                  <w:color w:val="0000ff"/>
                </w:rPr>
                <w:t xml:space="preserve">Приложение IX</w:t>
              </w:r>
            </w:hyperlink>
          </w:p>
        </w:tc>
      </w:tr>
      <w:tr>
        <w:trPr>
          <w:trHeight w:val="210" w:hRule="atLeast"/>
        </w:trPr>
        <w:tc>
          <w:tcPr>
            <w:tcW w:w="1188" w:type="dxa"/>
            <w:tcBorders>
              <w:top w:val="nil"/>
            </w:tcBorders>
          </w:tcPr>
          <w:p>
            <w:pPr>
              <w:pStyle w:val="1"/>
              <w:jc w:val="both"/>
            </w:pPr>
            <w:r>
              <w:rPr>
                <w:sz w:val="16"/>
              </w:rPr>
            </w:r>
          </w:p>
        </w:tc>
        <w:tc>
          <w:tcPr>
            <w:tcW w:w="1287" w:type="dxa"/>
            <w:tcBorders>
              <w:top w:val="nil"/>
            </w:tcBorders>
          </w:tcPr>
          <w:p>
            <w:pPr>
              <w:pStyle w:val="1"/>
              <w:jc w:val="both"/>
            </w:pPr>
            <w:r>
              <w:rPr>
                <w:sz w:val="16"/>
              </w:rPr>
            </w:r>
          </w:p>
        </w:tc>
        <w:tc>
          <w:tcPr>
            <w:tcW w:w="1188" w:type="dxa"/>
            <w:tcBorders>
              <w:top w:val="nil"/>
            </w:tcBorders>
          </w:tcPr>
          <w:p>
            <w:pPr>
              <w:pStyle w:val="1"/>
              <w:jc w:val="both"/>
            </w:pPr>
            <w:r>
              <w:rPr>
                <w:sz w:val="16"/>
              </w:rPr>
            </w:r>
          </w:p>
        </w:tc>
        <w:tc>
          <w:tcPr>
            <w:tcW w:w="1386" w:type="dxa"/>
            <w:tcBorders>
              <w:top w:val="nil"/>
            </w:tcBorders>
          </w:tcPr>
          <w:p>
            <w:pPr>
              <w:pStyle w:val="1"/>
              <w:jc w:val="both"/>
            </w:pPr>
            <w:r>
              <w:rPr>
                <w:sz w:val="16"/>
              </w:rPr>
              <w:t xml:space="preserve">Приложение  </w:t>
            </w:r>
          </w:p>
          <w:p>
            <w:pPr>
              <w:pStyle w:val="1"/>
              <w:jc w:val="both"/>
            </w:pPr>
            <w:r>
              <w:rPr>
                <w:sz w:val="16"/>
              </w:rPr>
            </w:r>
            <w:hyperlink w:history="0" r:id="rId606" w:tooltip="Директива N 2008/1/ЕС Европейского парламента и Совета Европейского Союза &quot;О комплексном предотвращении и контроле загрязнений (кодифицированная версия)&quot; [рус., англ.] (Вместе с &quot;Видами производственной деятельности, упоминаемыми в статье 1&quot;, &quot;Перечнем Директив, упоминаемых в статьях 18 (2) и 20&quot;, &quot;Примерным списком основных загрязняющих веществ, для которых устанавливаются предельные величины выбросов&quot;, &quot;Участием общественности в принятии решений&quot;, &quot;Таблицей корреляции&quot;) (Принята в г. Страсбурге 15.01.2008 ------------ Утратил силу или отменен {КонсультантПлюс}">
              <w:r>
                <w:rPr>
                  <w:sz w:val="16"/>
                  <w:color w:val="0000ff"/>
                </w:rPr>
                <w:t xml:space="preserve">VII</w:t>
              </w:r>
            </w:hyperlink>
            <w:r>
              <w:rPr>
                <w:sz w:val="16"/>
              </w:rPr>
            </w:r>
          </w:p>
        </w:tc>
        <w:tc>
          <w:tcPr>
            <w:tcW w:w="1584" w:type="dxa"/>
            <w:tcBorders>
              <w:top w:val="nil"/>
            </w:tcBorders>
          </w:tcPr>
          <w:p>
            <w:pPr>
              <w:pStyle w:val="1"/>
              <w:jc w:val="both"/>
            </w:pPr>
            <w:r>
              <w:rPr>
                <w:sz w:val="16"/>
              </w:rPr>
            </w:r>
          </w:p>
        </w:tc>
        <w:tc>
          <w:tcPr>
            <w:tcW w:w="1485" w:type="dxa"/>
            <w:tcBorders>
              <w:top w:val="nil"/>
            </w:tcBorders>
          </w:tcPr>
          <w:p>
            <w:pPr>
              <w:pStyle w:val="1"/>
              <w:jc w:val="both"/>
            </w:pPr>
            <w:r>
              <w:rPr>
                <w:sz w:val="16"/>
              </w:rPr>
            </w:r>
          </w:p>
        </w:tc>
        <w:tc>
          <w:tcPr>
            <w:tcW w:w="1386" w:type="dxa"/>
            <w:tcBorders>
              <w:top w:val="nil"/>
            </w:tcBorders>
          </w:tcPr>
          <w:p>
            <w:pPr>
              <w:pStyle w:val="1"/>
              <w:jc w:val="both"/>
            </w:pPr>
            <w:r>
              <w:rPr>
                <w:sz w:val="16"/>
              </w:rPr>
            </w:r>
            <w:hyperlink w:history="0" r:id="rId607" w:tooltip="Директива N 2001/80/ЕС Европейского парламента и Совета Европейского Союза &quot;Об ограничении выбросов некоторых загрязняющих воздух веществ от крупных установок сжигания&quot; [рус., англ.] (Вместе с &lt;Предельными значениями и задачами по снижению выбросов SO2, NOx от существующих установок и пыли&gt;, &lt;Методами измерения&gt;, &lt;Переходными положениями и сроками имплементации отменяемой Директивы&gt;, &lt;Таблицей соответствий&gt;) [англ.] (Принята в г. Люксембурге 23.10.2001) ------------ Утратил силу или отменен {КонсультантПлюс}">
              <w:r>
                <w:rPr>
                  <w:sz w:val="16"/>
                  <w:color w:val="0000ff"/>
                </w:rPr>
                <w:t xml:space="preserve">Приложение X</w:t>
              </w:r>
            </w:hyperlink>
          </w:p>
        </w:tc>
        <w:tc>
          <w:tcPr>
            <w:tcW w:w="1485" w:type="dxa"/>
            <w:tcBorders>
              <w:top w:val="nil"/>
            </w:tcBorders>
          </w:tcPr>
          <w:p>
            <w:pPr>
              <w:pStyle w:val="1"/>
              <w:jc w:val="both"/>
            </w:pPr>
            <w:r>
              <w:rPr>
                <w:sz w:val="16"/>
              </w:rPr>
            </w:r>
            <w:hyperlink w:history="0" w:anchor="P3567" w:tooltip="КОРРЕЛЯЦИОННАЯ ТАБЛИЦА">
              <w:r>
                <w:rPr>
                  <w:sz w:val="16"/>
                  <w:color w:val="0000ff"/>
                </w:rPr>
                <w:t xml:space="preserve">Приложение X</w:t>
              </w:r>
            </w:hyperlink>
            <w:r>
              <w:rPr>
                <w:sz w:val="16"/>
              </w:rPr>
            </w:r>
          </w:p>
        </w:tc>
      </w:tr>
    </w:tbl>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2"/>
        <w:outlineLvl w:val="0"/>
        <w:jc w:val="center"/>
      </w:pPr>
      <w:r>
        <w:rPr>
          <w:sz w:val="20"/>
        </w:rPr>
        <w:t xml:space="preserve">DIRECTIVE N 2010/75/EU</w:t>
      </w:r>
    </w:p>
    <w:p>
      <w:pPr>
        <w:pStyle w:val="2"/>
        <w:jc w:val="center"/>
      </w:pPr>
      <w:r>
        <w:rPr>
          <w:sz w:val="20"/>
        </w:rPr>
        <w:t xml:space="preserve">OF THE EUROPEAN PARLIAMENT AND OF THE COUNCIL</w:t>
      </w:r>
    </w:p>
    <w:p>
      <w:pPr>
        <w:pStyle w:val="2"/>
        <w:jc w:val="center"/>
      </w:pPr>
      <w:r>
        <w:rPr>
          <w:sz w:val="20"/>
        </w:rPr>
        <w:t xml:space="preserve">ON INDUSTRIAL EMISSIONS (INTEGRATED POLLUTION</w:t>
      </w:r>
    </w:p>
    <w:p>
      <w:pPr>
        <w:pStyle w:val="2"/>
        <w:jc w:val="center"/>
      </w:pPr>
      <w:r>
        <w:rPr>
          <w:sz w:val="20"/>
        </w:rPr>
        <w:t xml:space="preserve">PREVENTION AND CONTROL)</w:t>
      </w:r>
    </w:p>
    <w:p>
      <w:pPr>
        <w:pStyle w:val="2"/>
        <w:jc w:val="center"/>
      </w:pPr>
      <w:r>
        <w:rPr>
          <w:sz w:val="20"/>
        </w:rPr>
        <w:t xml:space="preserve">(RECAST)</w:t>
      </w:r>
    </w:p>
    <w:p>
      <w:pPr>
        <w:pStyle w:val="2"/>
        <w:jc w:val="center"/>
      </w:pPr>
      <w:r>
        <w:rPr>
          <w:sz w:val="20"/>
        </w:rPr>
      </w:r>
    </w:p>
    <w:p>
      <w:pPr>
        <w:pStyle w:val="2"/>
        <w:jc w:val="center"/>
      </w:pPr>
      <w:r>
        <w:rPr>
          <w:sz w:val="20"/>
        </w:rPr>
        <w:t xml:space="preserve">(Strasbourg, 24.XI.2010)</w:t>
      </w:r>
    </w:p>
    <w:p>
      <w:pPr>
        <w:pStyle w:val="0"/>
        <w:jc w:val="center"/>
      </w:pPr>
      <w:r>
        <w:rPr>
          <w:sz w:val="20"/>
        </w:rPr>
      </w:r>
    </w:p>
    <w:p>
      <w:pPr>
        <w:pStyle w:val="0"/>
        <w:jc w:val="center"/>
      </w:pPr>
      <w:r>
        <w:rPr>
          <w:sz w:val="20"/>
        </w:rPr>
        <w:t xml:space="preserve">(Text with EEA relevance)</w:t>
      </w:r>
    </w:p>
    <w:p>
      <w:pPr>
        <w:pStyle w:val="0"/>
        <w:jc w:val="center"/>
      </w:pPr>
      <w:r>
        <w:rPr>
          <w:sz w:val="20"/>
        </w:rPr>
      </w:r>
    </w:p>
    <w:p>
      <w:pPr>
        <w:pStyle w:val="0"/>
        <w:ind w:firstLine="540"/>
        <w:jc w:val="both"/>
      </w:pPr>
      <w:r>
        <w:rPr>
          <w:sz w:val="20"/>
        </w:rPr>
        <w:t xml:space="preserve">The European Parliament and the Council of the European Union,</w:t>
      </w:r>
    </w:p>
    <w:p>
      <w:pPr>
        <w:pStyle w:val="0"/>
        <w:spacing w:before="200" w:line-rule="auto"/>
        <w:ind w:firstLine="540"/>
        <w:jc w:val="both"/>
      </w:pPr>
      <w:r>
        <w:rPr>
          <w:sz w:val="20"/>
        </w:rPr>
        <w:t xml:space="preserve">Having regard to the Treaty on the Functioning of the European Union, and in particular Article 192 (1) thereof,</w:t>
      </w:r>
    </w:p>
    <w:p>
      <w:pPr>
        <w:pStyle w:val="0"/>
        <w:spacing w:before="200" w:line-rule="auto"/>
        <w:ind w:firstLine="540"/>
        <w:jc w:val="both"/>
      </w:pPr>
      <w:r>
        <w:rPr>
          <w:sz w:val="20"/>
        </w:rPr>
        <w:t xml:space="preserve">Having regard to the proposal from the European Commission,</w:t>
      </w:r>
    </w:p>
    <w:p>
      <w:pPr>
        <w:pStyle w:val="0"/>
        <w:spacing w:before="200" w:line-rule="auto"/>
        <w:ind w:firstLine="540"/>
        <w:jc w:val="both"/>
      </w:pPr>
      <w:r>
        <w:rPr>
          <w:sz w:val="20"/>
        </w:rPr>
        <w:t xml:space="preserve">Having regard to the opinion of the European Economic and Social Committee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C 182, 4.8.2009, p. 46.</w:t>
      </w:r>
    </w:p>
    <w:p>
      <w:pPr>
        <w:pStyle w:val="0"/>
        <w:ind w:firstLine="540"/>
        <w:jc w:val="both"/>
      </w:pPr>
      <w:r>
        <w:rPr>
          <w:sz w:val="20"/>
        </w:rPr>
      </w:r>
    </w:p>
    <w:p>
      <w:pPr>
        <w:pStyle w:val="0"/>
        <w:ind w:firstLine="540"/>
        <w:jc w:val="both"/>
      </w:pPr>
      <w:r>
        <w:rPr>
          <w:sz w:val="20"/>
        </w:rPr>
        <w:t xml:space="preserve">Having regard to the opinion of the Committee of the Regions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C 325, 19.12.2008, p. 60.</w:t>
      </w:r>
    </w:p>
    <w:p>
      <w:pPr>
        <w:pStyle w:val="0"/>
        <w:ind w:firstLine="540"/>
        <w:jc w:val="both"/>
      </w:pPr>
      <w:r>
        <w:rPr>
          <w:sz w:val="20"/>
        </w:rPr>
      </w:r>
    </w:p>
    <w:p>
      <w:pPr>
        <w:pStyle w:val="0"/>
        <w:ind w:firstLine="540"/>
        <w:jc w:val="both"/>
      </w:pPr>
      <w:r>
        <w:rPr>
          <w:sz w:val="20"/>
        </w:rPr>
        <w:t xml:space="preserve">Acting in accordance with the ordinary legislative procedure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Position of the European Parliament of 10 March 2009 (OJ C 87 E, 1.4.2010, p. 191) and position of the Council at first reading of 15 February 2010 (OJ C 107 E, 27.4.2010, p. 1). Position of the European Parliament of 7 July 2010 (not yet published in the Official Journal) and decision of the Council of 8 November 2010.</w:t>
      </w:r>
    </w:p>
    <w:p>
      <w:pPr>
        <w:pStyle w:val="0"/>
        <w:ind w:firstLine="540"/>
        <w:jc w:val="both"/>
      </w:pPr>
      <w:r>
        <w:rPr>
          <w:sz w:val="20"/>
        </w:rPr>
      </w:r>
    </w:p>
    <w:p>
      <w:pPr>
        <w:pStyle w:val="0"/>
        <w:ind w:firstLine="540"/>
        <w:jc w:val="both"/>
      </w:pPr>
      <w:r>
        <w:rPr>
          <w:sz w:val="20"/>
        </w:rPr>
        <w:t xml:space="preserve">Whereas:</w:t>
      </w:r>
    </w:p>
    <w:p>
      <w:pPr>
        <w:pStyle w:val="0"/>
        <w:spacing w:before="200" w:line-rule="auto"/>
        <w:ind w:firstLine="540"/>
        <w:jc w:val="both"/>
      </w:pPr>
      <w:r>
        <w:rPr>
          <w:sz w:val="20"/>
        </w:rPr>
        <w:t xml:space="preserve">(1) A number of substantial changes are to be made to Council Directive 78/176/EEC of 20 February 1978 on waste from the titanium dioxide industry &lt;1&gt;, Council Directive 82/883/EEC of 3 December 1982 on procedures for the surveillance and monitoring of environments concerned by waste from the titanium dioxide industry &lt;2&gt;, Council Directive 92/112/EEC of 15 December 1992 on procedures for harmonising the programmes for the reduction and eventual elimination of pollution caused by waste from the titanium dioxide industry &lt;3&gt;, Council Directive 1999/13/EC of 11 March 1999 on the limitation of emissions of volatile organic compounds due to the use of organic solvents in certain activities and installations &lt;4&gt;, Directive 2000/76/EC of the European Parliament and of the Council of 4 December 2000 on the incineration of waste &lt;5&gt;, Directive 2001/80/EC of the European Parliament and of the Council of 23 October 2001 on the limitation of emissions of certain pollutants into the air from large combustion plants &lt;6&gt; and Directive 2008/1/EC of the European Parliament and of the Council of 15 January 2008 concerning integrated pollution prevention and control &lt;7&gt;. In the interests of clarity, those Directives should be recast.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OJ L 54, 25.2.1978, p. 19.</w:t>
      </w:r>
    </w:p>
    <w:p>
      <w:pPr>
        <w:pStyle w:val="0"/>
        <w:spacing w:before="200" w:line-rule="auto"/>
        <w:ind w:firstLine="540"/>
        <w:jc w:val="both"/>
      </w:pPr>
      <w:r>
        <w:rPr>
          <w:sz w:val="20"/>
        </w:rPr>
        <w:t xml:space="preserve">&lt;2&gt; OJ L 378, 31.12.1982, p. 1.</w:t>
      </w:r>
    </w:p>
    <w:p>
      <w:pPr>
        <w:pStyle w:val="0"/>
        <w:spacing w:before="200" w:line-rule="auto"/>
        <w:ind w:firstLine="540"/>
        <w:jc w:val="both"/>
      </w:pPr>
      <w:r>
        <w:rPr>
          <w:sz w:val="20"/>
        </w:rPr>
        <w:t xml:space="preserve">&lt;3&gt; OJ L 409, 31.12.1992, p. 11.</w:t>
      </w:r>
    </w:p>
    <w:p>
      <w:pPr>
        <w:pStyle w:val="0"/>
        <w:spacing w:before="200" w:line-rule="auto"/>
        <w:ind w:firstLine="540"/>
        <w:jc w:val="both"/>
      </w:pPr>
      <w:r>
        <w:rPr>
          <w:sz w:val="20"/>
        </w:rPr>
        <w:t xml:space="preserve">&lt;4&gt; OJ L 85, 29.3.1999, p. 1.</w:t>
      </w:r>
    </w:p>
    <w:p>
      <w:pPr>
        <w:pStyle w:val="0"/>
        <w:spacing w:before="200" w:line-rule="auto"/>
        <w:ind w:firstLine="540"/>
        <w:jc w:val="both"/>
      </w:pPr>
      <w:r>
        <w:rPr>
          <w:sz w:val="20"/>
        </w:rPr>
        <w:t xml:space="preserve">&lt;5&gt; OJ L 332, 28.12.2000, p. 91.</w:t>
      </w:r>
    </w:p>
    <w:p>
      <w:pPr>
        <w:pStyle w:val="0"/>
        <w:spacing w:before="200" w:line-rule="auto"/>
        <w:ind w:firstLine="540"/>
        <w:jc w:val="both"/>
      </w:pPr>
      <w:r>
        <w:rPr>
          <w:sz w:val="20"/>
        </w:rPr>
        <w:t xml:space="preserve">&lt;6&gt; OJ L 309, 27.11.2001, p. 1.</w:t>
      </w:r>
    </w:p>
    <w:p>
      <w:pPr>
        <w:pStyle w:val="0"/>
        <w:spacing w:before="200" w:line-rule="auto"/>
        <w:ind w:firstLine="540"/>
        <w:jc w:val="both"/>
      </w:pPr>
      <w:r>
        <w:rPr>
          <w:sz w:val="20"/>
        </w:rPr>
        <w:t xml:space="preserve">&lt;7&gt; OJ L 24, 29.1.2008, p. 8.</w:t>
      </w:r>
    </w:p>
    <w:p>
      <w:pPr>
        <w:pStyle w:val="0"/>
        <w:ind w:firstLine="540"/>
        <w:jc w:val="both"/>
      </w:pPr>
      <w:r>
        <w:rPr>
          <w:sz w:val="20"/>
        </w:rPr>
      </w:r>
    </w:p>
    <w:p>
      <w:pPr>
        <w:pStyle w:val="0"/>
        <w:ind w:firstLine="540"/>
        <w:jc w:val="both"/>
      </w:pPr>
      <w:r>
        <w:rPr>
          <w:sz w:val="20"/>
        </w:rPr>
        <w:t xml:space="preserve">(2) In order to prevent, reduce and as far as possible eliminate pollution arising from industrial activities in compliance with the "polluter pays" principle and the principle of pollution prevention, it is necessary to establish a general framework for the control of the main industrial activities, giving priority to intervention at source, ensuring prudent management of natural resources and taking into account, when necessary, the economic situation and specific local characteristics of the place in which the industrial activity is taking place.</w:t>
      </w:r>
    </w:p>
    <w:p>
      <w:pPr>
        <w:pStyle w:val="0"/>
        <w:spacing w:before="200" w:line-rule="auto"/>
        <w:ind w:firstLine="540"/>
        <w:jc w:val="both"/>
      </w:pPr>
      <w:r>
        <w:rPr>
          <w:sz w:val="20"/>
        </w:rPr>
        <w:t xml:space="preserve">(3) Different approaches to controlling emissions into air, water or soil separately may encourage the shifting of pollution from one environmental medium to another rather than protecting the environment as a whole. It is, therefore, appropriate to provide for an integrated approach to prevention and control of emissions into air, water and soil, to waste management, to energy efficiency and to accident prevention. Such an approach will also contribute to the achievement of a level playing field in the Union by aligning environmental performance requirements for industrial installations.</w:t>
      </w:r>
    </w:p>
    <w:p>
      <w:pPr>
        <w:pStyle w:val="0"/>
        <w:spacing w:before="200" w:line-rule="auto"/>
        <w:ind w:firstLine="540"/>
        <w:jc w:val="both"/>
      </w:pPr>
      <w:r>
        <w:rPr>
          <w:sz w:val="20"/>
        </w:rPr>
        <w:t xml:space="preserve">(4) It is appropriate to revise the legislation relating to industrial installations in order to simplify and clarify the existing provisions, reduce unnecessary administrative burden and implement the conclusions of the Commission Communications of 21 September 2005 on the Thematic Strategy on Air Pollution (hereinafter the Thematic Strategy on Air Pollution), of 22 September 2006 on the Thematic Strategy for Soil Protection and of 21 December 2005 on the Thematic Strategy on the Prevention and Recycling of Waste adopted as a follow-up to Decision No 1600/2002/EC of the European Parliament and of the Council of 22 July 2002 laying down the Sixth Community Environment Action Programme &lt;*&gt;. Those Communications set objectives to protect human health and the environment which cannot be met without further reductions in emissions arising from industrial activities.</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L 242, 10.9.2002, p. 1.</w:t>
      </w:r>
    </w:p>
    <w:p>
      <w:pPr>
        <w:pStyle w:val="0"/>
        <w:ind w:firstLine="540"/>
        <w:jc w:val="both"/>
      </w:pPr>
      <w:r>
        <w:rPr>
          <w:sz w:val="20"/>
        </w:rPr>
      </w:r>
    </w:p>
    <w:p>
      <w:pPr>
        <w:pStyle w:val="0"/>
        <w:ind w:firstLine="540"/>
        <w:jc w:val="both"/>
      </w:pPr>
      <w:r>
        <w:rPr>
          <w:sz w:val="20"/>
        </w:rPr>
        <w:t xml:space="preserve">(5) In order to ensure the prevention and control of pollution, each installation should operate only if it holds a permit or, in the case of certain installations and activities using organic solvents, only if it holds a permit or is registered.</w:t>
      </w:r>
    </w:p>
    <w:p>
      <w:pPr>
        <w:pStyle w:val="0"/>
        <w:spacing w:before="200" w:line-rule="auto"/>
        <w:ind w:firstLine="540"/>
        <w:jc w:val="both"/>
      </w:pPr>
      <w:r>
        <w:rPr>
          <w:sz w:val="20"/>
        </w:rPr>
        <w:t xml:space="preserve">(6) It is for Member States to determine the approach for assigning responsibilities to operators of installations provided that compliance with this Directive is ensured. Member States may choose to grant a permit to one responsible operator for each installation or to specify the responsibility amongst several operators of different parts of an installation. Where its current legal system provides for only one responsible operator for each installation, a Member State may decide to retain this system.</w:t>
      </w:r>
    </w:p>
    <w:p>
      <w:pPr>
        <w:pStyle w:val="0"/>
        <w:spacing w:before="200" w:line-rule="auto"/>
        <w:ind w:firstLine="540"/>
        <w:jc w:val="both"/>
      </w:pPr>
      <w:r>
        <w:rPr>
          <w:sz w:val="20"/>
        </w:rPr>
        <w:t xml:space="preserve">(7) In order to facilitate the granting of permits, Member States should be able to set requirements for certain categories of installations in general binding rules.</w:t>
      </w:r>
    </w:p>
    <w:p>
      <w:pPr>
        <w:pStyle w:val="0"/>
        <w:spacing w:before="200" w:line-rule="auto"/>
        <w:ind w:firstLine="540"/>
        <w:jc w:val="both"/>
      </w:pPr>
      <w:r>
        <w:rPr>
          <w:sz w:val="20"/>
        </w:rPr>
        <w:t xml:space="preserve">(8) It is important to prevent accidents and incidents and limit their consequences. Liability regarding the environmental consequences of accidents and incidents is a matter for relevant national law and, where applicable, other relevant Union law.</w:t>
      </w:r>
    </w:p>
    <w:p>
      <w:pPr>
        <w:pStyle w:val="0"/>
        <w:spacing w:before="200" w:line-rule="auto"/>
        <w:ind w:firstLine="540"/>
        <w:jc w:val="both"/>
      </w:pPr>
      <w:r>
        <w:rPr>
          <w:sz w:val="20"/>
        </w:rPr>
        <w:t xml:space="preserve">(9) In order to avoid duplication of regulation, the permit for an installation covered by Directive 2003/87/EC of the European Parliament and of the Council of 13 October 2003 establishing a scheme for greenhouse gas emission allowance trading within the Community &lt;*&gt; should not include an emission limit value for direct emissions of the greenhouse gases specified in Annex I to that Directive except where it is necessary to ensure that no significant local pollution is caused or where an installation is excluded from that scheme.</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L 275, 25.10.2003, p. 32.</w:t>
      </w:r>
    </w:p>
    <w:p>
      <w:pPr>
        <w:pStyle w:val="0"/>
        <w:ind w:firstLine="540"/>
        <w:jc w:val="both"/>
      </w:pPr>
      <w:r>
        <w:rPr>
          <w:sz w:val="20"/>
        </w:rPr>
      </w:r>
    </w:p>
    <w:p>
      <w:pPr>
        <w:pStyle w:val="0"/>
        <w:ind w:firstLine="540"/>
        <w:jc w:val="both"/>
      </w:pPr>
      <w:r>
        <w:rPr>
          <w:sz w:val="20"/>
        </w:rPr>
        <w:t xml:space="preserve">(10) In accordance with Article 193 of the Treaty on the Functioning of the European Union (TFEU), this Directive does not prevent Member States from maintaining or introducing more stringent protective measures, for example greenhouse gas emission requirements, provided that such measures are compatible with the Treaties and the Commission has been notified.</w:t>
      </w:r>
    </w:p>
    <w:p>
      <w:pPr>
        <w:pStyle w:val="0"/>
        <w:spacing w:before="200" w:line-rule="auto"/>
        <w:ind w:firstLine="540"/>
        <w:jc w:val="both"/>
      </w:pPr>
      <w:r>
        <w:rPr>
          <w:sz w:val="20"/>
        </w:rPr>
        <w:t xml:space="preserve">(11) Operators should submit permit applications containing the information necessary for the competent authority to set permit conditions. Operators should be able to use information resulting from the application of Council Directive 85/337/EEC of 27 June 1985 on the assessment of the effects of certain public and private projects on the environment &lt;*&gt; and of Council Directive 96/82/EC of 9 December 1996 on the control of major-accident hazards involving dangerous substances &lt;**&gt; when submitting permit applications.</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L 175, 5.7.1985, p. 40.</w:t>
      </w:r>
    </w:p>
    <w:p>
      <w:pPr>
        <w:pStyle w:val="0"/>
        <w:spacing w:before="200" w:line-rule="auto"/>
        <w:ind w:firstLine="540"/>
        <w:jc w:val="both"/>
      </w:pPr>
      <w:r>
        <w:rPr>
          <w:sz w:val="20"/>
        </w:rPr>
        <w:t xml:space="preserve">&lt;**&gt; OJ L 10, 14.1.1997, p. 13.</w:t>
      </w:r>
    </w:p>
    <w:p>
      <w:pPr>
        <w:pStyle w:val="0"/>
        <w:ind w:firstLine="540"/>
        <w:jc w:val="both"/>
      </w:pPr>
      <w:r>
        <w:rPr>
          <w:sz w:val="20"/>
        </w:rPr>
      </w:r>
    </w:p>
    <w:p>
      <w:pPr>
        <w:pStyle w:val="0"/>
        <w:ind w:firstLine="540"/>
        <w:jc w:val="both"/>
      </w:pPr>
      <w:r>
        <w:rPr>
          <w:sz w:val="20"/>
        </w:rPr>
        <w:t xml:space="preserve">(12) The permit should include all the measures necessary to achieve a high level of protection of the environment as a whole and to ensure that the installation is operated in accordance with the general principles governing the basic obligations of the operator. The permit should also include emission limit values for polluting substances, or equivalent parameters or technical measures, appropriate requirements to protect the soil and groundwater and monitoring requirements. Permit conditions should be set on the basis of best available techniques.</w:t>
      </w:r>
    </w:p>
    <w:p>
      <w:pPr>
        <w:pStyle w:val="0"/>
        <w:spacing w:before="200" w:line-rule="auto"/>
        <w:ind w:firstLine="540"/>
        <w:jc w:val="both"/>
      </w:pPr>
      <w:r>
        <w:rPr>
          <w:sz w:val="20"/>
        </w:rPr>
        <w:t xml:space="preserve">(13) In order to determine best available techniques and to limit imbalances in the Union as regards the level of emissions from industrial activities, reference documents for best available techniques (hereinafter BAT reference documents') should be drawn up, reviewed and, where necessary, updated through an exchange of information with stakeholders and the key elements of BAT reference documents (hereinafter BAT conclusions') adopted through committee procedure. In this respect, the Commission should, through committee procedure, establish guidance on the collection of data, on the elaboration of BAT reference documents and on their quality assurance. BAT conclusions should be the reference for setting permit conditions. They can be supplemented by other sources. The Commission should aim to update BAT reference documents not later than 8 years after the publication of the previous version.</w:t>
      </w:r>
    </w:p>
    <w:p>
      <w:pPr>
        <w:pStyle w:val="0"/>
        <w:spacing w:before="200" w:line-rule="auto"/>
        <w:ind w:firstLine="540"/>
        <w:jc w:val="both"/>
      </w:pPr>
      <w:r>
        <w:rPr>
          <w:sz w:val="20"/>
        </w:rPr>
        <w:t xml:space="preserve">(14) In order to ensure an effective and active exchange of information resulting in high-quality BAT reference documents, the Commission should establish a forum that functions in a transparent manner. Practical arrangements for the exchange of information and the accessibility of BAT reference documents should be laid down, in particular to ensure that Member States and stakeholders provide data of sufficient quality and quantity based on established guidance to enable the determination of best available techniques and emerging techniques.</w:t>
      </w:r>
    </w:p>
    <w:p>
      <w:pPr>
        <w:pStyle w:val="0"/>
        <w:spacing w:before="200" w:line-rule="auto"/>
        <w:ind w:firstLine="540"/>
        <w:jc w:val="both"/>
      </w:pPr>
      <w:r>
        <w:rPr>
          <w:sz w:val="20"/>
        </w:rPr>
        <w:t xml:space="preserve">(15) It is important to provide sufficient flexibility to competent authorities to set emission limit values that ensure that, under normal operating conditions, emissions do not exceed the emission levels associated with the best available techniques. To this end, the competent authority may set emission limits that differ from the emission levels associated with the best available techniques in terms of the values, periods of time and reference conditions applied, so long as it can be demonstrated, through the results of emission monitoring, that emissions have not exceeded the emission levels associated with the best available techniques. Compliance with the emission limit values that are set in permits results in emissions below those emission limit values.</w:t>
      </w:r>
    </w:p>
    <w:p>
      <w:pPr>
        <w:pStyle w:val="0"/>
        <w:spacing w:before="200" w:line-rule="auto"/>
        <w:ind w:firstLine="540"/>
        <w:jc w:val="both"/>
      </w:pPr>
      <w:r>
        <w:rPr>
          <w:sz w:val="20"/>
        </w:rPr>
        <w:t xml:space="preserve">(16) In order to take into account certain specific circumstances where the application of emission levels associated with the best available techniques would lead to disproportionately high costs compared to the environmental benefits, competent authorities should be able to set emission limit values deviating from those levels. Such deviations should be based on an assessment taking into account well-defined criteria. The emission limit values set out in this Directive should not be exceeded. In any event, no significant pollution should be caused and a high level of protection of the environment taken as a whole should be achieved.</w:t>
      </w:r>
    </w:p>
    <w:p>
      <w:pPr>
        <w:pStyle w:val="0"/>
        <w:spacing w:before="200" w:line-rule="auto"/>
        <w:ind w:firstLine="540"/>
        <w:jc w:val="both"/>
      </w:pPr>
      <w:r>
        <w:rPr>
          <w:sz w:val="20"/>
        </w:rPr>
        <w:t xml:space="preserve">(17) In order to enable operators to test emerging techniques which could provide for a higher general level of environmental protection, or at least the same level of environmental protection and higher cost savings than existing best available techniques, the competent authority should be able to grant temporary derogations from emission levels associated with the best available techniques.</w:t>
      </w:r>
    </w:p>
    <w:p>
      <w:pPr>
        <w:pStyle w:val="0"/>
        <w:spacing w:before="200" w:line-rule="auto"/>
        <w:ind w:firstLine="540"/>
        <w:jc w:val="both"/>
      </w:pPr>
      <w:r>
        <w:rPr>
          <w:sz w:val="20"/>
        </w:rPr>
        <w:t xml:space="preserve">(18) Changes to an installation may give rise to higher levels of pollution. Operators should notify the competent authority of any planned change which might affect the environment. Substantial changes to installations which may have significant negative effects on human health or the environment should not be made without a permit granted in accordance with this Directive.</w:t>
      </w:r>
    </w:p>
    <w:p>
      <w:pPr>
        <w:pStyle w:val="0"/>
        <w:spacing w:before="200" w:line-rule="auto"/>
        <w:ind w:firstLine="540"/>
        <w:jc w:val="both"/>
      </w:pPr>
      <w:r>
        <w:rPr>
          <w:sz w:val="20"/>
        </w:rPr>
        <w:t xml:space="preserve">(19) The spreading of manure contributes significantly to emissions of pollutants into air and water. With a view to meeting the objectives set out in the Thematic Strategy on Air Pollution and Union law on water protection, it is necessary for the Commission to review the need to establish the most suitable controls of these emissions through the application of best available techniques.</w:t>
      </w:r>
    </w:p>
    <w:p>
      <w:pPr>
        <w:pStyle w:val="0"/>
        <w:spacing w:before="200" w:line-rule="auto"/>
        <w:ind w:firstLine="540"/>
        <w:jc w:val="both"/>
      </w:pPr>
      <w:r>
        <w:rPr>
          <w:sz w:val="20"/>
        </w:rPr>
        <w:t xml:space="preserve">(20) The intensive rearing of poultry and cattle contributes significantly to emissions of pollutants into air and water. With a view to meeting the objectives set out in the Thematic Strategy on Air Pollution and in Union law on water protection, it is necessary for the Commission to review the need to establish differentiated capacity thresholds for different poultry species in order to define the scope of this Directive and to review the need to establish the most suitable controls on emissions from cattle rearing installations.</w:t>
      </w:r>
    </w:p>
    <w:p>
      <w:pPr>
        <w:pStyle w:val="0"/>
        <w:spacing w:before="200" w:line-rule="auto"/>
        <w:ind w:firstLine="540"/>
        <w:jc w:val="both"/>
      </w:pPr>
      <w:r>
        <w:rPr>
          <w:sz w:val="20"/>
        </w:rPr>
        <w:t xml:space="preserve">(21) In order to take account of developments in best available techniques or other changes to an installation, permit conditions should be reconsidered regularly and, where necessary, updated, in particular where new or updated BAT conclusions are adopted.</w:t>
      </w:r>
    </w:p>
    <w:p>
      <w:pPr>
        <w:pStyle w:val="0"/>
        <w:spacing w:before="200" w:line-rule="auto"/>
        <w:ind w:firstLine="540"/>
        <w:jc w:val="both"/>
      </w:pPr>
      <w:r>
        <w:rPr>
          <w:sz w:val="20"/>
        </w:rPr>
        <w:t xml:space="preserve">(22) In specific cases where permit reconsideration and updating identifies that a longer period than 4 years after the publication of a decision on BAT conclusions might be needed to introduce new best available techniques, competent authorities may set a longer time period in permit conditions where this is justified on the basis of the criteria laid down in this Directive.</w:t>
      </w:r>
    </w:p>
    <w:p>
      <w:pPr>
        <w:pStyle w:val="0"/>
        <w:spacing w:before="200" w:line-rule="auto"/>
        <w:ind w:firstLine="540"/>
        <w:jc w:val="both"/>
      </w:pPr>
      <w:r>
        <w:rPr>
          <w:sz w:val="20"/>
        </w:rPr>
        <w:t xml:space="preserve">(23) It is necessary to ensure that the operation of an installation does not lead to a deterioration of the quality of soil and groundwater. Permit conditions should, therefore, include appropriate measures to prevent emissions to soil and groundwater and regular surveillance of those measures to avoid leaks, spills, incidents or accidents occurring during the use of equipment and during storage. In order to detect possible soil and groundwater pollution at an early stage and, therefore, to take appropriate corrective measures before the pollution spreads, the monitoring of soil and groundwater for relevant hazardous substances is also necessary. When determining the frequency of monitoring, the type of prevention measures and the extent and occurrence of their surveillance may be considered.</w:t>
      </w:r>
    </w:p>
    <w:p>
      <w:pPr>
        <w:pStyle w:val="0"/>
        <w:spacing w:before="200" w:line-rule="auto"/>
        <w:ind w:firstLine="540"/>
        <w:jc w:val="both"/>
      </w:pPr>
      <w:r>
        <w:rPr>
          <w:sz w:val="20"/>
        </w:rPr>
        <w:t xml:space="preserve">(24) In order to ensure that the operation of an installation does not deteriorate the quality of soil and groundwater, it is necessary to establish, through a baseline report, the state of soil and groundwater contamination. The baseline report should be a practical tool that permits, as far as possible, a quantified comparison between the state of the site described in that report and the state of the site upon definitive cessation of activities, in order to ascertain whether a significant increase in pollution of soil or groundwater has taken place. The baseline report should, therefore, contain information making use of existing data on soil and groundwater measurements and historical data related to past uses of the site.</w:t>
      </w:r>
    </w:p>
    <w:p>
      <w:pPr>
        <w:pStyle w:val="0"/>
        <w:spacing w:before="200" w:line-rule="auto"/>
        <w:ind w:firstLine="540"/>
        <w:jc w:val="both"/>
      </w:pPr>
      <w:r>
        <w:rPr>
          <w:sz w:val="20"/>
        </w:rPr>
        <w:t xml:space="preserve">(25) In accordance with the polluter pays principle, when assessing the level of significance of the pollution of soil and groundwater caused by the operator which would trigger the obligation to return the site to the state described in the baseline report, Member States should take into account the permit conditions that have applied over the lifetime of the activity concerned, the pollution prevention measures adopted for the installation, and the relative increase in pollution compared to the contamination load identified in the baseline report. Liability regarding pollution not caused by the operator is a matter for relevant national law and, where applicable, other relevant Union law.</w:t>
      </w:r>
    </w:p>
    <w:p>
      <w:pPr>
        <w:pStyle w:val="0"/>
        <w:spacing w:before="200" w:line-rule="auto"/>
        <w:ind w:firstLine="540"/>
        <w:jc w:val="both"/>
      </w:pPr>
      <w:r>
        <w:rPr>
          <w:sz w:val="20"/>
        </w:rPr>
        <w:t xml:space="preserve">(26) In order to ensure the effective implementation and enforcement of this Directive, operators should regularly report to the competent authority on compliance with permit conditions. Member States should ensure that the operator and the competent authority each take necessary measures in the event of non-compliance with this Directive and provide for a system of environmental inspections. Member States should ensure that sufficient staff are available with the skills and qualifications needed to carry out those inspections effectively.</w:t>
      </w:r>
    </w:p>
    <w:p>
      <w:pPr>
        <w:pStyle w:val="0"/>
        <w:spacing w:before="200" w:line-rule="auto"/>
        <w:ind w:firstLine="540"/>
        <w:jc w:val="both"/>
      </w:pPr>
      <w:r>
        <w:rPr>
          <w:sz w:val="20"/>
        </w:rPr>
        <w:t xml:space="preserve">(27) In accordance with the Arhus Convention on access to information, public participation in decision-making and access to justice in environmental matters &lt;*&gt;, effective public participation in decision-making is necessary to enable the public to express, and the decision-maker to take account of, opinions and concerns which may be relevant to those decisions, thereby increasing the accountability and transparency of the decision-making process and contributing to public awareness of environmental issues and support for the decisions taken. Members of the public concerned should have access to justice in order to contribute to the protection of the right to live in an environment which is adequate for personal health and well-being.</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L 124, 17.5.2005, p. 4.</w:t>
      </w:r>
    </w:p>
    <w:p>
      <w:pPr>
        <w:pStyle w:val="0"/>
        <w:ind w:firstLine="540"/>
        <w:jc w:val="both"/>
      </w:pPr>
      <w:r>
        <w:rPr>
          <w:sz w:val="20"/>
        </w:rPr>
      </w:r>
    </w:p>
    <w:p>
      <w:pPr>
        <w:pStyle w:val="0"/>
        <w:ind w:firstLine="540"/>
        <w:jc w:val="both"/>
      </w:pPr>
      <w:r>
        <w:rPr>
          <w:sz w:val="20"/>
        </w:rPr>
        <w:t xml:space="preserve">(28) The combustion of fuel in installations with a total rated thermal input below 50 MW contributes significantly to emissions of pollutants into the air. With a view to meeting the objectives set out in the Thematic Strategy on Air Pollution, it is necessary for the Commission to review the need to establish the most suitable controls on emissions from such installations. That review should take into account the specificities of combustion plants used in healthcare facilities, in particular with regard to their exceptional use in the case of emergencies.</w:t>
      </w:r>
    </w:p>
    <w:p>
      <w:pPr>
        <w:pStyle w:val="0"/>
        <w:spacing w:before="200" w:line-rule="auto"/>
        <w:ind w:firstLine="540"/>
        <w:jc w:val="both"/>
      </w:pPr>
      <w:r>
        <w:rPr>
          <w:sz w:val="20"/>
        </w:rPr>
        <w:t xml:space="preserve">(29) Large combustion plants contribute greatly to emissions of polluting substances into the air resulting in a significant impact on human health and the environment. In order to reduce that impact and to work towards meeting the requirements of Directive 2001/81/EC of the European Parliament and of the Council of 23 October 2001 on national emission ceilings for certain atmospheric pollutants &lt;*&gt; and the objectives set out in the Thematic Strategy on Air Pollution, it is necessary to set more stringent emission limit values at Union level for certain categories of combustion plants and pollutants.</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L 309, 27.11.2001, p. 22.</w:t>
      </w:r>
    </w:p>
    <w:p>
      <w:pPr>
        <w:pStyle w:val="0"/>
        <w:ind w:firstLine="540"/>
        <w:jc w:val="both"/>
      </w:pPr>
      <w:r>
        <w:rPr>
          <w:sz w:val="20"/>
        </w:rPr>
      </w:r>
    </w:p>
    <w:p>
      <w:pPr>
        <w:pStyle w:val="0"/>
        <w:ind w:firstLine="540"/>
        <w:jc w:val="both"/>
      </w:pPr>
      <w:r>
        <w:rPr>
          <w:sz w:val="20"/>
        </w:rPr>
        <w:t xml:space="preserve">(30) The Commission should review the need to establish Union-wide emission limit values and to amend the emission limit values set out in Annex V for certain large combustion plants, taking into account the review and update of the relevant BAT reference documents. In this context, the Commission should consider the specificity of the energy systems of refineries.</w:t>
      </w:r>
    </w:p>
    <w:p>
      <w:pPr>
        <w:pStyle w:val="0"/>
        <w:spacing w:before="200" w:line-rule="auto"/>
        <w:ind w:firstLine="540"/>
        <w:jc w:val="both"/>
      </w:pPr>
      <w:r>
        <w:rPr>
          <w:sz w:val="20"/>
        </w:rPr>
        <w:t xml:space="preserve">(31) Due to the characteristics of certain indigenous solid fuels, it is appropriate to apply minimum desulphurisation rates rather than emission limit values for sulphur dioxide for combustion plants firing such fuels. Moreover, as the specific characteristics of oil shale may not allow the application of the same sulphur abatement techniques or the achievement of the same desulphurisation efficiency as for other fuels, a slightly lower minimum desulphurisation rate for plants using this fuel is appropriate.</w:t>
      </w:r>
    </w:p>
    <w:p>
      <w:pPr>
        <w:pStyle w:val="0"/>
        <w:spacing w:before="200" w:line-rule="auto"/>
        <w:ind w:firstLine="540"/>
        <w:jc w:val="both"/>
      </w:pPr>
      <w:r>
        <w:rPr>
          <w:sz w:val="20"/>
        </w:rPr>
        <w:t xml:space="preserve">(32) In the case of a sudden interruption in the supply of low-sulphur fuel or gas resulting from a serious shortage, the competent authority should be able to grant temporary derogations to allow emissions of the combustion plants concerned to exceed the emission limit values set out in this Directive.</w:t>
      </w:r>
    </w:p>
    <w:p>
      <w:pPr>
        <w:pStyle w:val="0"/>
        <w:spacing w:before="200" w:line-rule="auto"/>
        <w:ind w:firstLine="540"/>
        <w:jc w:val="both"/>
      </w:pPr>
      <w:r>
        <w:rPr>
          <w:sz w:val="20"/>
        </w:rPr>
        <w:t xml:space="preserve">(33) The operator concerned should not operate a combustion plant for more than 24 hours after malfunctioning or breakdown of abatement equipment and unabated operation should not exceed 120 hours in a 12-month period in order to limit the negative effects of pollution on the environment. However, where there is an overriding need for energy supplies or it is necessary to avoid an overall increase of emissions resulting from the operation of another combustion plant, competent authorities should be able to grant a derogation from those time limits.</w:t>
      </w:r>
    </w:p>
    <w:p>
      <w:pPr>
        <w:pStyle w:val="0"/>
        <w:spacing w:before="200" w:line-rule="auto"/>
        <w:ind w:firstLine="540"/>
        <w:jc w:val="both"/>
      </w:pPr>
      <w:r>
        <w:rPr>
          <w:sz w:val="20"/>
        </w:rPr>
        <w:t xml:space="preserve">(34) In order to ensure a high level of environmental and human health protection and to avoid transboundary movements of waste to plants operating at lower environmental standards, it is necessary to set and maintain stringent operating conditions, technical requirements and emission limit values for plants incinerating or co-incinerating waste within the Union.</w:t>
      </w:r>
    </w:p>
    <w:p>
      <w:pPr>
        <w:pStyle w:val="0"/>
        <w:spacing w:before="200" w:line-rule="auto"/>
        <w:ind w:firstLine="540"/>
        <w:jc w:val="both"/>
      </w:pPr>
      <w:r>
        <w:rPr>
          <w:sz w:val="20"/>
        </w:rPr>
        <w:t xml:space="preserve">(35) The use of organic solvents in certain activities and installations gives rise to emissions of organic compounds into the air which contribute to the local and transboundary formation of photochemical oxidants which causes damage to natural resources and has harmful effects on human health. It is, therefore, necessary to take preventive action against the use of organic solvents and to establish a requirement to comply with emission limit values for organic compounds and appropriate operating conditions. Operators should be allowed to comply with the requirements of a reduction scheme instead of complying with the emission limit values set out in this Directive where other measures, such as the use of low-solvent or solvent-free products or techniques, provide alternative means of achieving equivalent emission reduction.</w:t>
      </w:r>
    </w:p>
    <w:p>
      <w:pPr>
        <w:pStyle w:val="0"/>
        <w:spacing w:before="200" w:line-rule="auto"/>
        <w:ind w:firstLine="540"/>
        <w:jc w:val="both"/>
      </w:pPr>
      <w:r>
        <w:rPr>
          <w:sz w:val="20"/>
        </w:rPr>
        <w:t xml:space="preserve">(36) Installations producing titanium dioxide can give rise to significant pollution into air and water. In order to reduce these impacts, it is necessary to set at Union level more stringent emission limit values for certain polluting substances.</w:t>
      </w:r>
    </w:p>
    <w:p>
      <w:pPr>
        <w:pStyle w:val="0"/>
        <w:spacing w:before="200" w:line-rule="auto"/>
        <w:ind w:firstLine="540"/>
        <w:jc w:val="both"/>
      </w:pPr>
      <w:r>
        <w:rPr>
          <w:sz w:val="20"/>
        </w:rPr>
        <w:t xml:space="preserve">(37) With regard to the inclusion in the scope of national laws, regulations and administrative provisions brought into force in order to comply with this Directive of installations for the manufacturing of ceramic products by firings, on the basis of the characteristics of the national industrial sector, and in order to grant clear interpretation of the scope, Member States should decide whether to apply both the criteria, production capacity and kiln capacity, or just one of the two criteria.</w:t>
      </w:r>
    </w:p>
    <w:p>
      <w:pPr>
        <w:pStyle w:val="0"/>
        <w:spacing w:before="200" w:line-rule="auto"/>
        <w:ind w:firstLine="540"/>
        <w:jc w:val="both"/>
      </w:pPr>
      <w:r>
        <w:rPr>
          <w:sz w:val="20"/>
        </w:rPr>
        <w:t xml:space="preserve">(38) In order to simplify reporting and reduce unnecessary administrative burden, the Commission should identify methods to streamline the way in which data are made available pursuant to this Directive with the other requirements of Union law, and in particular Regulation (EC) No 166/2006 of the European Parliament and of the Council of 18 January 2006 concerning the establishment of a European Pollutant Release and Transfer Register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L 33, 4.2.2006, p. 1.</w:t>
      </w:r>
    </w:p>
    <w:p>
      <w:pPr>
        <w:pStyle w:val="0"/>
        <w:ind w:firstLine="540"/>
        <w:jc w:val="both"/>
      </w:pPr>
      <w:r>
        <w:rPr>
          <w:sz w:val="20"/>
        </w:rPr>
      </w:r>
    </w:p>
    <w:p>
      <w:pPr>
        <w:pStyle w:val="0"/>
        <w:ind w:firstLine="540"/>
        <w:jc w:val="both"/>
      </w:pPr>
      <w:r>
        <w:rPr>
          <w:sz w:val="20"/>
        </w:rPr>
        <w:t xml:space="preserve">(39) In order to ensure uniform conditions for implementation, implementing powers should be conferred on the Commission to adopt guidance on the collection of data, on the drawing up of BAT reference documents and on their quality assurance, including the suitability of their content and format, to adopt decisions on BAT conclusions, to establish detailed rules on the determination of start-up and shut-down periods and for transitional national plans for large combustion plants, and to establish the type, format and frequency of information that Member States are to make available to the Commission. In accordance with Article 291 TFEU, rules and general principles concerning mechanisms for the control by Member States of the Commission's exercise of implementing powers are to be laid down in advance by a regulation adopted in accordance with the ordinary legislative procedure. Pending the adoption of that new regulation, Council Decision 1999/468/EC of 28 June 1999 laying down the procedures for the exercise of implementing powers conferred on the Commission &lt;*&gt; continues to apply, with the exception of the regulatory procedure with scrutiny, which is not applicable.</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L 184, 17.7.1999, p. 23.</w:t>
      </w:r>
    </w:p>
    <w:p>
      <w:pPr>
        <w:pStyle w:val="0"/>
        <w:ind w:firstLine="540"/>
        <w:jc w:val="both"/>
      </w:pPr>
      <w:r>
        <w:rPr>
          <w:sz w:val="20"/>
        </w:rPr>
      </w:r>
    </w:p>
    <w:p>
      <w:pPr>
        <w:pStyle w:val="0"/>
        <w:ind w:firstLine="540"/>
        <w:jc w:val="both"/>
      </w:pPr>
      <w:r>
        <w:rPr>
          <w:sz w:val="20"/>
        </w:rPr>
        <w:t xml:space="preserve">(40) The Commission should be empowered to adopt delegated acts in accordance with Article 290 TFEU in respect of the setting of the date from which continuous measurements of emissions into the air of heavy metals and dioxins and furans are to be carried out, and the adaptation of certain parts of Annexes V, VI and VII to scientific and technical progress. In the case of waste incineration plants and waste co-incineration plants, this may include, inter alia, the establishment of criteria to allow derogations from continuous monitoring of total dust emissions. It is of particular importance that the Commission carry out appropriate consultations during its preparatory work, including at expert level.</w:t>
      </w:r>
    </w:p>
    <w:p>
      <w:pPr>
        <w:pStyle w:val="0"/>
        <w:spacing w:before="200" w:line-rule="auto"/>
        <w:ind w:firstLine="540"/>
        <w:jc w:val="both"/>
      </w:pPr>
      <w:r>
        <w:rPr>
          <w:sz w:val="20"/>
        </w:rPr>
        <w:t xml:space="preserve">(41) In order to address significant environmental pollution, for example from heavy metals and dioxins and furans, the Commission should, based on an assessment of the implementation of the best available techniques by certain activities or of the impact of those activities on the environment as a whole, present proposals for Union-wide minimum requirements for emission limit values and for rules on monitoring and compliance.</w:t>
      </w:r>
    </w:p>
    <w:p>
      <w:pPr>
        <w:pStyle w:val="0"/>
        <w:spacing w:before="200" w:line-rule="auto"/>
        <w:ind w:firstLine="540"/>
        <w:jc w:val="both"/>
      </w:pPr>
      <w:r>
        <w:rPr>
          <w:sz w:val="20"/>
        </w:rPr>
        <w:t xml:space="preserve">(42) Member States should lay down rules on penalties applicable to infringements of the national provisions adopted pursuant to this Directive and ensure that they are implemented. Those penalties should be effective, proportionate and dissuasive.</w:t>
      </w:r>
    </w:p>
    <w:p>
      <w:pPr>
        <w:pStyle w:val="0"/>
        <w:spacing w:before="200" w:line-rule="auto"/>
        <w:ind w:firstLine="540"/>
        <w:jc w:val="both"/>
      </w:pPr>
      <w:r>
        <w:rPr>
          <w:sz w:val="20"/>
        </w:rPr>
        <w:t xml:space="preserve">(43) In order to provide existing installations with sufficient time to adapt technically to the new requirements of this Directive, some of the new requirements should apply to those installations after a fixed period from the date of application of this Directive. Combustion plants need sufficient time to install the necessary abatement measures to meet the emission limit values set out in Annex V.</w:t>
      </w:r>
    </w:p>
    <w:p>
      <w:pPr>
        <w:pStyle w:val="0"/>
        <w:spacing w:before="200" w:line-rule="auto"/>
        <w:ind w:firstLine="540"/>
        <w:jc w:val="both"/>
      </w:pPr>
      <w:r>
        <w:rPr>
          <w:sz w:val="20"/>
        </w:rPr>
        <w:t xml:space="preserve">(44) Since the objectives of this Directive, namely to ensure a high level of environmental protection and the improvement of environmental quality, cannot be sufficiently achieved by Member States and can, therefore, by reason of the transboundary nature of pollution from industrial activities, be better achieved at Union level, the Union may adopt measures in accordance with the principle of subsidiarity as set out in Article 5 of the Treaty on European Union. In accordance with the principle of proportionality, as set out in that Article, this Directive does not go beyond what is necessary in order to achieve those objectives.</w:t>
      </w:r>
    </w:p>
    <w:p>
      <w:pPr>
        <w:pStyle w:val="0"/>
        <w:spacing w:before="200" w:line-rule="auto"/>
        <w:ind w:firstLine="540"/>
        <w:jc w:val="both"/>
      </w:pPr>
      <w:r>
        <w:rPr>
          <w:sz w:val="20"/>
        </w:rPr>
        <w:t xml:space="preserve">(45) This Directive respects the fundamental rights and observes the principles recognised in particular by the Charter of Fundamental Rights of the European Union. In particular, this Directive seeks to promote the application of Article 37 of that Charter.</w:t>
      </w:r>
    </w:p>
    <w:p>
      <w:pPr>
        <w:pStyle w:val="0"/>
        <w:spacing w:before="200" w:line-rule="auto"/>
        <w:ind w:firstLine="540"/>
        <w:jc w:val="both"/>
      </w:pPr>
      <w:r>
        <w:rPr>
          <w:sz w:val="20"/>
        </w:rPr>
        <w:t xml:space="preserve">(46) The obligation to transpose this Directive into national law should be confined to those provisions which represent a substantive change as compared with the earlier Directives. The obligation to transpose the provisions which are unchanged arises under the earlier Directives.</w:t>
      </w:r>
    </w:p>
    <w:p>
      <w:pPr>
        <w:pStyle w:val="0"/>
        <w:spacing w:before="200" w:line-rule="auto"/>
        <w:ind w:firstLine="540"/>
        <w:jc w:val="both"/>
      </w:pPr>
      <w:r>
        <w:rPr>
          <w:sz w:val="20"/>
        </w:rPr>
        <w:t xml:space="preserve">(47) In accordance with paragraph 34 of the Interinstitutional agreement on better law-making &lt;*&gt;, Member States are encouraged to draw up, for themselves and in the interests of the Union, their own tables, which will as far as possible, illustrate the correlation between this Directive and the transposition measures, and to make those tables public.</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C 321, 31.12.2003, p. 1.</w:t>
      </w:r>
    </w:p>
    <w:p>
      <w:pPr>
        <w:pStyle w:val="0"/>
        <w:ind w:firstLine="540"/>
        <w:jc w:val="both"/>
      </w:pPr>
      <w:r>
        <w:rPr>
          <w:sz w:val="20"/>
        </w:rPr>
      </w:r>
    </w:p>
    <w:p>
      <w:pPr>
        <w:pStyle w:val="0"/>
        <w:ind w:firstLine="540"/>
        <w:jc w:val="both"/>
      </w:pPr>
      <w:r>
        <w:rPr>
          <w:sz w:val="20"/>
        </w:rPr>
        <w:t xml:space="preserve">(48) This Directive should be without prejudice to the obligations of the Member States relating to the time-limits for transposition into national law and application of the Directives set out in Annex IX, Part B,</w:t>
      </w:r>
    </w:p>
    <w:p>
      <w:pPr>
        <w:pStyle w:val="0"/>
        <w:spacing w:before="200" w:line-rule="auto"/>
        <w:ind w:firstLine="540"/>
        <w:jc w:val="both"/>
      </w:pPr>
      <w:r>
        <w:rPr>
          <w:sz w:val="20"/>
        </w:rPr>
        <w:t xml:space="preserve">Have adopted this Directive:</w:t>
      </w:r>
    </w:p>
    <w:p>
      <w:pPr>
        <w:pStyle w:val="0"/>
        <w:jc w:val="center"/>
      </w:pPr>
      <w:r>
        <w:rPr>
          <w:sz w:val="20"/>
        </w:rPr>
      </w:r>
    </w:p>
    <w:p>
      <w:pPr>
        <w:pStyle w:val="0"/>
        <w:outlineLvl w:val="1"/>
        <w:jc w:val="center"/>
      </w:pPr>
      <w:r>
        <w:rPr>
          <w:sz w:val="20"/>
        </w:rPr>
        <w:t xml:space="preserve">Chapter I. COMMON PROVISIONS</w:t>
      </w:r>
    </w:p>
    <w:p>
      <w:pPr>
        <w:pStyle w:val="0"/>
        <w:jc w:val="center"/>
      </w:pPr>
      <w:r>
        <w:rPr>
          <w:sz w:val="20"/>
        </w:rPr>
      </w:r>
    </w:p>
    <w:p>
      <w:pPr>
        <w:pStyle w:val="0"/>
        <w:outlineLvl w:val="2"/>
        <w:jc w:val="center"/>
      </w:pPr>
      <w:r>
        <w:rPr>
          <w:sz w:val="20"/>
        </w:rPr>
        <w:t xml:space="preserve">Article 1</w:t>
      </w:r>
    </w:p>
    <w:p>
      <w:pPr>
        <w:pStyle w:val="0"/>
        <w:jc w:val="center"/>
      </w:pPr>
      <w:r>
        <w:rPr>
          <w:sz w:val="20"/>
        </w:rPr>
      </w:r>
    </w:p>
    <w:p>
      <w:pPr>
        <w:pStyle w:val="0"/>
        <w:jc w:val="center"/>
      </w:pPr>
      <w:r>
        <w:rPr>
          <w:sz w:val="20"/>
        </w:rPr>
        <w:t xml:space="preserve">Subject matter</w:t>
      </w:r>
    </w:p>
    <w:p>
      <w:pPr>
        <w:pStyle w:val="0"/>
        <w:jc w:val="center"/>
      </w:pPr>
      <w:r>
        <w:rPr>
          <w:sz w:val="20"/>
        </w:rPr>
      </w:r>
    </w:p>
    <w:p>
      <w:pPr>
        <w:pStyle w:val="0"/>
        <w:ind w:firstLine="540"/>
        <w:jc w:val="both"/>
      </w:pPr>
      <w:r>
        <w:rPr>
          <w:sz w:val="20"/>
        </w:rPr>
        <w:t xml:space="preserve">This Directive lays down rules on integrated prevention and control of pollution arising from industrial activities.</w:t>
      </w:r>
    </w:p>
    <w:p>
      <w:pPr>
        <w:pStyle w:val="0"/>
        <w:spacing w:before="200" w:line-rule="auto"/>
        <w:ind w:firstLine="540"/>
        <w:jc w:val="both"/>
      </w:pPr>
      <w:r>
        <w:rPr>
          <w:sz w:val="20"/>
        </w:rPr>
        <w:t xml:space="preserve">It also lays down rules designed to prevent or, where that is not practicable, to reduce emissions into air, water and land and to prevent the generation of waste, in order to achieve a high level of protection of the environment taken as a whole.</w:t>
      </w:r>
    </w:p>
    <w:p>
      <w:pPr>
        <w:pStyle w:val="0"/>
        <w:jc w:val="center"/>
      </w:pPr>
      <w:r>
        <w:rPr>
          <w:sz w:val="20"/>
        </w:rPr>
      </w:r>
    </w:p>
    <w:p>
      <w:pPr>
        <w:pStyle w:val="0"/>
        <w:outlineLvl w:val="2"/>
        <w:jc w:val="center"/>
      </w:pPr>
      <w:r>
        <w:rPr>
          <w:sz w:val="20"/>
        </w:rPr>
        <w:t xml:space="preserve">Article 2</w:t>
      </w:r>
    </w:p>
    <w:p>
      <w:pPr>
        <w:pStyle w:val="0"/>
        <w:jc w:val="center"/>
      </w:pPr>
      <w:r>
        <w:rPr>
          <w:sz w:val="20"/>
        </w:rPr>
      </w:r>
    </w:p>
    <w:p>
      <w:pPr>
        <w:pStyle w:val="0"/>
        <w:jc w:val="center"/>
      </w:pPr>
      <w:r>
        <w:rPr>
          <w:sz w:val="20"/>
        </w:rPr>
        <w:t xml:space="preserve">Scope</w:t>
      </w:r>
    </w:p>
    <w:p>
      <w:pPr>
        <w:pStyle w:val="0"/>
        <w:jc w:val="center"/>
      </w:pPr>
      <w:r>
        <w:rPr>
          <w:sz w:val="20"/>
        </w:rPr>
      </w:r>
    </w:p>
    <w:p>
      <w:pPr>
        <w:pStyle w:val="0"/>
        <w:ind w:firstLine="540"/>
        <w:jc w:val="both"/>
      </w:pPr>
      <w:r>
        <w:rPr>
          <w:sz w:val="20"/>
        </w:rPr>
        <w:t xml:space="preserve">1. This Directive shall apply to the industrial activities giving rise to pollution referred to in Chapters II to VI.</w:t>
      </w:r>
    </w:p>
    <w:p>
      <w:pPr>
        <w:pStyle w:val="0"/>
        <w:spacing w:before="200" w:line-rule="auto"/>
        <w:ind w:firstLine="540"/>
        <w:jc w:val="both"/>
      </w:pPr>
      <w:r>
        <w:rPr>
          <w:sz w:val="20"/>
        </w:rPr>
        <w:t xml:space="preserve">2. This Directive shall not apply to research activities, development activities or the testing of new products and processes.</w:t>
      </w:r>
    </w:p>
    <w:p>
      <w:pPr>
        <w:pStyle w:val="0"/>
        <w:jc w:val="center"/>
      </w:pPr>
      <w:r>
        <w:rPr>
          <w:sz w:val="20"/>
        </w:rPr>
      </w:r>
    </w:p>
    <w:p>
      <w:pPr>
        <w:pStyle w:val="0"/>
        <w:outlineLvl w:val="2"/>
        <w:jc w:val="center"/>
      </w:pPr>
      <w:r>
        <w:rPr>
          <w:sz w:val="20"/>
        </w:rPr>
        <w:t xml:space="preserve">Article 3</w:t>
      </w:r>
    </w:p>
    <w:p>
      <w:pPr>
        <w:pStyle w:val="0"/>
        <w:jc w:val="center"/>
      </w:pPr>
      <w:r>
        <w:rPr>
          <w:sz w:val="20"/>
        </w:rPr>
      </w:r>
    </w:p>
    <w:p>
      <w:pPr>
        <w:pStyle w:val="0"/>
        <w:jc w:val="center"/>
      </w:pPr>
      <w:r>
        <w:rPr>
          <w:sz w:val="20"/>
        </w:rPr>
        <w:t xml:space="preserve">Definitions</w:t>
      </w:r>
    </w:p>
    <w:p>
      <w:pPr>
        <w:pStyle w:val="0"/>
        <w:jc w:val="center"/>
      </w:pPr>
      <w:r>
        <w:rPr>
          <w:sz w:val="20"/>
        </w:rPr>
      </w:r>
    </w:p>
    <w:p>
      <w:pPr>
        <w:pStyle w:val="0"/>
        <w:ind w:firstLine="540"/>
        <w:jc w:val="both"/>
      </w:pPr>
      <w:r>
        <w:rPr>
          <w:sz w:val="20"/>
        </w:rPr>
        <w:t xml:space="preserve">For the purposes of this Directive the following definitions shall apply:</w:t>
      </w:r>
    </w:p>
    <w:p>
      <w:pPr>
        <w:pStyle w:val="0"/>
        <w:spacing w:before="200" w:line-rule="auto"/>
        <w:ind w:firstLine="540"/>
        <w:jc w:val="both"/>
      </w:pPr>
      <w:r>
        <w:rPr>
          <w:sz w:val="20"/>
        </w:rPr>
        <w:t xml:space="preserve">(1) "substance" means any chemical element and its compounds, with the exception of the following substances:</w:t>
      </w:r>
    </w:p>
    <w:p>
      <w:pPr>
        <w:pStyle w:val="0"/>
        <w:spacing w:before="200" w:line-rule="auto"/>
        <w:ind w:firstLine="540"/>
        <w:jc w:val="both"/>
      </w:pPr>
      <w:r>
        <w:rPr>
          <w:sz w:val="20"/>
        </w:rPr>
        <w:t xml:space="preserve">(a) radioactive substances as defined in Article 1 of Council Directive 96/29/Euratom of 13 May 1996 laying down basic safety standards for the protection of the health of workers and the general public against the dangers arising from ionising radiation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L 159, 29.6.1996, p. 1.</w:t>
      </w:r>
    </w:p>
    <w:p>
      <w:pPr>
        <w:pStyle w:val="0"/>
        <w:ind w:firstLine="540"/>
        <w:jc w:val="both"/>
      </w:pPr>
      <w:r>
        <w:rPr>
          <w:sz w:val="20"/>
        </w:rPr>
      </w:r>
    </w:p>
    <w:p>
      <w:pPr>
        <w:pStyle w:val="0"/>
        <w:ind w:firstLine="540"/>
        <w:jc w:val="both"/>
      </w:pPr>
      <w:r>
        <w:rPr>
          <w:sz w:val="20"/>
        </w:rPr>
        <w:t xml:space="preserve">(b) genetically modified micro-organisms as defined in Article 2 (b) of Directive 2009/41/EC of the European Parliament and the Council of 6 May 2009 on the contained use of genetically modified micro-organisms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L 125, 21.5.2009, p. 75.</w:t>
      </w:r>
    </w:p>
    <w:p>
      <w:pPr>
        <w:pStyle w:val="0"/>
        <w:ind w:firstLine="540"/>
        <w:jc w:val="both"/>
      </w:pPr>
      <w:r>
        <w:rPr>
          <w:sz w:val="20"/>
        </w:rPr>
      </w:r>
    </w:p>
    <w:p>
      <w:pPr>
        <w:pStyle w:val="0"/>
        <w:ind w:firstLine="540"/>
        <w:jc w:val="both"/>
      </w:pPr>
      <w:r>
        <w:rPr>
          <w:sz w:val="20"/>
        </w:rPr>
        <w:t xml:space="preserve">(c) genetically modified organisms as defined in point 2 of Article 2 of Directive 2001/18/EC of the European Parliament and of the Council of 12 March 2001 on the deliberate release into the environment of genetically modified organisms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L 106, 17.4.2001, p. 1.</w:t>
      </w:r>
    </w:p>
    <w:p>
      <w:pPr>
        <w:pStyle w:val="0"/>
        <w:ind w:firstLine="540"/>
        <w:jc w:val="both"/>
      </w:pPr>
      <w:r>
        <w:rPr>
          <w:sz w:val="20"/>
        </w:rPr>
      </w:r>
    </w:p>
    <w:p>
      <w:pPr>
        <w:pStyle w:val="0"/>
        <w:ind w:firstLine="540"/>
        <w:jc w:val="both"/>
      </w:pPr>
      <w:r>
        <w:rPr>
          <w:sz w:val="20"/>
        </w:rPr>
        <w:t xml:space="preserve">(2) "pollution" means the direct or indirect introduction, as a result of human activity, of substances, vibrations, heat or noise into air, water or land which may be harmful to human health or the quality of the environment, result in damage to material property, or impair or interfere with amenities and other legitimate uses of the environment;</w:t>
      </w:r>
    </w:p>
    <w:p>
      <w:pPr>
        <w:pStyle w:val="0"/>
        <w:spacing w:before="200" w:line-rule="auto"/>
        <w:ind w:firstLine="540"/>
        <w:jc w:val="both"/>
      </w:pPr>
      <w:r>
        <w:rPr>
          <w:sz w:val="20"/>
        </w:rPr>
        <w:t xml:space="preserve">(3) "installation" means a stationary technical unit within which one or more activities listed in Annex I or in Part 1 of Annex VII are carried out, and any other directly associated activities on the same site which have a technical connection with the activities listed in those Annexes and which could have an effect on emissions and pollution;</w:t>
      </w:r>
    </w:p>
    <w:p>
      <w:pPr>
        <w:pStyle w:val="0"/>
        <w:spacing w:before="200" w:line-rule="auto"/>
        <w:ind w:firstLine="540"/>
        <w:jc w:val="both"/>
      </w:pPr>
      <w:r>
        <w:rPr>
          <w:sz w:val="20"/>
        </w:rPr>
        <w:t xml:space="preserve">(4) "emission" means the direct or indirect release of substances, vibrations, heat or noise from individual or diffuse sources in the installation into air, water or land;</w:t>
      </w:r>
    </w:p>
    <w:p>
      <w:pPr>
        <w:pStyle w:val="0"/>
        <w:spacing w:before="200" w:line-rule="auto"/>
        <w:ind w:firstLine="540"/>
        <w:jc w:val="both"/>
      </w:pPr>
      <w:r>
        <w:rPr>
          <w:sz w:val="20"/>
        </w:rPr>
        <w:t xml:space="preserve">(5) "emission limit value" means the mass, expressed in terms of certain specific parameters, concentration and/or level of an emission, which may not be exceeded during one or more periods of time;</w:t>
      </w:r>
    </w:p>
    <w:p>
      <w:pPr>
        <w:pStyle w:val="0"/>
        <w:spacing w:before="200" w:line-rule="auto"/>
        <w:ind w:firstLine="540"/>
        <w:jc w:val="both"/>
      </w:pPr>
      <w:r>
        <w:rPr>
          <w:sz w:val="20"/>
        </w:rPr>
        <w:t xml:space="preserve">(6) "environmental quality standard" means the set of requirements which must be fulfilled at a given time by a given environment or particular part thereof, as set out in Union law;</w:t>
      </w:r>
    </w:p>
    <w:p>
      <w:pPr>
        <w:pStyle w:val="0"/>
        <w:spacing w:before="200" w:line-rule="auto"/>
        <w:ind w:firstLine="540"/>
        <w:jc w:val="both"/>
      </w:pPr>
      <w:r>
        <w:rPr>
          <w:sz w:val="20"/>
        </w:rPr>
        <w:t xml:space="preserve">(7) "permit" means a written authorisation to operate all or part of an installation or combustion plant, waste incineration plant or waste co-incineration plant;</w:t>
      </w:r>
    </w:p>
    <w:p>
      <w:pPr>
        <w:pStyle w:val="0"/>
        <w:spacing w:before="200" w:line-rule="auto"/>
        <w:ind w:firstLine="540"/>
        <w:jc w:val="both"/>
      </w:pPr>
      <w:r>
        <w:rPr>
          <w:sz w:val="20"/>
        </w:rPr>
        <w:t xml:space="preserve">(8) "general binding rules" means emission limit values or other conditions, at least at sector level, that are adopted with the intention of being used directly to set permit conditions;</w:t>
      </w:r>
    </w:p>
    <w:p>
      <w:pPr>
        <w:pStyle w:val="0"/>
        <w:spacing w:before="200" w:line-rule="auto"/>
        <w:ind w:firstLine="540"/>
        <w:jc w:val="both"/>
      </w:pPr>
      <w:r>
        <w:rPr>
          <w:sz w:val="20"/>
        </w:rPr>
        <w:t xml:space="preserve">(9) "substantial change" means a change in the nature or functioning, or an extension, of an installation or combustion plant, waste incineration plant or waste co-incineration plant which may have significant negative effects on human health or the environment;</w:t>
      </w:r>
    </w:p>
    <w:p>
      <w:pPr>
        <w:pStyle w:val="0"/>
        <w:spacing w:before="200" w:line-rule="auto"/>
        <w:ind w:firstLine="540"/>
        <w:jc w:val="both"/>
      </w:pPr>
      <w:r>
        <w:rPr>
          <w:sz w:val="20"/>
        </w:rPr>
        <w:t xml:space="preserve">(10) "best available techniques" means the most effective and advanced stage in the development of activities and their methods of operation which indicates the practical suitability of particular techniques for providing the basis for emission limit values and other permit conditions designed to prevent and, where that is not practicable, to reduce emissions and the impact on the environment as a whole:</w:t>
      </w:r>
    </w:p>
    <w:p>
      <w:pPr>
        <w:pStyle w:val="0"/>
        <w:spacing w:before="200" w:line-rule="auto"/>
        <w:ind w:firstLine="540"/>
        <w:jc w:val="both"/>
      </w:pPr>
      <w:r>
        <w:rPr>
          <w:sz w:val="20"/>
        </w:rPr>
        <w:t xml:space="preserve">(a) "techniques" includes both the technology used and the way in which the installation is designed, built, maintained, operated and decommissioned;</w:t>
      </w:r>
    </w:p>
    <w:p>
      <w:pPr>
        <w:pStyle w:val="0"/>
        <w:spacing w:before="200" w:line-rule="auto"/>
        <w:ind w:firstLine="540"/>
        <w:jc w:val="both"/>
      </w:pPr>
      <w:r>
        <w:rPr>
          <w:sz w:val="20"/>
        </w:rPr>
        <w:t xml:space="preserve">(b) "available techniques" means those developed on a scale which allows implementation in the relevant industrial sector, under economically and technically viable conditions, taking into consideration the costs and advantages, whether or not the techniques are used or produced inside the Member State in question, as long as they are reasonably accessible to the operator;</w:t>
      </w:r>
    </w:p>
    <w:p>
      <w:pPr>
        <w:pStyle w:val="0"/>
        <w:spacing w:before="200" w:line-rule="auto"/>
        <w:ind w:firstLine="540"/>
        <w:jc w:val="both"/>
      </w:pPr>
      <w:r>
        <w:rPr>
          <w:sz w:val="20"/>
        </w:rPr>
        <w:t xml:space="preserve">(c) "best" means most effective in achieving a high general level of protection of the environment as a whole;</w:t>
      </w:r>
    </w:p>
    <w:p>
      <w:pPr>
        <w:pStyle w:val="0"/>
        <w:spacing w:before="200" w:line-rule="auto"/>
        <w:ind w:firstLine="540"/>
        <w:jc w:val="both"/>
      </w:pPr>
      <w:r>
        <w:rPr>
          <w:sz w:val="20"/>
        </w:rPr>
        <w:t xml:space="preserve">(11) "BAT reference document" means a document, resulting from the exchange of information organised pursuant to Article 13, drawn up for defined activities and describing, in particular, applied techniques, present emissions and consumption levels, techniques considered for the determination of best available techniques as well as BAT conclusions and any emerging techniques, giving special consideration to the criteria listed in Annex III;</w:t>
      </w:r>
    </w:p>
    <w:p>
      <w:pPr>
        <w:pStyle w:val="0"/>
        <w:spacing w:before="200" w:line-rule="auto"/>
        <w:ind w:firstLine="540"/>
        <w:jc w:val="both"/>
      </w:pPr>
      <w:r>
        <w:rPr>
          <w:sz w:val="20"/>
        </w:rPr>
        <w:t xml:space="preserve">(12) "BAT conclusions" means a document containing the parts of a BAT reference document laying down the conclusions on best available techniques, their description, information to assess their applicability, the emission levels associated with the best available techniques, associated monitoring, associated consumption levels and, where appropriate, relevant site remediation measures;</w:t>
      </w:r>
    </w:p>
    <w:p>
      <w:pPr>
        <w:pStyle w:val="0"/>
        <w:spacing w:before="200" w:line-rule="auto"/>
        <w:ind w:firstLine="540"/>
        <w:jc w:val="both"/>
      </w:pPr>
      <w:r>
        <w:rPr>
          <w:sz w:val="20"/>
        </w:rPr>
        <w:t xml:space="preserve">(13) "emission levels associated with the best available techniques" means the range of emission levels obtained under normal operating conditions using a best available technique or a combination of best available techniques, as described in BAT conclusions, expressed as an average over a given period of time, under specified reference conditions;</w:t>
      </w:r>
    </w:p>
    <w:p>
      <w:pPr>
        <w:pStyle w:val="0"/>
        <w:spacing w:before="200" w:line-rule="auto"/>
        <w:ind w:firstLine="540"/>
        <w:jc w:val="both"/>
      </w:pPr>
      <w:r>
        <w:rPr>
          <w:sz w:val="20"/>
        </w:rPr>
        <w:t xml:space="preserve">(14) "emerging technique" means a novel technique for an industrial activity that, if commercially developed, could provide either a higher general level of protection of the environment or at least the same level of protection of the environment and higher cost savings than existing best available techniques;</w:t>
      </w:r>
    </w:p>
    <w:p>
      <w:pPr>
        <w:pStyle w:val="0"/>
        <w:spacing w:before="200" w:line-rule="auto"/>
        <w:ind w:firstLine="540"/>
        <w:jc w:val="both"/>
      </w:pPr>
      <w:r>
        <w:rPr>
          <w:sz w:val="20"/>
        </w:rPr>
        <w:t xml:space="preserve">(15) "operator" means any natural or legal person who operates or controls in whole or in part the installation or combustion plant, waste incineration plant or waste co-incineration plant or, where this is provided for in national law, to whom decisive economic power over the technical functioning of the installation or plant has been delegated;</w:t>
      </w:r>
    </w:p>
    <w:p>
      <w:pPr>
        <w:pStyle w:val="0"/>
        <w:spacing w:before="200" w:line-rule="auto"/>
        <w:ind w:firstLine="540"/>
        <w:jc w:val="both"/>
      </w:pPr>
      <w:r>
        <w:rPr>
          <w:sz w:val="20"/>
        </w:rPr>
        <w:t xml:space="preserve">(16) "the public" means one or more natural or legal persons and, in accordance with national law or practice, their associations, organisations or groups;</w:t>
      </w:r>
    </w:p>
    <w:p>
      <w:pPr>
        <w:pStyle w:val="0"/>
        <w:spacing w:before="200" w:line-rule="auto"/>
        <w:ind w:firstLine="540"/>
        <w:jc w:val="both"/>
      </w:pPr>
      <w:r>
        <w:rPr>
          <w:sz w:val="20"/>
        </w:rPr>
        <w:t xml:space="preserve">(17) "the public concerned" means the public affected or likely to be affected by, or having an interest in, the taking of a decision on the granting or the updating of a permit or of permit conditions; for the purposes of this definition, non-governmental organisations promoting environmental protection and meeting any requirements under national law shall be deemed to have an interest;</w:t>
      </w:r>
    </w:p>
    <w:p>
      <w:pPr>
        <w:pStyle w:val="0"/>
        <w:spacing w:before="200" w:line-rule="auto"/>
        <w:ind w:firstLine="540"/>
        <w:jc w:val="both"/>
      </w:pPr>
      <w:r>
        <w:rPr>
          <w:sz w:val="20"/>
        </w:rPr>
        <w:t xml:space="preserve">(18) "hazardous substances" means substances or mixtures as defined in Article 3 of Regulation (EC) No 1272/2008 of the European Parliament and of the Council of 16 December 2008 on classification, labelling and packaging of substances and mixtures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L 353, 31.12.2008, p. 1.</w:t>
      </w:r>
    </w:p>
    <w:p>
      <w:pPr>
        <w:pStyle w:val="0"/>
        <w:ind w:firstLine="540"/>
        <w:jc w:val="both"/>
      </w:pPr>
      <w:r>
        <w:rPr>
          <w:sz w:val="20"/>
        </w:rPr>
      </w:r>
    </w:p>
    <w:p>
      <w:pPr>
        <w:pStyle w:val="0"/>
        <w:ind w:firstLine="540"/>
        <w:jc w:val="both"/>
      </w:pPr>
      <w:r>
        <w:rPr>
          <w:sz w:val="20"/>
        </w:rPr>
        <w:t xml:space="preserve">(19) "baseline report" means information on the state of soil and groundwater contamination by relevant hazardous substances;</w:t>
      </w:r>
    </w:p>
    <w:p>
      <w:pPr>
        <w:pStyle w:val="0"/>
        <w:spacing w:before="200" w:line-rule="auto"/>
        <w:ind w:firstLine="540"/>
        <w:jc w:val="both"/>
      </w:pPr>
      <w:r>
        <w:rPr>
          <w:sz w:val="20"/>
        </w:rPr>
        <w:t xml:space="preserve">(20) "groundwater" means groundwater as defined in point 2 of Article 2 of Directive 2000/60/EC of the European Parliament and of the Council of 23 October 2000 establishing a framework for Community action in the field of water policy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L 327, 22.12.2000, p. 1.</w:t>
      </w:r>
    </w:p>
    <w:p>
      <w:pPr>
        <w:pStyle w:val="0"/>
        <w:ind w:firstLine="540"/>
        <w:jc w:val="both"/>
      </w:pPr>
      <w:r>
        <w:rPr>
          <w:sz w:val="20"/>
        </w:rPr>
      </w:r>
    </w:p>
    <w:p>
      <w:pPr>
        <w:pStyle w:val="0"/>
        <w:ind w:firstLine="540"/>
        <w:jc w:val="both"/>
      </w:pPr>
      <w:r>
        <w:rPr>
          <w:sz w:val="20"/>
        </w:rPr>
        <w:t xml:space="preserve">(21) "soil" means the top layer of the Earth's crust situated between the bedrock and the surface. The soil is composed of mineral particles, organic matter, water, air and living organisms;</w:t>
      </w:r>
    </w:p>
    <w:p>
      <w:pPr>
        <w:pStyle w:val="0"/>
        <w:spacing w:before="200" w:line-rule="auto"/>
        <w:ind w:firstLine="540"/>
        <w:jc w:val="both"/>
      </w:pPr>
      <w:r>
        <w:rPr>
          <w:sz w:val="20"/>
        </w:rPr>
        <w:t xml:space="preserve">(22) "environmental inspection" means all actions, including site visits, monitoring of emissions and checks of internal reports and follow-up documents, verification of self-monitoring, checking of the techniques used and adequacy of the environment management of the installation, undertaken by or on behalf of the competent authority to check and promote compliance of installations with their permit conditions and, where necessary, to monitor their environmental impact;</w:t>
      </w:r>
    </w:p>
    <w:p>
      <w:pPr>
        <w:pStyle w:val="0"/>
        <w:spacing w:before="200" w:line-rule="auto"/>
        <w:ind w:firstLine="540"/>
        <w:jc w:val="both"/>
      </w:pPr>
      <w:r>
        <w:rPr>
          <w:sz w:val="20"/>
        </w:rPr>
        <w:t xml:space="preserve">(23) "poultry" means poultry as defined in point 1 of Article 2 of Council Directive 90/539/EEC of 15 October 1990 on animal health conditions governing intra-Community trade in, and imports from third countries of, poultry and hatching eggs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L 303, 31.10.1990, p. 6.</w:t>
      </w:r>
    </w:p>
    <w:p>
      <w:pPr>
        <w:pStyle w:val="0"/>
        <w:ind w:firstLine="540"/>
        <w:jc w:val="both"/>
      </w:pPr>
      <w:r>
        <w:rPr>
          <w:sz w:val="20"/>
        </w:rPr>
      </w:r>
    </w:p>
    <w:p>
      <w:pPr>
        <w:pStyle w:val="0"/>
        <w:ind w:firstLine="540"/>
        <w:jc w:val="both"/>
      </w:pPr>
      <w:r>
        <w:rPr>
          <w:sz w:val="20"/>
        </w:rPr>
        <w:t xml:space="preserve">(24) "fuel" means any solid, liquid or gaseous combustible material;</w:t>
      </w:r>
    </w:p>
    <w:p>
      <w:pPr>
        <w:pStyle w:val="0"/>
        <w:spacing w:before="200" w:line-rule="auto"/>
        <w:ind w:firstLine="540"/>
        <w:jc w:val="both"/>
      </w:pPr>
      <w:r>
        <w:rPr>
          <w:sz w:val="20"/>
        </w:rPr>
        <w:t xml:space="preserve">(25) "combustion plant" means any technical apparatus in which fuels are oxidised in order to use the heat thus generated;</w:t>
      </w:r>
    </w:p>
    <w:p>
      <w:pPr>
        <w:pStyle w:val="0"/>
        <w:spacing w:before="200" w:line-rule="auto"/>
        <w:ind w:firstLine="540"/>
        <w:jc w:val="both"/>
      </w:pPr>
      <w:r>
        <w:rPr>
          <w:sz w:val="20"/>
        </w:rPr>
        <w:t xml:space="preserve">(26) "stack" means a structure containing one or more flues providing a passage for waste gases in order to discharge them into the air;</w:t>
      </w:r>
    </w:p>
    <w:p>
      <w:pPr>
        <w:pStyle w:val="0"/>
        <w:spacing w:before="200" w:line-rule="auto"/>
        <w:ind w:firstLine="540"/>
        <w:jc w:val="both"/>
      </w:pPr>
      <w:r>
        <w:rPr>
          <w:sz w:val="20"/>
        </w:rPr>
        <w:t xml:space="preserve">(27) "operating hours" means the time, expressed in hours, during which a combustion plant, in whole or in part, is operating and discharging emissions into the air, excluding start-up and shut-down periods;</w:t>
      </w:r>
    </w:p>
    <w:p>
      <w:pPr>
        <w:pStyle w:val="0"/>
        <w:spacing w:before="200" w:line-rule="auto"/>
        <w:ind w:firstLine="540"/>
        <w:jc w:val="both"/>
      </w:pPr>
      <w:r>
        <w:rPr>
          <w:sz w:val="20"/>
        </w:rPr>
        <w:t xml:space="preserve">(28) "rate of desulphurisation" means the ratio over a given period of time of the quantity of sulphur which is not emitted into air by a combustion plant to the quantity of sulphur contained in the solid fuel which is introduced into the combustion plant facilities and which is used in the plant over the same period of time;</w:t>
      </w:r>
    </w:p>
    <w:p>
      <w:pPr>
        <w:pStyle w:val="0"/>
        <w:spacing w:before="200" w:line-rule="auto"/>
        <w:ind w:firstLine="540"/>
        <w:jc w:val="both"/>
      </w:pPr>
      <w:r>
        <w:rPr>
          <w:sz w:val="20"/>
        </w:rPr>
        <w:t xml:space="preserve">(29) "indigenous solid fuel" means a naturally occurring solid fuel fired in a combustion plant specifically designed for that fuel and extracted locally;</w:t>
      </w:r>
    </w:p>
    <w:p>
      <w:pPr>
        <w:pStyle w:val="0"/>
        <w:spacing w:before="200" w:line-rule="auto"/>
        <w:ind w:firstLine="540"/>
        <w:jc w:val="both"/>
      </w:pPr>
      <w:r>
        <w:rPr>
          <w:sz w:val="20"/>
        </w:rPr>
        <w:t xml:space="preserve">(30) "determinative fuel" means the fuel which, amongst all fuels used in a multi-fuel firing combustion plant using the distillation and conversion residues from the refining of crude-oil for own consumption, alone or with other fuels, has the highest emission limit value as set out in Part 1 of Annex V, or, in the case of several fuels having the same emission limit value, the fuel having the highest thermal input amongst those fuels;</w:t>
      </w:r>
    </w:p>
    <w:p>
      <w:pPr>
        <w:pStyle w:val="0"/>
        <w:spacing w:before="200" w:line-rule="auto"/>
        <w:ind w:firstLine="540"/>
        <w:jc w:val="both"/>
      </w:pPr>
      <w:r>
        <w:rPr>
          <w:sz w:val="20"/>
        </w:rPr>
        <w:t xml:space="preserve">(31) "biomass" means any of the following:</w:t>
      </w:r>
    </w:p>
    <w:p>
      <w:pPr>
        <w:pStyle w:val="0"/>
        <w:spacing w:before="200" w:line-rule="auto"/>
        <w:ind w:firstLine="540"/>
        <w:jc w:val="both"/>
      </w:pPr>
      <w:r>
        <w:rPr>
          <w:sz w:val="20"/>
        </w:rPr>
        <w:t xml:space="preserve">(a) products consisting of any vegetable matter from agriculture or forestry which can be used as a fuel for the purpose of recovering its energy content;</w:t>
      </w:r>
    </w:p>
    <w:p>
      <w:pPr>
        <w:pStyle w:val="0"/>
        <w:spacing w:before="200" w:line-rule="auto"/>
        <w:ind w:firstLine="540"/>
        <w:jc w:val="both"/>
      </w:pPr>
      <w:r>
        <w:rPr>
          <w:sz w:val="20"/>
        </w:rPr>
        <w:t xml:space="preserve">(b) the following waste:</w:t>
      </w:r>
    </w:p>
    <w:p>
      <w:pPr>
        <w:pStyle w:val="0"/>
        <w:spacing w:before="200" w:line-rule="auto"/>
        <w:ind w:firstLine="540"/>
        <w:jc w:val="both"/>
      </w:pPr>
      <w:r>
        <w:rPr>
          <w:sz w:val="20"/>
        </w:rPr>
        <w:t xml:space="preserve">(i) vegetable waste from agriculture and forestry;</w:t>
      </w:r>
    </w:p>
    <w:p>
      <w:pPr>
        <w:pStyle w:val="0"/>
        <w:spacing w:before="200" w:line-rule="auto"/>
        <w:ind w:firstLine="540"/>
        <w:jc w:val="both"/>
      </w:pPr>
      <w:r>
        <w:rPr>
          <w:sz w:val="20"/>
        </w:rPr>
        <w:t xml:space="preserve">(ii) vegetable waste from the food processing industry, if the heat generated is recovered;</w:t>
      </w:r>
    </w:p>
    <w:p>
      <w:pPr>
        <w:pStyle w:val="0"/>
        <w:spacing w:before="200" w:line-rule="auto"/>
        <w:ind w:firstLine="540"/>
        <w:jc w:val="both"/>
      </w:pPr>
      <w:r>
        <w:rPr>
          <w:sz w:val="20"/>
        </w:rPr>
        <w:t xml:space="preserve">(iii) fibrous vegetable waste from virgin pulp production and from production of paper from pulp, if it is co-incinerated at the place of production and the heat generated is recovered;</w:t>
      </w:r>
    </w:p>
    <w:p>
      <w:pPr>
        <w:pStyle w:val="0"/>
        <w:spacing w:before="200" w:line-rule="auto"/>
        <w:ind w:firstLine="540"/>
        <w:jc w:val="both"/>
      </w:pPr>
      <w:r>
        <w:rPr>
          <w:sz w:val="20"/>
        </w:rPr>
        <w:t xml:space="preserve">(iv) cork waste;</w:t>
      </w:r>
    </w:p>
    <w:p>
      <w:pPr>
        <w:pStyle w:val="0"/>
        <w:spacing w:before="200" w:line-rule="auto"/>
        <w:ind w:firstLine="540"/>
        <w:jc w:val="both"/>
      </w:pPr>
      <w:r>
        <w:rPr>
          <w:sz w:val="20"/>
        </w:rPr>
        <w:t xml:space="preserve">(v) wood waste with the exception of wood waste which may contain halogenated organic compounds or heavy metals as a result of treatment with wood preservatives or coating and which includes, in particular, such wood waste originating from construction and demolition waste;</w:t>
      </w:r>
    </w:p>
    <w:p>
      <w:pPr>
        <w:pStyle w:val="0"/>
        <w:spacing w:before="200" w:line-rule="auto"/>
        <w:ind w:firstLine="540"/>
        <w:jc w:val="both"/>
      </w:pPr>
      <w:r>
        <w:rPr>
          <w:sz w:val="20"/>
        </w:rPr>
        <w:t xml:space="preserve">(32) "multi-fuel firing combustion plant" means any combustion plant which may be fired simultaneously or alternately by two or more types of fuel;</w:t>
      </w:r>
    </w:p>
    <w:p>
      <w:pPr>
        <w:pStyle w:val="0"/>
        <w:spacing w:before="200" w:line-rule="auto"/>
        <w:ind w:firstLine="540"/>
        <w:jc w:val="both"/>
      </w:pPr>
      <w:r>
        <w:rPr>
          <w:sz w:val="20"/>
        </w:rPr>
        <w:t xml:space="preserve">(33) "gas turbine" means any rotating machine which converts thermal energy into mechanical work, consisting mainly of a compressor, a thermal device in which fuel is oxidised in order to heat the working fluid, and a turbine;</w:t>
      </w:r>
    </w:p>
    <w:p>
      <w:pPr>
        <w:pStyle w:val="0"/>
        <w:spacing w:before="200" w:line-rule="auto"/>
        <w:ind w:firstLine="540"/>
        <w:jc w:val="both"/>
      </w:pPr>
      <w:r>
        <w:rPr>
          <w:sz w:val="20"/>
        </w:rPr>
        <w:t xml:space="preserve">(34) "gas engine" means an internal combustion engine which operates according to the Otto cycle and uses spark ignition or, in case of dual fuel engines, compression ignition to burn fuel;</w:t>
      </w:r>
    </w:p>
    <w:p>
      <w:pPr>
        <w:pStyle w:val="0"/>
        <w:spacing w:before="200" w:line-rule="auto"/>
        <w:ind w:firstLine="540"/>
        <w:jc w:val="both"/>
      </w:pPr>
      <w:r>
        <w:rPr>
          <w:sz w:val="20"/>
        </w:rPr>
        <w:t xml:space="preserve">(35) "diesel engine" means an internal combustion engine which operates according to the diesel cycle and uses compression ignition to burn fuel;</w:t>
      </w:r>
    </w:p>
    <w:p>
      <w:pPr>
        <w:pStyle w:val="0"/>
        <w:spacing w:before="200" w:line-rule="auto"/>
        <w:ind w:firstLine="540"/>
        <w:jc w:val="both"/>
      </w:pPr>
      <w:r>
        <w:rPr>
          <w:sz w:val="20"/>
        </w:rPr>
        <w:t xml:space="preserve">(36) "small isolated system" means a small isolated system as defined in point 26 of Article 2 of Directive 2003/54/EC of the European Parliament and of the Council of 26 June 2003 concerning common rules for the internal market in electricity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L 176, 15.7.2003, p. 37.</w:t>
      </w:r>
    </w:p>
    <w:p>
      <w:pPr>
        <w:pStyle w:val="0"/>
        <w:ind w:firstLine="540"/>
        <w:jc w:val="both"/>
      </w:pPr>
      <w:r>
        <w:rPr>
          <w:sz w:val="20"/>
        </w:rPr>
      </w:r>
    </w:p>
    <w:p>
      <w:pPr>
        <w:pStyle w:val="0"/>
        <w:ind w:firstLine="540"/>
        <w:jc w:val="both"/>
      </w:pPr>
      <w:r>
        <w:rPr>
          <w:sz w:val="20"/>
        </w:rPr>
        <w:t xml:space="preserve">(37) "waste" means waste as defined in point 1 of Article 3 of Directive 2008/98/EC of the European Parliament and of the Council of 19 November 2008 on waste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L 312, 22.11.2008, p. 3.</w:t>
      </w:r>
    </w:p>
    <w:p>
      <w:pPr>
        <w:pStyle w:val="0"/>
        <w:ind w:firstLine="540"/>
        <w:jc w:val="both"/>
      </w:pPr>
      <w:r>
        <w:rPr>
          <w:sz w:val="20"/>
        </w:rPr>
      </w:r>
    </w:p>
    <w:p>
      <w:pPr>
        <w:pStyle w:val="0"/>
        <w:ind w:firstLine="540"/>
        <w:jc w:val="both"/>
      </w:pPr>
      <w:r>
        <w:rPr>
          <w:sz w:val="20"/>
        </w:rPr>
        <w:t xml:space="preserve">(38) "hazardous waste" means hazardous waste as defined in point 2 of Article 3 of Directive 2008/98/EC;</w:t>
      </w:r>
    </w:p>
    <w:p>
      <w:pPr>
        <w:pStyle w:val="0"/>
        <w:spacing w:before="200" w:line-rule="auto"/>
        <w:ind w:firstLine="540"/>
        <w:jc w:val="both"/>
      </w:pPr>
      <w:r>
        <w:rPr>
          <w:sz w:val="20"/>
        </w:rPr>
        <w:t xml:space="preserve">(39) "mixed municipal waste" means waste from households as well as commercial, industrial and institutional waste which, because of its nature and composition, is similar to waste from households, but excluding fractions indicated under heading 20 01 of the Annex to Decision 2000/532/EC &lt;*&gt; that are collected separately at source and excluding the other waste indicated under heading 20 02 of that Annex;</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Commission Decision 2000/532/EC of 3 May 2000 replacing Decision 94/3/EC establishing a list of wastes pursuant to Article 1 (a) of Council Directive 75/442/EEC on waste and Council Decision 94/904/EC establishing a list of hazardous waste pursuant to Article 1 (4) of Council Directive 91/689/EEC on hazardous waste (OJ L 226, 6.9.2000, p. 3).</w:t>
      </w:r>
    </w:p>
    <w:p>
      <w:pPr>
        <w:pStyle w:val="0"/>
        <w:ind w:firstLine="540"/>
        <w:jc w:val="both"/>
      </w:pPr>
      <w:r>
        <w:rPr>
          <w:sz w:val="20"/>
        </w:rPr>
      </w:r>
    </w:p>
    <w:p>
      <w:pPr>
        <w:pStyle w:val="0"/>
        <w:ind w:firstLine="540"/>
        <w:jc w:val="both"/>
      </w:pPr>
      <w:r>
        <w:rPr>
          <w:sz w:val="20"/>
        </w:rPr>
        <w:t xml:space="preserve">(40) "waste incineration plant" means any stationary or mobile technical unit and equipment dedicated to the thermal treatment of waste, with or without recovery of the combustion heat generated, through the incineration by oxidation of waste as well as other thermal treatment processes, such as pyrolysis, gasification or plasma process, if the substances resulting from the treatment are subsequently incinerated;</w:t>
      </w:r>
    </w:p>
    <w:p>
      <w:pPr>
        <w:pStyle w:val="0"/>
        <w:spacing w:before="200" w:line-rule="auto"/>
        <w:ind w:firstLine="540"/>
        <w:jc w:val="both"/>
      </w:pPr>
      <w:r>
        <w:rPr>
          <w:sz w:val="20"/>
        </w:rPr>
        <w:t xml:space="preserve">(41) "waste co-incineration plant" means any stationary or mobile technical unit whose main purpose is the generation of energy or production of material products and which uses waste as a regular or additional fuel or in which waste is thermally treated for the purpose of disposal through the incineration by oxidation of waste as well as other thermal treatment processes, such as pyrolysis, gasification or plasma process, if the substances resulting from the treatment are subsequently incinerated;</w:t>
      </w:r>
    </w:p>
    <w:p>
      <w:pPr>
        <w:pStyle w:val="0"/>
        <w:spacing w:before="200" w:line-rule="auto"/>
        <w:ind w:firstLine="540"/>
        <w:jc w:val="both"/>
      </w:pPr>
      <w:r>
        <w:rPr>
          <w:sz w:val="20"/>
        </w:rPr>
        <w:t xml:space="preserve">(42) "nominal capacity" means the sum of the incineration capacities of the furnaces of which a waste incineration plant or a waste co-incineration plant is composed, as specified by the constructor and confirmed by the operator, with due account being taken of the calorific value of the waste, expressed as the quantity of waste incinerated per hour;</w:t>
      </w:r>
    </w:p>
    <w:p>
      <w:pPr>
        <w:pStyle w:val="0"/>
        <w:spacing w:before="200" w:line-rule="auto"/>
        <w:ind w:firstLine="540"/>
        <w:jc w:val="both"/>
      </w:pPr>
      <w:r>
        <w:rPr>
          <w:sz w:val="20"/>
        </w:rPr>
        <w:t xml:space="preserve">(43) "dioxins and furans" means all polychlorinated dibenzo-p-dioxins and dibenzofurans listed in Part 2 of Annex VI;</w:t>
      </w:r>
    </w:p>
    <w:p>
      <w:pPr>
        <w:pStyle w:val="0"/>
        <w:spacing w:before="200" w:line-rule="auto"/>
        <w:ind w:firstLine="540"/>
        <w:jc w:val="both"/>
      </w:pPr>
      <w:r>
        <w:rPr>
          <w:sz w:val="20"/>
        </w:rPr>
        <w:t xml:space="preserve">(44) "organic compound" means any compound containing at least the element carbon and one or more of hydrogen, halogens, oxygen, sulphur, phosphorus, silicon or nitrogen, with the exception of carbon oxides and inorganic carbonates and bicarbonates;</w:t>
      </w:r>
    </w:p>
    <w:p>
      <w:pPr>
        <w:pStyle w:val="0"/>
        <w:spacing w:before="200" w:line-rule="auto"/>
        <w:ind w:firstLine="540"/>
        <w:jc w:val="both"/>
      </w:pPr>
      <w:r>
        <w:rPr>
          <w:sz w:val="20"/>
        </w:rPr>
        <w:t xml:space="preserve">(45) "volatile organic compound" means any organic compound as well as the fraction of creosote, having at 293,15 K a vapour pressure of 0,01 kPa or more, or having a corresponding volatility under the particular conditions of use;</w:t>
      </w:r>
    </w:p>
    <w:p>
      <w:pPr>
        <w:pStyle w:val="0"/>
        <w:spacing w:before="200" w:line-rule="auto"/>
        <w:ind w:firstLine="540"/>
        <w:jc w:val="both"/>
      </w:pPr>
      <w:r>
        <w:rPr>
          <w:sz w:val="20"/>
        </w:rPr>
        <w:t xml:space="preserve">(46) "organic solvent" means any volatile organic compound which is used for any of the following:</w:t>
      </w:r>
    </w:p>
    <w:p>
      <w:pPr>
        <w:pStyle w:val="0"/>
        <w:spacing w:before="200" w:line-rule="auto"/>
        <w:ind w:firstLine="540"/>
        <w:jc w:val="both"/>
      </w:pPr>
      <w:r>
        <w:rPr>
          <w:sz w:val="20"/>
        </w:rPr>
        <w:t xml:space="preserve">(a) alone or in combination with other agents, and without undergoing a chemical change, to dissolve raw materials, products or waste materials;</w:t>
      </w:r>
    </w:p>
    <w:p>
      <w:pPr>
        <w:pStyle w:val="0"/>
        <w:spacing w:before="200" w:line-rule="auto"/>
        <w:ind w:firstLine="540"/>
        <w:jc w:val="both"/>
      </w:pPr>
      <w:r>
        <w:rPr>
          <w:sz w:val="20"/>
        </w:rPr>
        <w:t xml:space="preserve">(b) as a cleaning agent to dissolve contaminants;</w:t>
      </w:r>
    </w:p>
    <w:p>
      <w:pPr>
        <w:pStyle w:val="0"/>
        <w:spacing w:before="200" w:line-rule="auto"/>
        <w:ind w:firstLine="540"/>
        <w:jc w:val="both"/>
      </w:pPr>
      <w:r>
        <w:rPr>
          <w:sz w:val="20"/>
        </w:rPr>
        <w:t xml:space="preserve">(c) as a dissolver;</w:t>
      </w:r>
    </w:p>
    <w:p>
      <w:pPr>
        <w:pStyle w:val="0"/>
        <w:spacing w:before="200" w:line-rule="auto"/>
        <w:ind w:firstLine="540"/>
        <w:jc w:val="both"/>
      </w:pPr>
      <w:r>
        <w:rPr>
          <w:sz w:val="20"/>
        </w:rPr>
        <w:t xml:space="preserve">(d) as a dispersion medium;</w:t>
      </w:r>
    </w:p>
    <w:p>
      <w:pPr>
        <w:pStyle w:val="0"/>
        <w:spacing w:before="200" w:line-rule="auto"/>
        <w:ind w:firstLine="540"/>
        <w:jc w:val="both"/>
      </w:pPr>
      <w:r>
        <w:rPr>
          <w:sz w:val="20"/>
        </w:rPr>
        <w:t xml:space="preserve">(e) as a viscosity adjuster;</w:t>
      </w:r>
    </w:p>
    <w:p>
      <w:pPr>
        <w:pStyle w:val="0"/>
        <w:spacing w:before="200" w:line-rule="auto"/>
        <w:ind w:firstLine="540"/>
        <w:jc w:val="both"/>
      </w:pPr>
      <w:r>
        <w:rPr>
          <w:sz w:val="20"/>
        </w:rPr>
        <w:t xml:space="preserve">(f) as a surface tension adjuster;</w:t>
      </w:r>
    </w:p>
    <w:p>
      <w:pPr>
        <w:pStyle w:val="0"/>
        <w:spacing w:before="200" w:line-rule="auto"/>
        <w:ind w:firstLine="540"/>
        <w:jc w:val="both"/>
      </w:pPr>
      <w:r>
        <w:rPr>
          <w:sz w:val="20"/>
        </w:rPr>
        <w:t xml:space="preserve">(g) as a plasticiser;</w:t>
      </w:r>
    </w:p>
    <w:p>
      <w:pPr>
        <w:pStyle w:val="0"/>
        <w:spacing w:before="200" w:line-rule="auto"/>
        <w:ind w:firstLine="540"/>
        <w:jc w:val="both"/>
      </w:pPr>
      <w:r>
        <w:rPr>
          <w:sz w:val="20"/>
        </w:rPr>
        <w:t xml:space="preserve">(h) as a preservative;</w:t>
      </w:r>
    </w:p>
    <w:p>
      <w:pPr>
        <w:pStyle w:val="0"/>
        <w:spacing w:before="200" w:line-rule="auto"/>
        <w:ind w:firstLine="540"/>
        <w:jc w:val="both"/>
      </w:pPr>
      <w:r>
        <w:rPr>
          <w:sz w:val="20"/>
        </w:rPr>
        <w:t xml:space="preserve">(47) "coating" means coating as defined in point 8 of Article 2 of Directive 2004/42/EC of the European Parliament and of the Council of 21 April 2004 on the limitation of emissions of volatile organic compounds due to the use of organic solvents in certain paints and varnishes and vehicle refinishing products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L 143, 30.4.2004, p. 87.</w:t>
      </w:r>
    </w:p>
    <w:p>
      <w:pPr>
        <w:pStyle w:val="0"/>
        <w:jc w:val="center"/>
      </w:pPr>
      <w:r>
        <w:rPr>
          <w:sz w:val="20"/>
        </w:rPr>
      </w:r>
    </w:p>
    <w:p>
      <w:pPr>
        <w:pStyle w:val="0"/>
        <w:outlineLvl w:val="2"/>
        <w:jc w:val="center"/>
      </w:pPr>
      <w:r>
        <w:rPr>
          <w:sz w:val="20"/>
        </w:rPr>
        <w:t xml:space="preserve">Article 4</w:t>
      </w:r>
    </w:p>
    <w:p>
      <w:pPr>
        <w:pStyle w:val="0"/>
        <w:jc w:val="center"/>
      </w:pPr>
      <w:r>
        <w:rPr>
          <w:sz w:val="20"/>
        </w:rPr>
      </w:r>
    </w:p>
    <w:p>
      <w:pPr>
        <w:pStyle w:val="0"/>
        <w:jc w:val="center"/>
      </w:pPr>
      <w:r>
        <w:rPr>
          <w:sz w:val="20"/>
        </w:rPr>
        <w:t xml:space="preserve">Obligation to hold a permit</w:t>
      </w:r>
    </w:p>
    <w:p>
      <w:pPr>
        <w:pStyle w:val="0"/>
        <w:ind w:firstLine="540"/>
        <w:jc w:val="both"/>
      </w:pPr>
      <w:r>
        <w:rPr>
          <w:sz w:val="20"/>
        </w:rPr>
      </w:r>
    </w:p>
    <w:p>
      <w:pPr>
        <w:pStyle w:val="0"/>
        <w:ind w:firstLine="540"/>
        <w:jc w:val="both"/>
      </w:pPr>
      <w:r>
        <w:rPr>
          <w:sz w:val="20"/>
        </w:rPr>
        <w:t xml:space="preserve">1. Member States shall take the necessary measures to ensure that no installation or combustion plant, waste incineration plant or waste co-incineration plant is operated without a permit.</w:t>
      </w:r>
    </w:p>
    <w:p>
      <w:pPr>
        <w:pStyle w:val="0"/>
        <w:spacing w:before="200" w:line-rule="auto"/>
        <w:ind w:firstLine="540"/>
        <w:jc w:val="both"/>
      </w:pPr>
      <w:r>
        <w:rPr>
          <w:sz w:val="20"/>
        </w:rPr>
        <w:t xml:space="preserve">By way of derogation from the first subparagraph, Member States may set a procedure for the registration of installations covered only by Chapter V.</w:t>
      </w:r>
    </w:p>
    <w:p>
      <w:pPr>
        <w:pStyle w:val="0"/>
        <w:spacing w:before="200" w:line-rule="auto"/>
        <w:ind w:firstLine="540"/>
        <w:jc w:val="both"/>
      </w:pPr>
      <w:r>
        <w:rPr>
          <w:sz w:val="20"/>
        </w:rPr>
        <w:t xml:space="preserve">The procedure for registration shall be specified in a binding act and include at least a notification to the competent authority by the operator of the intention to operate an installation.</w:t>
      </w:r>
    </w:p>
    <w:p>
      <w:pPr>
        <w:pStyle w:val="0"/>
        <w:spacing w:before="200" w:line-rule="auto"/>
        <w:ind w:firstLine="540"/>
        <w:jc w:val="both"/>
      </w:pPr>
      <w:r>
        <w:rPr>
          <w:sz w:val="20"/>
        </w:rPr>
        <w:t xml:space="preserve">2. Member States may opt to provide that a permit cover two or more installations or parts of installations operated by the same operator on the same site.</w:t>
      </w:r>
    </w:p>
    <w:p>
      <w:pPr>
        <w:pStyle w:val="0"/>
        <w:spacing w:before="200" w:line-rule="auto"/>
        <w:ind w:firstLine="540"/>
        <w:jc w:val="both"/>
      </w:pPr>
      <w:r>
        <w:rPr>
          <w:sz w:val="20"/>
        </w:rPr>
        <w:t xml:space="preserve">Where a permit covers two or more installations, it shall contain conditions to ensure that each installation complies with the requirements of this Directive.</w:t>
      </w:r>
    </w:p>
    <w:p>
      <w:pPr>
        <w:pStyle w:val="0"/>
        <w:spacing w:before="200" w:line-rule="auto"/>
        <w:ind w:firstLine="540"/>
        <w:jc w:val="both"/>
      </w:pPr>
      <w:r>
        <w:rPr>
          <w:sz w:val="20"/>
        </w:rPr>
        <w:t xml:space="preserve">3. Member States may opt to provide that a permit cover several parts of an installation operated by different operators. In such cases, the permit shall specify the responsibilities of each operator.</w:t>
      </w:r>
    </w:p>
    <w:p>
      <w:pPr>
        <w:pStyle w:val="0"/>
        <w:jc w:val="center"/>
      </w:pPr>
      <w:r>
        <w:rPr>
          <w:sz w:val="20"/>
        </w:rPr>
      </w:r>
    </w:p>
    <w:p>
      <w:pPr>
        <w:pStyle w:val="0"/>
        <w:outlineLvl w:val="2"/>
        <w:jc w:val="center"/>
      </w:pPr>
      <w:r>
        <w:rPr>
          <w:sz w:val="20"/>
        </w:rPr>
        <w:t xml:space="preserve">Article 5</w:t>
      </w:r>
    </w:p>
    <w:p>
      <w:pPr>
        <w:pStyle w:val="0"/>
        <w:jc w:val="center"/>
      </w:pPr>
      <w:r>
        <w:rPr>
          <w:sz w:val="20"/>
        </w:rPr>
      </w:r>
    </w:p>
    <w:p>
      <w:pPr>
        <w:pStyle w:val="0"/>
        <w:jc w:val="center"/>
      </w:pPr>
      <w:r>
        <w:rPr>
          <w:sz w:val="20"/>
        </w:rPr>
        <w:t xml:space="preserve">Granting of a permit</w:t>
      </w:r>
    </w:p>
    <w:p>
      <w:pPr>
        <w:pStyle w:val="0"/>
        <w:jc w:val="center"/>
      </w:pPr>
      <w:r>
        <w:rPr>
          <w:sz w:val="20"/>
        </w:rPr>
      </w:r>
    </w:p>
    <w:p>
      <w:pPr>
        <w:pStyle w:val="0"/>
        <w:ind w:firstLine="540"/>
        <w:jc w:val="both"/>
      </w:pPr>
      <w:r>
        <w:rPr>
          <w:sz w:val="20"/>
        </w:rPr>
        <w:t xml:space="preserve">1. Without prejudice to other requirements laid down in national or Union law, the competent authority shall grant a permit if the installation complies with the requirements of this Directive.</w:t>
      </w:r>
    </w:p>
    <w:p>
      <w:pPr>
        <w:pStyle w:val="0"/>
        <w:spacing w:before="200" w:line-rule="auto"/>
        <w:ind w:firstLine="540"/>
        <w:jc w:val="both"/>
      </w:pPr>
      <w:r>
        <w:rPr>
          <w:sz w:val="20"/>
        </w:rPr>
        <w:t xml:space="preserve">2. Member States shall take the measures necessary to ensure that the conditions of, and the procedures for the granting of, the permit are fully coordinated where more than one competent authority or more than one operator is involved or more than one permit is granted, in order to guarantee an effective integrated approach by all authorities competent for this procedure.</w:t>
      </w:r>
    </w:p>
    <w:p>
      <w:pPr>
        <w:pStyle w:val="0"/>
        <w:spacing w:before="200" w:line-rule="auto"/>
        <w:ind w:firstLine="540"/>
        <w:jc w:val="both"/>
      </w:pPr>
      <w:r>
        <w:rPr>
          <w:sz w:val="20"/>
        </w:rPr>
        <w:t xml:space="preserve">3. In the case of a new installation or a substantial change where Article 4 of Directive 85/337/EEC applies, any relevant information obtained or conclusion arrived at pursuant to Articles 5, 6, 7 and 9 of that Directive shall be examined and used for the purposes of granting the permit.</w:t>
      </w:r>
    </w:p>
    <w:p>
      <w:pPr>
        <w:pStyle w:val="0"/>
        <w:jc w:val="center"/>
      </w:pPr>
      <w:r>
        <w:rPr>
          <w:sz w:val="20"/>
        </w:rPr>
      </w:r>
    </w:p>
    <w:p>
      <w:pPr>
        <w:pStyle w:val="0"/>
        <w:outlineLvl w:val="2"/>
        <w:jc w:val="center"/>
      </w:pPr>
      <w:r>
        <w:rPr>
          <w:sz w:val="20"/>
        </w:rPr>
        <w:t xml:space="preserve">Article 6</w:t>
      </w:r>
    </w:p>
    <w:p>
      <w:pPr>
        <w:pStyle w:val="0"/>
        <w:jc w:val="center"/>
      </w:pPr>
      <w:r>
        <w:rPr>
          <w:sz w:val="20"/>
        </w:rPr>
      </w:r>
    </w:p>
    <w:p>
      <w:pPr>
        <w:pStyle w:val="0"/>
        <w:jc w:val="center"/>
      </w:pPr>
      <w:r>
        <w:rPr>
          <w:sz w:val="20"/>
        </w:rPr>
        <w:t xml:space="preserve">General binding rules</w:t>
      </w:r>
    </w:p>
    <w:p>
      <w:pPr>
        <w:pStyle w:val="0"/>
        <w:jc w:val="center"/>
      </w:pPr>
      <w:r>
        <w:rPr>
          <w:sz w:val="20"/>
        </w:rPr>
      </w:r>
    </w:p>
    <w:p>
      <w:pPr>
        <w:pStyle w:val="0"/>
        <w:ind w:firstLine="540"/>
        <w:jc w:val="both"/>
      </w:pPr>
      <w:r>
        <w:rPr>
          <w:sz w:val="20"/>
        </w:rPr>
        <w:t xml:space="preserve">Without prejudice to the obligation to hold a permit, Member States may include requirements for certain categories of installations, combustion plants, waste incineration plants or waste co-incineration plants in general binding rules.</w:t>
      </w:r>
    </w:p>
    <w:p>
      <w:pPr>
        <w:pStyle w:val="0"/>
        <w:spacing w:before="200" w:line-rule="auto"/>
        <w:ind w:firstLine="540"/>
        <w:jc w:val="both"/>
      </w:pPr>
      <w:r>
        <w:rPr>
          <w:sz w:val="20"/>
        </w:rPr>
        <w:t xml:space="preserve">Where general binding rules are adopted, the permit may simply include a reference to such rules.</w:t>
      </w:r>
    </w:p>
    <w:p>
      <w:pPr>
        <w:pStyle w:val="0"/>
        <w:jc w:val="center"/>
      </w:pPr>
      <w:r>
        <w:rPr>
          <w:sz w:val="20"/>
        </w:rPr>
      </w:r>
    </w:p>
    <w:p>
      <w:pPr>
        <w:pStyle w:val="0"/>
        <w:outlineLvl w:val="2"/>
        <w:jc w:val="center"/>
      </w:pPr>
      <w:r>
        <w:rPr>
          <w:sz w:val="20"/>
        </w:rPr>
        <w:t xml:space="preserve">Article 7</w:t>
      </w:r>
    </w:p>
    <w:p>
      <w:pPr>
        <w:pStyle w:val="0"/>
        <w:jc w:val="center"/>
      </w:pPr>
      <w:r>
        <w:rPr>
          <w:sz w:val="20"/>
        </w:rPr>
      </w:r>
    </w:p>
    <w:p>
      <w:pPr>
        <w:pStyle w:val="0"/>
        <w:jc w:val="center"/>
      </w:pPr>
      <w:r>
        <w:rPr>
          <w:sz w:val="20"/>
        </w:rPr>
        <w:t xml:space="preserve">Incidents and accidents</w:t>
      </w:r>
    </w:p>
    <w:p>
      <w:pPr>
        <w:pStyle w:val="0"/>
        <w:jc w:val="center"/>
      </w:pPr>
      <w:r>
        <w:rPr>
          <w:sz w:val="20"/>
        </w:rPr>
      </w:r>
    </w:p>
    <w:p>
      <w:pPr>
        <w:pStyle w:val="0"/>
        <w:ind w:firstLine="540"/>
        <w:jc w:val="both"/>
      </w:pPr>
      <w:r>
        <w:rPr>
          <w:sz w:val="20"/>
        </w:rPr>
        <w:t xml:space="preserve">Without prejudice to Directive 2004/35/EC of the European Parliament and of the Council of 21 April 2004 on environmental liability with regard to the prevention and remedying of environmental damage &lt;*&gt;, in the event of any incident or accident significantly affecting the environment, Member States shall take the necessary measures to ensure that: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L 143, 30.4.2004, p. 56.</w:t>
      </w:r>
    </w:p>
    <w:p>
      <w:pPr>
        <w:pStyle w:val="0"/>
        <w:ind w:firstLine="540"/>
        <w:jc w:val="both"/>
      </w:pPr>
      <w:r>
        <w:rPr>
          <w:sz w:val="20"/>
        </w:rPr>
      </w:r>
    </w:p>
    <w:p>
      <w:pPr>
        <w:pStyle w:val="0"/>
        <w:ind w:firstLine="540"/>
        <w:jc w:val="both"/>
      </w:pPr>
      <w:r>
        <w:rPr>
          <w:sz w:val="20"/>
        </w:rPr>
        <w:t xml:space="preserve">(a) the operator informs the competent authority immediately;</w:t>
      </w:r>
    </w:p>
    <w:p>
      <w:pPr>
        <w:pStyle w:val="0"/>
        <w:spacing w:before="200" w:line-rule="auto"/>
        <w:ind w:firstLine="540"/>
        <w:jc w:val="both"/>
      </w:pPr>
      <w:r>
        <w:rPr>
          <w:sz w:val="20"/>
        </w:rPr>
        <w:t xml:space="preserve">(b) the operator immediately takes the measures to limit the environmental consequences and to prevent further possible incidents or accidents;</w:t>
      </w:r>
    </w:p>
    <w:p>
      <w:pPr>
        <w:pStyle w:val="0"/>
        <w:spacing w:before="200" w:line-rule="auto"/>
        <w:ind w:firstLine="540"/>
        <w:jc w:val="both"/>
      </w:pPr>
      <w:r>
        <w:rPr>
          <w:sz w:val="20"/>
        </w:rPr>
        <w:t xml:space="preserve">(c) the competent authority requires the operator to take any appropriate complementary measures that the competent authority considers necessary to limit the environmental consequences and to prevent further possible incidents or accidents.</w:t>
      </w:r>
    </w:p>
    <w:p>
      <w:pPr>
        <w:pStyle w:val="0"/>
        <w:jc w:val="center"/>
      </w:pPr>
      <w:r>
        <w:rPr>
          <w:sz w:val="20"/>
        </w:rPr>
      </w:r>
    </w:p>
    <w:p>
      <w:pPr>
        <w:pStyle w:val="0"/>
        <w:outlineLvl w:val="2"/>
        <w:jc w:val="center"/>
      </w:pPr>
      <w:r>
        <w:rPr>
          <w:sz w:val="20"/>
        </w:rPr>
        <w:t xml:space="preserve">Article 8</w:t>
      </w:r>
    </w:p>
    <w:p>
      <w:pPr>
        <w:pStyle w:val="0"/>
        <w:jc w:val="center"/>
      </w:pPr>
      <w:r>
        <w:rPr>
          <w:sz w:val="20"/>
        </w:rPr>
      </w:r>
    </w:p>
    <w:p>
      <w:pPr>
        <w:pStyle w:val="0"/>
        <w:jc w:val="center"/>
      </w:pPr>
      <w:r>
        <w:rPr>
          <w:sz w:val="20"/>
        </w:rPr>
        <w:t xml:space="preserve">Non-compliance</w:t>
      </w:r>
    </w:p>
    <w:p>
      <w:pPr>
        <w:pStyle w:val="0"/>
        <w:jc w:val="center"/>
      </w:pPr>
      <w:r>
        <w:rPr>
          <w:sz w:val="20"/>
        </w:rPr>
      </w:r>
    </w:p>
    <w:p>
      <w:pPr>
        <w:pStyle w:val="0"/>
        <w:ind w:firstLine="540"/>
        <w:jc w:val="both"/>
      </w:pPr>
      <w:r>
        <w:rPr>
          <w:sz w:val="20"/>
        </w:rPr>
        <w:t xml:space="preserve">1. Member States shall take the necessary measures to ensure that the permit conditions are complied with.</w:t>
      </w:r>
    </w:p>
    <w:p>
      <w:pPr>
        <w:pStyle w:val="0"/>
        <w:spacing w:before="200" w:line-rule="auto"/>
        <w:ind w:firstLine="540"/>
        <w:jc w:val="both"/>
      </w:pPr>
      <w:r>
        <w:rPr>
          <w:sz w:val="20"/>
        </w:rPr>
        <w:t xml:space="preserve">2. In the event of a breach of the permit conditions, Member States shall ensure that:</w:t>
      </w:r>
    </w:p>
    <w:p>
      <w:pPr>
        <w:pStyle w:val="0"/>
        <w:spacing w:before="200" w:line-rule="auto"/>
        <w:ind w:firstLine="540"/>
        <w:jc w:val="both"/>
      </w:pPr>
      <w:r>
        <w:rPr>
          <w:sz w:val="20"/>
        </w:rPr>
        <w:t xml:space="preserve">(a) the operator immediately informs the competent authority;</w:t>
      </w:r>
    </w:p>
    <w:p>
      <w:pPr>
        <w:pStyle w:val="0"/>
        <w:spacing w:before="200" w:line-rule="auto"/>
        <w:ind w:firstLine="540"/>
        <w:jc w:val="both"/>
      </w:pPr>
      <w:r>
        <w:rPr>
          <w:sz w:val="20"/>
        </w:rPr>
        <w:t xml:space="preserve">(b) the operator immediately takes the measures necessary to ensure that compliance is restored within the shortest possible time;</w:t>
      </w:r>
    </w:p>
    <w:p>
      <w:pPr>
        <w:pStyle w:val="0"/>
        <w:spacing w:before="200" w:line-rule="auto"/>
        <w:ind w:firstLine="540"/>
        <w:jc w:val="both"/>
      </w:pPr>
      <w:r>
        <w:rPr>
          <w:sz w:val="20"/>
        </w:rPr>
        <w:t xml:space="preserve">(c) the competent authority requires the operator to take any appropriate complementary measures that the competent authority considers necessary to restore compliance.</w:t>
      </w:r>
    </w:p>
    <w:p>
      <w:pPr>
        <w:pStyle w:val="0"/>
        <w:spacing w:before="200" w:line-rule="auto"/>
        <w:ind w:firstLine="540"/>
        <w:jc w:val="both"/>
      </w:pPr>
      <w:r>
        <w:rPr>
          <w:sz w:val="20"/>
        </w:rPr>
        <w:t xml:space="preserve">Where the breach of the permit conditions poses an immediate danger to human health or threatens to cause an immediate significant adverse effect upon the environment, and until compliance is restored in accordance with points (b) and (c) of the first subparagraph, the operation of the installation, combustion plant, waste incineration plant, waste co-incineration plant or relevant part thereof shall be suspended.</w:t>
      </w:r>
    </w:p>
    <w:p>
      <w:pPr>
        <w:pStyle w:val="0"/>
        <w:jc w:val="center"/>
      </w:pPr>
      <w:r>
        <w:rPr>
          <w:sz w:val="20"/>
        </w:rPr>
      </w:r>
    </w:p>
    <w:p>
      <w:pPr>
        <w:pStyle w:val="0"/>
        <w:outlineLvl w:val="2"/>
        <w:jc w:val="center"/>
      </w:pPr>
      <w:r>
        <w:rPr>
          <w:sz w:val="20"/>
        </w:rPr>
        <w:t xml:space="preserve">Article 9</w:t>
      </w:r>
    </w:p>
    <w:p>
      <w:pPr>
        <w:pStyle w:val="0"/>
        <w:jc w:val="center"/>
      </w:pPr>
      <w:r>
        <w:rPr>
          <w:sz w:val="20"/>
        </w:rPr>
      </w:r>
    </w:p>
    <w:p>
      <w:pPr>
        <w:pStyle w:val="0"/>
        <w:jc w:val="center"/>
      </w:pPr>
      <w:r>
        <w:rPr>
          <w:sz w:val="20"/>
        </w:rPr>
        <w:t xml:space="preserve">Emission of greenhouse gases</w:t>
      </w:r>
    </w:p>
    <w:p>
      <w:pPr>
        <w:pStyle w:val="0"/>
        <w:ind w:firstLine="540"/>
        <w:jc w:val="both"/>
      </w:pPr>
      <w:r>
        <w:rPr>
          <w:sz w:val="20"/>
        </w:rPr>
      </w:r>
    </w:p>
    <w:p>
      <w:pPr>
        <w:pStyle w:val="0"/>
        <w:ind w:firstLine="540"/>
        <w:jc w:val="both"/>
      </w:pPr>
      <w:r>
        <w:rPr>
          <w:sz w:val="20"/>
        </w:rPr>
        <w:t xml:space="preserve">1. Where emissions of a greenhouse gas from an installation are specified in Annex I to Directive 2003/87/EC in relation to an activity carried out in that installation, the permit shall not include an emission limit value for direct emissions of that gas, unless necessary to ensure that no significant local pollution is caused.</w:t>
      </w:r>
    </w:p>
    <w:p>
      <w:pPr>
        <w:pStyle w:val="0"/>
        <w:spacing w:before="200" w:line-rule="auto"/>
        <w:ind w:firstLine="540"/>
        <w:jc w:val="both"/>
      </w:pPr>
      <w:r>
        <w:rPr>
          <w:sz w:val="20"/>
        </w:rPr>
        <w:t xml:space="preserve">2. For activities listed in Annex I to Directive 2003/87/EC, Member States may choose not to impose requirements relating to energy efficiency in respect of combustion units or other units emitting carbon dioxide on the site.</w:t>
      </w:r>
    </w:p>
    <w:p>
      <w:pPr>
        <w:pStyle w:val="0"/>
        <w:spacing w:before="200" w:line-rule="auto"/>
        <w:ind w:firstLine="540"/>
        <w:jc w:val="both"/>
      </w:pPr>
      <w:r>
        <w:rPr>
          <w:sz w:val="20"/>
        </w:rPr>
        <w:t xml:space="preserve">3. Where necessary, the competent authorities shall amend the permit as appropriate.</w:t>
      </w:r>
    </w:p>
    <w:p>
      <w:pPr>
        <w:pStyle w:val="0"/>
        <w:spacing w:before="200" w:line-rule="auto"/>
        <w:ind w:firstLine="540"/>
        <w:jc w:val="both"/>
      </w:pPr>
      <w:r>
        <w:rPr>
          <w:sz w:val="20"/>
        </w:rPr>
        <w:t xml:space="preserve">4. Paragraphs 1 to 3 shall not apply to installations which are temporarily excluded from the scheme for greenhouse gas emission allowance trading within the Union in accordance with Article 27 of Directive 2003/87/EC.</w:t>
      </w:r>
    </w:p>
    <w:p>
      <w:pPr>
        <w:pStyle w:val="0"/>
        <w:jc w:val="center"/>
      </w:pPr>
      <w:r>
        <w:rPr>
          <w:sz w:val="20"/>
        </w:rPr>
      </w:r>
    </w:p>
    <w:p>
      <w:pPr>
        <w:pStyle w:val="0"/>
        <w:outlineLvl w:val="1"/>
        <w:jc w:val="center"/>
      </w:pPr>
      <w:r>
        <w:rPr>
          <w:sz w:val="20"/>
        </w:rPr>
        <w:t xml:space="preserve">Chapter II. PROVISIONS FOR ACTIVITIES LISTED IN ANNEX I</w:t>
      </w:r>
    </w:p>
    <w:p>
      <w:pPr>
        <w:pStyle w:val="0"/>
        <w:jc w:val="center"/>
      </w:pPr>
      <w:r>
        <w:rPr>
          <w:sz w:val="20"/>
        </w:rPr>
      </w:r>
    </w:p>
    <w:p>
      <w:pPr>
        <w:pStyle w:val="0"/>
        <w:outlineLvl w:val="2"/>
        <w:jc w:val="center"/>
      </w:pPr>
      <w:r>
        <w:rPr>
          <w:sz w:val="20"/>
        </w:rPr>
        <w:t xml:space="preserve">Article 10</w:t>
      </w:r>
    </w:p>
    <w:p>
      <w:pPr>
        <w:pStyle w:val="0"/>
        <w:jc w:val="center"/>
      </w:pPr>
      <w:r>
        <w:rPr>
          <w:sz w:val="20"/>
        </w:rPr>
      </w:r>
    </w:p>
    <w:p>
      <w:pPr>
        <w:pStyle w:val="0"/>
        <w:jc w:val="center"/>
      </w:pPr>
      <w:r>
        <w:rPr>
          <w:sz w:val="20"/>
        </w:rPr>
        <w:t xml:space="preserve">Scope</w:t>
      </w:r>
    </w:p>
    <w:p>
      <w:pPr>
        <w:pStyle w:val="0"/>
        <w:jc w:val="center"/>
      </w:pPr>
      <w:r>
        <w:rPr>
          <w:sz w:val="20"/>
        </w:rPr>
      </w:r>
    </w:p>
    <w:p>
      <w:pPr>
        <w:pStyle w:val="0"/>
        <w:ind w:firstLine="540"/>
        <w:jc w:val="both"/>
      </w:pPr>
      <w:r>
        <w:rPr>
          <w:sz w:val="20"/>
        </w:rPr>
        <w:t xml:space="preserve">This Chapter shall apply to the activities set out in Annex I and, where applicable, reaching the capacity thresholds set out in that Annex.</w:t>
      </w:r>
    </w:p>
    <w:p>
      <w:pPr>
        <w:pStyle w:val="0"/>
        <w:jc w:val="center"/>
      </w:pPr>
      <w:r>
        <w:rPr>
          <w:sz w:val="20"/>
        </w:rPr>
      </w:r>
    </w:p>
    <w:p>
      <w:pPr>
        <w:pStyle w:val="0"/>
        <w:outlineLvl w:val="2"/>
        <w:jc w:val="center"/>
      </w:pPr>
      <w:r>
        <w:rPr>
          <w:sz w:val="20"/>
        </w:rPr>
        <w:t xml:space="preserve">Article 11</w:t>
      </w:r>
    </w:p>
    <w:p>
      <w:pPr>
        <w:pStyle w:val="0"/>
        <w:jc w:val="center"/>
      </w:pPr>
      <w:r>
        <w:rPr>
          <w:sz w:val="20"/>
        </w:rPr>
      </w:r>
    </w:p>
    <w:p>
      <w:pPr>
        <w:pStyle w:val="0"/>
        <w:jc w:val="center"/>
      </w:pPr>
      <w:r>
        <w:rPr>
          <w:sz w:val="20"/>
        </w:rPr>
        <w:t xml:space="preserve">General principles governing the basic</w:t>
      </w:r>
    </w:p>
    <w:p>
      <w:pPr>
        <w:pStyle w:val="0"/>
        <w:jc w:val="center"/>
      </w:pPr>
      <w:r>
        <w:rPr>
          <w:sz w:val="20"/>
        </w:rPr>
        <w:t xml:space="preserve">obligations of the operator</w:t>
      </w:r>
    </w:p>
    <w:p>
      <w:pPr>
        <w:pStyle w:val="0"/>
        <w:ind w:firstLine="540"/>
        <w:jc w:val="both"/>
      </w:pPr>
      <w:r>
        <w:rPr>
          <w:sz w:val="20"/>
        </w:rPr>
      </w:r>
    </w:p>
    <w:p>
      <w:pPr>
        <w:pStyle w:val="0"/>
        <w:ind w:firstLine="540"/>
        <w:jc w:val="both"/>
      </w:pPr>
      <w:r>
        <w:rPr>
          <w:sz w:val="20"/>
        </w:rPr>
        <w:t xml:space="preserve">Member States shall take the necessary measures to provide that installations are operated in accordance with the following principles:</w:t>
      </w:r>
    </w:p>
    <w:p>
      <w:pPr>
        <w:pStyle w:val="0"/>
        <w:spacing w:before="200" w:line-rule="auto"/>
        <w:ind w:firstLine="540"/>
        <w:jc w:val="both"/>
      </w:pPr>
      <w:r>
        <w:rPr>
          <w:sz w:val="20"/>
        </w:rPr>
        <w:t xml:space="preserve">(a) all the appropriate preventive measures are taken against pollution;</w:t>
      </w:r>
    </w:p>
    <w:p>
      <w:pPr>
        <w:pStyle w:val="0"/>
        <w:spacing w:before="200" w:line-rule="auto"/>
        <w:ind w:firstLine="540"/>
        <w:jc w:val="both"/>
      </w:pPr>
      <w:r>
        <w:rPr>
          <w:sz w:val="20"/>
        </w:rPr>
        <w:t xml:space="preserve">(b) the best available techniques are applied;</w:t>
      </w:r>
    </w:p>
    <w:p>
      <w:pPr>
        <w:pStyle w:val="0"/>
        <w:spacing w:before="200" w:line-rule="auto"/>
        <w:ind w:firstLine="540"/>
        <w:jc w:val="both"/>
      </w:pPr>
      <w:r>
        <w:rPr>
          <w:sz w:val="20"/>
        </w:rPr>
        <w:t xml:space="preserve">(c) no significant pollution is caused;</w:t>
      </w:r>
    </w:p>
    <w:p>
      <w:pPr>
        <w:pStyle w:val="0"/>
        <w:spacing w:before="200" w:line-rule="auto"/>
        <w:ind w:firstLine="540"/>
        <w:jc w:val="both"/>
      </w:pPr>
      <w:r>
        <w:rPr>
          <w:sz w:val="20"/>
        </w:rPr>
        <w:t xml:space="preserve">(d) the generation of waste is prevented in accordance with Directive 2008/98/EC;</w:t>
      </w:r>
    </w:p>
    <w:p>
      <w:pPr>
        <w:pStyle w:val="0"/>
        <w:spacing w:before="200" w:line-rule="auto"/>
        <w:ind w:firstLine="540"/>
        <w:jc w:val="both"/>
      </w:pPr>
      <w:r>
        <w:rPr>
          <w:sz w:val="20"/>
        </w:rPr>
        <w:t xml:space="preserve">(e) where waste is generated, it is, in order of priority and in accordance with Directive 2008/98/EC, prepared for re-use, recycled, recovered or, where that is technically and economically impossible, it is disposed of while avoiding or reducing any impact on the environment;</w:t>
      </w:r>
    </w:p>
    <w:p>
      <w:pPr>
        <w:pStyle w:val="0"/>
        <w:spacing w:before="200" w:line-rule="auto"/>
        <w:ind w:firstLine="540"/>
        <w:jc w:val="both"/>
      </w:pPr>
      <w:r>
        <w:rPr>
          <w:sz w:val="20"/>
        </w:rPr>
        <w:t xml:space="preserve">(f) energy is used efficiently;</w:t>
      </w:r>
    </w:p>
    <w:p>
      <w:pPr>
        <w:pStyle w:val="0"/>
        <w:spacing w:before="200" w:line-rule="auto"/>
        <w:ind w:firstLine="540"/>
        <w:jc w:val="both"/>
      </w:pPr>
      <w:r>
        <w:rPr>
          <w:sz w:val="20"/>
        </w:rPr>
        <w:t xml:space="preserve">(g) the necessary measures are taken to prevent accidents and limit their consequences;</w:t>
      </w:r>
    </w:p>
    <w:p>
      <w:pPr>
        <w:pStyle w:val="0"/>
        <w:spacing w:before="200" w:line-rule="auto"/>
        <w:ind w:firstLine="540"/>
        <w:jc w:val="both"/>
      </w:pPr>
      <w:r>
        <w:rPr>
          <w:sz w:val="20"/>
        </w:rPr>
        <w:t xml:space="preserve">(h) the necessary measures are taken upon definitive cessation of activities to avoid any risk of pollution and return the site of operation to the satisfactory state defined in accordance with Article 22.</w:t>
      </w:r>
    </w:p>
    <w:p>
      <w:pPr>
        <w:pStyle w:val="0"/>
        <w:jc w:val="center"/>
      </w:pPr>
      <w:r>
        <w:rPr>
          <w:sz w:val="20"/>
        </w:rPr>
      </w:r>
    </w:p>
    <w:p>
      <w:pPr>
        <w:pStyle w:val="0"/>
        <w:outlineLvl w:val="2"/>
        <w:jc w:val="center"/>
      </w:pPr>
      <w:r>
        <w:rPr>
          <w:sz w:val="20"/>
        </w:rPr>
        <w:t xml:space="preserve">Article 12</w:t>
      </w:r>
    </w:p>
    <w:p>
      <w:pPr>
        <w:pStyle w:val="0"/>
        <w:jc w:val="center"/>
      </w:pPr>
      <w:r>
        <w:rPr>
          <w:sz w:val="20"/>
        </w:rPr>
      </w:r>
    </w:p>
    <w:p>
      <w:pPr>
        <w:pStyle w:val="0"/>
        <w:jc w:val="center"/>
      </w:pPr>
      <w:r>
        <w:rPr>
          <w:sz w:val="20"/>
        </w:rPr>
        <w:t xml:space="preserve">Applications for permits</w:t>
      </w:r>
    </w:p>
    <w:p>
      <w:pPr>
        <w:pStyle w:val="0"/>
        <w:ind w:firstLine="540"/>
        <w:jc w:val="both"/>
      </w:pPr>
      <w:r>
        <w:rPr>
          <w:sz w:val="20"/>
        </w:rPr>
      </w:r>
    </w:p>
    <w:p>
      <w:pPr>
        <w:pStyle w:val="0"/>
        <w:ind w:firstLine="540"/>
        <w:jc w:val="both"/>
      </w:pPr>
      <w:r>
        <w:rPr>
          <w:sz w:val="20"/>
        </w:rPr>
        <w:t xml:space="preserve">1. Member States shall take the necessary measures to ensure that an application for a permit includes a description of the following:</w:t>
      </w:r>
    </w:p>
    <w:p>
      <w:pPr>
        <w:pStyle w:val="0"/>
        <w:spacing w:before="200" w:line-rule="auto"/>
        <w:ind w:firstLine="540"/>
        <w:jc w:val="both"/>
      </w:pPr>
      <w:r>
        <w:rPr>
          <w:sz w:val="20"/>
        </w:rPr>
        <w:t xml:space="preserve">(a) the installation and its activities;</w:t>
      </w:r>
    </w:p>
    <w:p>
      <w:pPr>
        <w:pStyle w:val="0"/>
        <w:spacing w:before="200" w:line-rule="auto"/>
        <w:ind w:firstLine="540"/>
        <w:jc w:val="both"/>
      </w:pPr>
      <w:r>
        <w:rPr>
          <w:sz w:val="20"/>
        </w:rPr>
        <w:t xml:space="preserve">(b) the raw and auxiliary materials, other substances and the energy used in or generated by the installation;</w:t>
      </w:r>
    </w:p>
    <w:p>
      <w:pPr>
        <w:pStyle w:val="0"/>
        <w:spacing w:before="200" w:line-rule="auto"/>
        <w:ind w:firstLine="540"/>
        <w:jc w:val="both"/>
      </w:pPr>
      <w:r>
        <w:rPr>
          <w:sz w:val="20"/>
        </w:rPr>
        <w:t xml:space="preserve">(c) the sources of emissions from the installation;</w:t>
      </w:r>
    </w:p>
    <w:p>
      <w:pPr>
        <w:pStyle w:val="0"/>
        <w:spacing w:before="200" w:line-rule="auto"/>
        <w:ind w:firstLine="540"/>
        <w:jc w:val="both"/>
      </w:pPr>
      <w:r>
        <w:rPr>
          <w:sz w:val="20"/>
        </w:rPr>
        <w:t xml:space="preserve">(d) the conditions of the site of the installation;</w:t>
      </w:r>
    </w:p>
    <w:p>
      <w:pPr>
        <w:pStyle w:val="0"/>
        <w:spacing w:before="200" w:line-rule="auto"/>
        <w:ind w:firstLine="540"/>
        <w:jc w:val="both"/>
      </w:pPr>
      <w:r>
        <w:rPr>
          <w:sz w:val="20"/>
        </w:rPr>
        <w:t xml:space="preserve">(e) where applicable, a baseline report in accordance with Article 22 (2);</w:t>
      </w:r>
    </w:p>
    <w:p>
      <w:pPr>
        <w:pStyle w:val="0"/>
        <w:spacing w:before="200" w:line-rule="auto"/>
        <w:ind w:firstLine="540"/>
        <w:jc w:val="both"/>
      </w:pPr>
      <w:r>
        <w:rPr>
          <w:sz w:val="20"/>
        </w:rPr>
        <w:t xml:space="preserve">(f) the nature and quantities of foreseeable emissions from the installation into each medium as well as identification of significant effects of the emissions on the environment;</w:t>
      </w:r>
    </w:p>
    <w:p>
      <w:pPr>
        <w:pStyle w:val="0"/>
        <w:spacing w:before="200" w:line-rule="auto"/>
        <w:ind w:firstLine="540"/>
        <w:jc w:val="both"/>
      </w:pPr>
      <w:r>
        <w:rPr>
          <w:sz w:val="20"/>
        </w:rPr>
        <w:t xml:space="preserve">(g) the proposed technology and other techniques for preventing or, where this is not possible, reducing emissions from the installation;</w:t>
      </w:r>
    </w:p>
    <w:p>
      <w:pPr>
        <w:pStyle w:val="0"/>
        <w:spacing w:before="200" w:line-rule="auto"/>
        <w:ind w:firstLine="540"/>
        <w:jc w:val="both"/>
      </w:pPr>
      <w:r>
        <w:rPr>
          <w:sz w:val="20"/>
        </w:rPr>
        <w:t xml:space="preserve">(h) measures for the prevention, preparation for re-use, recycling and recovery of waste generated by the installation;</w:t>
      </w:r>
    </w:p>
    <w:p>
      <w:pPr>
        <w:pStyle w:val="0"/>
        <w:spacing w:before="200" w:line-rule="auto"/>
        <w:ind w:firstLine="540"/>
        <w:jc w:val="both"/>
      </w:pPr>
      <w:r>
        <w:rPr>
          <w:sz w:val="20"/>
        </w:rPr>
        <w:t xml:space="preserve">(i) further measures planned to comply with the general principles of the basic obligations of the operator as provided for in Article 11;</w:t>
      </w:r>
    </w:p>
    <w:p>
      <w:pPr>
        <w:pStyle w:val="0"/>
        <w:spacing w:before="200" w:line-rule="auto"/>
        <w:ind w:firstLine="540"/>
        <w:jc w:val="both"/>
      </w:pPr>
      <w:r>
        <w:rPr>
          <w:sz w:val="20"/>
        </w:rPr>
        <w:t xml:space="preserve">(j) measures planned to monitor emissions into the environment;</w:t>
      </w:r>
    </w:p>
    <w:p>
      <w:pPr>
        <w:pStyle w:val="0"/>
        <w:spacing w:before="200" w:line-rule="auto"/>
        <w:ind w:firstLine="540"/>
        <w:jc w:val="both"/>
      </w:pPr>
      <w:r>
        <w:rPr>
          <w:sz w:val="20"/>
        </w:rPr>
        <w:t xml:space="preserve">(k) the main alternatives to the proposed technology, techniques and measures studied by the applicant in outline.</w:t>
      </w:r>
    </w:p>
    <w:p>
      <w:pPr>
        <w:pStyle w:val="0"/>
        <w:spacing w:before="200" w:line-rule="auto"/>
        <w:ind w:firstLine="540"/>
        <w:jc w:val="both"/>
      </w:pPr>
      <w:r>
        <w:rPr>
          <w:sz w:val="20"/>
        </w:rPr>
        <w:t xml:space="preserve">An application for a permit shall also include a non-technical summary of the details referred to in the first subparagraph.</w:t>
      </w:r>
    </w:p>
    <w:p>
      <w:pPr>
        <w:pStyle w:val="0"/>
        <w:spacing w:before="200" w:line-rule="auto"/>
        <w:ind w:firstLine="540"/>
        <w:jc w:val="both"/>
      </w:pPr>
      <w:r>
        <w:rPr>
          <w:sz w:val="20"/>
        </w:rPr>
        <w:t xml:space="preserve">2. Where information supplied in accordance with the requirements provided for in Directive 85/337/EEC or a safety report prepared in accordance with Directive 96/82/EC or other information produced in response to other legislation fulfils any of the requirements of paragraph 1, that information may be included in, or attached to, the application.</w:t>
      </w:r>
    </w:p>
    <w:p>
      <w:pPr>
        <w:pStyle w:val="0"/>
        <w:jc w:val="center"/>
      </w:pPr>
      <w:r>
        <w:rPr>
          <w:sz w:val="20"/>
        </w:rPr>
      </w:r>
    </w:p>
    <w:p>
      <w:pPr>
        <w:pStyle w:val="0"/>
        <w:outlineLvl w:val="2"/>
        <w:jc w:val="center"/>
      </w:pPr>
      <w:r>
        <w:rPr>
          <w:sz w:val="20"/>
        </w:rPr>
        <w:t xml:space="preserve">Article 13</w:t>
      </w:r>
    </w:p>
    <w:p>
      <w:pPr>
        <w:pStyle w:val="0"/>
        <w:jc w:val="center"/>
      </w:pPr>
      <w:r>
        <w:rPr>
          <w:sz w:val="20"/>
        </w:rPr>
      </w:r>
    </w:p>
    <w:p>
      <w:pPr>
        <w:pStyle w:val="0"/>
        <w:jc w:val="center"/>
      </w:pPr>
      <w:r>
        <w:rPr>
          <w:sz w:val="20"/>
        </w:rPr>
        <w:t xml:space="preserve">BAT reference documents and exchange of information</w:t>
      </w:r>
    </w:p>
    <w:p>
      <w:pPr>
        <w:pStyle w:val="0"/>
        <w:ind w:firstLine="540"/>
        <w:jc w:val="both"/>
      </w:pPr>
      <w:r>
        <w:rPr>
          <w:sz w:val="20"/>
        </w:rPr>
      </w:r>
    </w:p>
    <w:p>
      <w:pPr>
        <w:pStyle w:val="0"/>
        <w:ind w:firstLine="540"/>
        <w:jc w:val="both"/>
      </w:pPr>
      <w:r>
        <w:rPr>
          <w:sz w:val="20"/>
        </w:rPr>
        <w:t xml:space="preserve">1. In order to draw up, review and, where necessary, update BAT reference documents, the Commission shall organise an exchange of information between Member States, the industries concerned, non-governmental organisations promoting environmental protection and the Commission.</w:t>
      </w:r>
    </w:p>
    <w:p>
      <w:pPr>
        <w:pStyle w:val="0"/>
        <w:spacing w:before="200" w:line-rule="auto"/>
        <w:ind w:firstLine="540"/>
        <w:jc w:val="both"/>
      </w:pPr>
      <w:r>
        <w:rPr>
          <w:sz w:val="20"/>
        </w:rPr>
        <w:t xml:space="preserve">2. The exchange of information shall, in particular, address the following:</w:t>
      </w:r>
    </w:p>
    <w:p>
      <w:pPr>
        <w:pStyle w:val="0"/>
        <w:spacing w:before="200" w:line-rule="auto"/>
        <w:ind w:firstLine="540"/>
        <w:jc w:val="both"/>
      </w:pPr>
      <w:r>
        <w:rPr>
          <w:sz w:val="20"/>
        </w:rPr>
        <w:t xml:space="preserve">(a) the performance of installations and techniques in terms of emissions, expressed as short- and long-term averages, where appropriate, and the associated reference conditions, consumption and nature of raw materials, water consumption, use of energy and generation of waste;</w:t>
      </w:r>
    </w:p>
    <w:p>
      <w:pPr>
        <w:pStyle w:val="0"/>
        <w:spacing w:before="200" w:line-rule="auto"/>
        <w:ind w:firstLine="540"/>
        <w:jc w:val="both"/>
      </w:pPr>
      <w:r>
        <w:rPr>
          <w:sz w:val="20"/>
        </w:rPr>
        <w:t xml:space="preserve">(b) the techniques used, associated monitoring, cross-media effects, economic and technical viability and developments therein;</w:t>
      </w:r>
    </w:p>
    <w:p>
      <w:pPr>
        <w:pStyle w:val="0"/>
        <w:spacing w:before="200" w:line-rule="auto"/>
        <w:ind w:firstLine="540"/>
        <w:jc w:val="both"/>
      </w:pPr>
      <w:r>
        <w:rPr>
          <w:sz w:val="20"/>
        </w:rPr>
        <w:t xml:space="preserve">(c) best available techniques and emerging techniques identified after considering the issues mentioned in points (a) and (b).</w:t>
      </w:r>
    </w:p>
    <w:p>
      <w:pPr>
        <w:pStyle w:val="0"/>
        <w:spacing w:before="200" w:line-rule="auto"/>
        <w:ind w:firstLine="540"/>
        <w:jc w:val="both"/>
      </w:pPr>
      <w:r>
        <w:rPr>
          <w:sz w:val="20"/>
        </w:rPr>
        <w:t xml:space="preserve">3. The Commission shall establish and regularly convene a forum composed of representatives of Member States, the industries concerned and non-governmental organisations promoting environmental protection.</w:t>
      </w:r>
    </w:p>
    <w:p>
      <w:pPr>
        <w:pStyle w:val="0"/>
        <w:spacing w:before="200" w:line-rule="auto"/>
        <w:ind w:firstLine="540"/>
        <w:jc w:val="both"/>
      </w:pPr>
      <w:r>
        <w:rPr>
          <w:sz w:val="20"/>
        </w:rPr>
        <w:t xml:space="preserve">The Commission shall obtain the opinion of the forum on the practical arrangements for the exchange of information and, in particular, on the following:</w:t>
      </w:r>
    </w:p>
    <w:p>
      <w:pPr>
        <w:pStyle w:val="0"/>
        <w:spacing w:before="200" w:line-rule="auto"/>
        <w:ind w:firstLine="540"/>
        <w:jc w:val="both"/>
      </w:pPr>
      <w:r>
        <w:rPr>
          <w:sz w:val="20"/>
        </w:rPr>
        <w:t xml:space="preserve">(a) the rules of procedure of the forum;</w:t>
      </w:r>
    </w:p>
    <w:p>
      <w:pPr>
        <w:pStyle w:val="0"/>
        <w:spacing w:before="200" w:line-rule="auto"/>
        <w:ind w:firstLine="540"/>
        <w:jc w:val="both"/>
      </w:pPr>
      <w:r>
        <w:rPr>
          <w:sz w:val="20"/>
        </w:rPr>
        <w:t xml:space="preserve">(b) the work programme for the exchange of information;</w:t>
      </w:r>
    </w:p>
    <w:p>
      <w:pPr>
        <w:pStyle w:val="0"/>
        <w:spacing w:before="200" w:line-rule="auto"/>
        <w:ind w:firstLine="540"/>
        <w:jc w:val="both"/>
      </w:pPr>
      <w:r>
        <w:rPr>
          <w:sz w:val="20"/>
        </w:rPr>
        <w:t xml:space="preserve">(c) guidance on the collection of data;</w:t>
      </w:r>
    </w:p>
    <w:p>
      <w:pPr>
        <w:pStyle w:val="0"/>
        <w:spacing w:before="200" w:line-rule="auto"/>
        <w:ind w:firstLine="540"/>
        <w:jc w:val="both"/>
      </w:pPr>
      <w:r>
        <w:rPr>
          <w:sz w:val="20"/>
        </w:rPr>
        <w:t xml:space="preserve">(d) guidance on the drawing up of BAT reference documents and on their quality assurance including the suitability of their content and format.</w:t>
      </w:r>
    </w:p>
    <w:p>
      <w:pPr>
        <w:pStyle w:val="0"/>
        <w:spacing w:before="200" w:line-rule="auto"/>
        <w:ind w:firstLine="540"/>
        <w:jc w:val="both"/>
      </w:pPr>
      <w:r>
        <w:rPr>
          <w:sz w:val="20"/>
        </w:rPr>
        <w:t xml:space="preserve">The guidance referred to in points (c) and (d) of the second subparagraph shall take account of the opinion of the forum and shall be adopted in accordance with the regulatory procedure referred to in Article 75 (2).</w:t>
      </w:r>
    </w:p>
    <w:p>
      <w:pPr>
        <w:pStyle w:val="0"/>
        <w:spacing w:before="200" w:line-rule="auto"/>
        <w:ind w:firstLine="540"/>
        <w:jc w:val="both"/>
      </w:pPr>
      <w:r>
        <w:rPr>
          <w:sz w:val="20"/>
        </w:rPr>
        <w:t xml:space="preserve">4. The Commission shall obtain and make publicly available the opinion of the forum on the proposed content of the BAT reference documents and shall take into account this opinion for the procedures laid down in paragraph 5.</w:t>
      </w:r>
    </w:p>
    <w:p>
      <w:pPr>
        <w:pStyle w:val="0"/>
        <w:spacing w:before="200" w:line-rule="auto"/>
        <w:ind w:firstLine="540"/>
        <w:jc w:val="both"/>
      </w:pPr>
      <w:r>
        <w:rPr>
          <w:sz w:val="20"/>
        </w:rPr>
        <w:t xml:space="preserve">5. Decisions on the BAT conclusions shall be adopted in accordance with the regulatory procedure referred to in Article 75 (2).</w:t>
      </w:r>
    </w:p>
    <w:p>
      <w:pPr>
        <w:pStyle w:val="0"/>
        <w:spacing w:before="200" w:line-rule="auto"/>
        <w:ind w:firstLine="540"/>
        <w:jc w:val="both"/>
      </w:pPr>
      <w:r>
        <w:rPr>
          <w:sz w:val="20"/>
        </w:rPr>
        <w:t xml:space="preserve">6. After the adoption of a decision in accordance with paragraph 5, the Commission shall without delay make the BAT reference document publicly available and ensure that BAT conclusions are made available in all the official languages of the Union.</w:t>
      </w:r>
    </w:p>
    <w:p>
      <w:pPr>
        <w:pStyle w:val="0"/>
        <w:spacing w:before="200" w:line-rule="auto"/>
        <w:ind w:firstLine="540"/>
        <w:jc w:val="both"/>
      </w:pPr>
      <w:r>
        <w:rPr>
          <w:sz w:val="20"/>
        </w:rPr>
        <w:t xml:space="preserve">7. Pending the adoption of a relevant decision in accordance with paragraph 5, the conclusions on best available techniques from BAT reference documents adopted by the Commission prior to the date referred to in Article 83 shall apply as BAT conclusions for the purposes of this Chapter except for Article 15 (3) and (4).</w:t>
      </w:r>
    </w:p>
    <w:p>
      <w:pPr>
        <w:pStyle w:val="0"/>
        <w:jc w:val="center"/>
      </w:pPr>
      <w:r>
        <w:rPr>
          <w:sz w:val="20"/>
        </w:rPr>
      </w:r>
    </w:p>
    <w:p>
      <w:pPr>
        <w:pStyle w:val="0"/>
        <w:outlineLvl w:val="2"/>
        <w:jc w:val="center"/>
      </w:pPr>
      <w:r>
        <w:rPr>
          <w:sz w:val="20"/>
        </w:rPr>
        <w:t xml:space="preserve">Article 14</w:t>
      </w:r>
    </w:p>
    <w:p>
      <w:pPr>
        <w:pStyle w:val="0"/>
        <w:jc w:val="center"/>
      </w:pPr>
      <w:r>
        <w:rPr>
          <w:sz w:val="20"/>
        </w:rPr>
      </w:r>
    </w:p>
    <w:p>
      <w:pPr>
        <w:pStyle w:val="0"/>
        <w:jc w:val="center"/>
      </w:pPr>
      <w:r>
        <w:rPr>
          <w:sz w:val="20"/>
        </w:rPr>
        <w:t xml:space="preserve">Permit conditions</w:t>
      </w:r>
    </w:p>
    <w:p>
      <w:pPr>
        <w:pStyle w:val="0"/>
        <w:jc w:val="center"/>
      </w:pPr>
      <w:r>
        <w:rPr>
          <w:sz w:val="20"/>
        </w:rPr>
      </w:r>
    </w:p>
    <w:p>
      <w:pPr>
        <w:pStyle w:val="0"/>
        <w:ind w:firstLine="540"/>
        <w:jc w:val="both"/>
      </w:pPr>
      <w:r>
        <w:rPr>
          <w:sz w:val="20"/>
        </w:rPr>
        <w:t xml:space="preserve">1. Member States shall ensure that the permit includes all measures necessary for compliance with the requirements of Articles 11 and 18.</w:t>
      </w:r>
    </w:p>
    <w:p>
      <w:pPr>
        <w:pStyle w:val="0"/>
        <w:spacing w:before="200" w:line-rule="auto"/>
        <w:ind w:firstLine="540"/>
        <w:jc w:val="both"/>
      </w:pPr>
      <w:r>
        <w:rPr>
          <w:sz w:val="20"/>
        </w:rPr>
        <w:t xml:space="preserve">Those measures shall include at least the following:</w:t>
      </w:r>
    </w:p>
    <w:p>
      <w:pPr>
        <w:pStyle w:val="0"/>
        <w:spacing w:before="200" w:line-rule="auto"/>
        <w:ind w:firstLine="540"/>
        <w:jc w:val="both"/>
      </w:pPr>
      <w:r>
        <w:rPr>
          <w:sz w:val="20"/>
        </w:rPr>
        <w:t xml:space="preserve">(a) emission limit values for polluting substances listed in Annex II, and for other polluting substances, which are likely to be emitted from the installation concerned in significant quantities, having regard to their nature and their potential to transfer pollution from one medium to another;</w:t>
      </w:r>
    </w:p>
    <w:p>
      <w:pPr>
        <w:pStyle w:val="0"/>
        <w:spacing w:before="200" w:line-rule="auto"/>
        <w:ind w:firstLine="540"/>
        <w:jc w:val="both"/>
      </w:pPr>
      <w:r>
        <w:rPr>
          <w:sz w:val="20"/>
        </w:rPr>
        <w:t xml:space="preserve">(b) appropriate requirements ensuring protection of the soil and groundwater and measures concerning the monitoring and management of waste generated by the installation;</w:t>
      </w:r>
    </w:p>
    <w:p>
      <w:pPr>
        <w:pStyle w:val="0"/>
        <w:spacing w:before="200" w:line-rule="auto"/>
        <w:ind w:firstLine="540"/>
        <w:jc w:val="both"/>
      </w:pPr>
      <w:r>
        <w:rPr>
          <w:sz w:val="20"/>
        </w:rPr>
        <w:t xml:space="preserve">(c) suitable emission monitoring requirements specifying:</w:t>
      </w:r>
    </w:p>
    <w:p>
      <w:pPr>
        <w:pStyle w:val="0"/>
        <w:spacing w:before="200" w:line-rule="auto"/>
        <w:ind w:firstLine="540"/>
        <w:jc w:val="both"/>
      </w:pPr>
      <w:r>
        <w:rPr>
          <w:sz w:val="20"/>
        </w:rPr>
        <w:t xml:space="preserve">(i) measurement methodology, frequency and evaluation procedure; and</w:t>
      </w:r>
    </w:p>
    <w:p>
      <w:pPr>
        <w:pStyle w:val="0"/>
        <w:spacing w:before="200" w:line-rule="auto"/>
        <w:ind w:firstLine="540"/>
        <w:jc w:val="both"/>
      </w:pPr>
      <w:r>
        <w:rPr>
          <w:sz w:val="20"/>
        </w:rPr>
        <w:t xml:space="preserve">(ii) where Article 15 (3) (b) is applied, that results of emission monitoring are available for the same periods of time and reference conditions as for the emission levels associated with the best available techniques;</w:t>
      </w:r>
    </w:p>
    <w:p>
      <w:pPr>
        <w:pStyle w:val="0"/>
        <w:spacing w:before="200" w:line-rule="auto"/>
        <w:ind w:firstLine="540"/>
        <w:jc w:val="both"/>
      </w:pPr>
      <w:r>
        <w:rPr>
          <w:sz w:val="20"/>
        </w:rPr>
        <w:t xml:space="preserve">(d) an obligation to supply the competent authority regularly, and at least annually, with:</w:t>
      </w:r>
    </w:p>
    <w:p>
      <w:pPr>
        <w:pStyle w:val="0"/>
        <w:spacing w:before="200" w:line-rule="auto"/>
        <w:ind w:firstLine="540"/>
        <w:jc w:val="both"/>
      </w:pPr>
      <w:r>
        <w:rPr>
          <w:sz w:val="20"/>
        </w:rPr>
        <w:t xml:space="preserve">(i) information on the basis of results of emission monitoring referred to in point (c) and other required data that enables the competent authority to verify compliance with the permit conditions; and</w:t>
      </w:r>
    </w:p>
    <w:p>
      <w:pPr>
        <w:pStyle w:val="0"/>
        <w:spacing w:before="200" w:line-rule="auto"/>
        <w:ind w:firstLine="540"/>
        <w:jc w:val="both"/>
      </w:pPr>
      <w:r>
        <w:rPr>
          <w:sz w:val="20"/>
        </w:rPr>
        <w:t xml:space="preserve">(ii) where Article 15 (3) (b) is applied, a summary of the results of emission monitoring which allows a comparison with the emission levels associated with the best available techniques;</w:t>
      </w:r>
    </w:p>
    <w:p>
      <w:pPr>
        <w:pStyle w:val="0"/>
        <w:spacing w:before="200" w:line-rule="auto"/>
        <w:ind w:firstLine="540"/>
        <w:jc w:val="both"/>
      </w:pPr>
      <w:r>
        <w:rPr>
          <w:sz w:val="20"/>
        </w:rPr>
        <w:t xml:space="preserve">(e) appropriate requirements for the regular maintenance and surveillance of measures taken to prevent emissions to soil and groundwater pursuant to point (b) and appropriate requirements concerning the periodic monitoring of soil and groundwater in relation to relevant hazardous substances likely to be found on site and having regard to the possibility of soil and groundwater contamination at the site of the installation;</w:t>
      </w:r>
    </w:p>
    <w:p>
      <w:pPr>
        <w:pStyle w:val="0"/>
        <w:spacing w:before="200" w:line-rule="auto"/>
        <w:ind w:firstLine="540"/>
        <w:jc w:val="both"/>
      </w:pPr>
      <w:r>
        <w:rPr>
          <w:sz w:val="20"/>
        </w:rPr>
        <w:t xml:space="preserve">(f) measures relating to conditions other than normal operating conditions such as start-up and shut-down operations, leaks, malfunctions, momentary stoppages and definitive cessation of operations;</w:t>
      </w:r>
    </w:p>
    <w:p>
      <w:pPr>
        <w:pStyle w:val="0"/>
        <w:spacing w:before="200" w:line-rule="auto"/>
        <w:ind w:firstLine="540"/>
        <w:jc w:val="both"/>
      </w:pPr>
      <w:r>
        <w:rPr>
          <w:sz w:val="20"/>
        </w:rPr>
        <w:t xml:space="preserve">(g) provisions on the minimisation of long-distance or transboundary pollution;</w:t>
      </w:r>
    </w:p>
    <w:p>
      <w:pPr>
        <w:pStyle w:val="0"/>
        <w:spacing w:before="200" w:line-rule="auto"/>
        <w:ind w:firstLine="540"/>
        <w:jc w:val="both"/>
      </w:pPr>
      <w:r>
        <w:rPr>
          <w:sz w:val="20"/>
        </w:rPr>
        <w:t xml:space="preserve">(h) conditions for assessing compliance with the emission limit values or a reference to the applicable requirements specified elsewhere.</w:t>
      </w:r>
    </w:p>
    <w:p>
      <w:pPr>
        <w:pStyle w:val="0"/>
        <w:spacing w:before="200" w:line-rule="auto"/>
        <w:ind w:firstLine="540"/>
        <w:jc w:val="both"/>
      </w:pPr>
      <w:r>
        <w:rPr>
          <w:sz w:val="20"/>
        </w:rPr>
        <w:t xml:space="preserve">2. For the purpose of paragraph 1 (a), emission limit values may be supplemented or replaced by equivalent parameters or technical measures ensuring an equivalent level of environmental protection.</w:t>
      </w:r>
    </w:p>
    <w:p>
      <w:pPr>
        <w:pStyle w:val="0"/>
        <w:spacing w:before="200" w:line-rule="auto"/>
        <w:ind w:firstLine="540"/>
        <w:jc w:val="both"/>
      </w:pPr>
      <w:r>
        <w:rPr>
          <w:sz w:val="20"/>
        </w:rPr>
        <w:t xml:space="preserve">3. BAT conclusions shall be the reference for setting the permit conditions.</w:t>
      </w:r>
    </w:p>
    <w:p>
      <w:pPr>
        <w:pStyle w:val="0"/>
        <w:spacing w:before="200" w:line-rule="auto"/>
        <w:ind w:firstLine="540"/>
        <w:jc w:val="both"/>
      </w:pPr>
      <w:r>
        <w:rPr>
          <w:sz w:val="20"/>
        </w:rPr>
        <w:t xml:space="preserve">4. Without prejudice to Article 18, the competent authority may set stricter permit conditions than those achievable by the use of the best available techniques as described in the BAT conclusions. Member States may establish rules under which the competent authority may set such stricter conditions.</w:t>
      </w:r>
    </w:p>
    <w:p>
      <w:pPr>
        <w:pStyle w:val="0"/>
        <w:spacing w:before="200" w:line-rule="auto"/>
        <w:ind w:firstLine="540"/>
        <w:jc w:val="both"/>
      </w:pPr>
      <w:r>
        <w:rPr>
          <w:sz w:val="20"/>
        </w:rPr>
        <w:t xml:space="preserve">5. Where the competent authority sets permit conditions on the basis of a best available technique not described in any of the relevant BAT conclusions, it shall ensure that:</w:t>
      </w:r>
    </w:p>
    <w:p>
      <w:pPr>
        <w:pStyle w:val="0"/>
        <w:spacing w:before="200" w:line-rule="auto"/>
        <w:ind w:firstLine="540"/>
        <w:jc w:val="both"/>
      </w:pPr>
      <w:r>
        <w:rPr>
          <w:sz w:val="20"/>
        </w:rPr>
        <w:t xml:space="preserve">(a) that technique is determined by giving special consideration to the criteria listed in Annex III; and</w:t>
      </w:r>
    </w:p>
    <w:p>
      <w:pPr>
        <w:pStyle w:val="0"/>
        <w:spacing w:before="200" w:line-rule="auto"/>
        <w:ind w:firstLine="540"/>
        <w:jc w:val="both"/>
      </w:pPr>
      <w:r>
        <w:rPr>
          <w:sz w:val="20"/>
        </w:rPr>
        <w:t xml:space="preserve">(b) the requirements of Article 15 are complied with.</w:t>
      </w:r>
    </w:p>
    <w:p>
      <w:pPr>
        <w:pStyle w:val="0"/>
        <w:spacing w:before="200" w:line-rule="auto"/>
        <w:ind w:firstLine="540"/>
        <w:jc w:val="both"/>
      </w:pPr>
      <w:r>
        <w:rPr>
          <w:sz w:val="20"/>
        </w:rPr>
        <w:t xml:space="preserve">Where the BAT conclusions referred to in the first subparagraph do not contain emission levels associated with the best available techniques, the competent authority shall ensure that the technique referred to in the first subparagraph ensures a level of environmental protection equivalent to the best available techniques described in the BAT conclusions.</w:t>
      </w:r>
    </w:p>
    <w:p>
      <w:pPr>
        <w:pStyle w:val="0"/>
        <w:spacing w:before="200" w:line-rule="auto"/>
        <w:ind w:firstLine="540"/>
        <w:jc w:val="both"/>
      </w:pPr>
      <w:r>
        <w:rPr>
          <w:sz w:val="20"/>
        </w:rPr>
        <w:t xml:space="preserve">6. Where an activity or a type of production process carried out within an installation is not covered by any of the BAT conclusions or where those conclusions do not address all the potential environmental effects of the activity or process, the competent authority shall, after prior consultations with the operator, set the permit conditions on the basis of the best available techniques that it has determined for the activities or processes concerned, by giving special consideration to the criteria listed in Annex III.</w:t>
      </w:r>
    </w:p>
    <w:p>
      <w:pPr>
        <w:pStyle w:val="0"/>
        <w:spacing w:before="200" w:line-rule="auto"/>
        <w:ind w:firstLine="540"/>
        <w:jc w:val="both"/>
      </w:pPr>
      <w:r>
        <w:rPr>
          <w:sz w:val="20"/>
        </w:rPr>
        <w:t xml:space="preserve">7. For installations referred to in point 6.6 of Annex I, paragraphs 1 to 6 of this Article shall apply without prejudice to the legislation relating to animal welfare.</w:t>
      </w:r>
    </w:p>
    <w:p>
      <w:pPr>
        <w:pStyle w:val="0"/>
        <w:jc w:val="center"/>
      </w:pPr>
      <w:r>
        <w:rPr>
          <w:sz w:val="20"/>
        </w:rPr>
      </w:r>
    </w:p>
    <w:p>
      <w:pPr>
        <w:pStyle w:val="0"/>
        <w:outlineLvl w:val="2"/>
        <w:jc w:val="center"/>
      </w:pPr>
      <w:r>
        <w:rPr>
          <w:sz w:val="20"/>
        </w:rPr>
        <w:t xml:space="preserve">Article 15</w:t>
      </w:r>
    </w:p>
    <w:p>
      <w:pPr>
        <w:pStyle w:val="0"/>
        <w:jc w:val="center"/>
      </w:pPr>
      <w:r>
        <w:rPr>
          <w:sz w:val="20"/>
        </w:rPr>
      </w:r>
    </w:p>
    <w:p>
      <w:pPr>
        <w:pStyle w:val="0"/>
        <w:jc w:val="center"/>
      </w:pPr>
      <w:r>
        <w:rPr>
          <w:sz w:val="20"/>
        </w:rPr>
        <w:t xml:space="preserve">Emission limit values, equivalent parameters</w:t>
      </w:r>
    </w:p>
    <w:p>
      <w:pPr>
        <w:pStyle w:val="0"/>
        <w:jc w:val="center"/>
      </w:pPr>
      <w:r>
        <w:rPr>
          <w:sz w:val="20"/>
        </w:rPr>
        <w:t xml:space="preserve">and technical measures</w:t>
      </w:r>
    </w:p>
    <w:p>
      <w:pPr>
        <w:pStyle w:val="0"/>
        <w:ind w:firstLine="540"/>
        <w:jc w:val="both"/>
      </w:pPr>
      <w:r>
        <w:rPr>
          <w:sz w:val="20"/>
        </w:rPr>
      </w:r>
    </w:p>
    <w:p>
      <w:pPr>
        <w:pStyle w:val="0"/>
        <w:ind w:firstLine="540"/>
        <w:jc w:val="both"/>
      </w:pPr>
      <w:r>
        <w:rPr>
          <w:sz w:val="20"/>
        </w:rPr>
        <w:t xml:space="preserve">1. The emission limit values for polluting substances shall apply at the point where the emissions leave the installation, and any dilution prior to that point shall be disregarded when determining those values.</w:t>
      </w:r>
    </w:p>
    <w:p>
      <w:pPr>
        <w:pStyle w:val="0"/>
        <w:spacing w:before="200" w:line-rule="auto"/>
        <w:ind w:firstLine="540"/>
        <w:jc w:val="both"/>
      </w:pPr>
      <w:r>
        <w:rPr>
          <w:sz w:val="20"/>
        </w:rPr>
        <w:t xml:space="preserve">With regard to indirect releases of polluting substances into water, the effect of a water treatment plant may be taken into account when determining the emission limit values of the installation concerned, provided that an equivalent level of protection of the environment as a whole is guaranteed and provided this does not lead to higher levels of pollution in the environment.</w:t>
      </w:r>
    </w:p>
    <w:p>
      <w:pPr>
        <w:pStyle w:val="0"/>
        <w:spacing w:before="200" w:line-rule="auto"/>
        <w:ind w:firstLine="540"/>
        <w:jc w:val="both"/>
      </w:pPr>
      <w:r>
        <w:rPr>
          <w:sz w:val="20"/>
        </w:rPr>
        <w:t xml:space="preserve">2. Without prejudice to Article 18, the emission limit values and the equivalent parameters and technical measures referred to in Article 14 (1) and (2) shall be based on the best available techniques, without prescribing the use of any technique or specific technology.</w:t>
      </w:r>
    </w:p>
    <w:p>
      <w:pPr>
        <w:pStyle w:val="0"/>
        <w:spacing w:before="200" w:line-rule="auto"/>
        <w:ind w:firstLine="540"/>
        <w:jc w:val="both"/>
      </w:pPr>
      <w:r>
        <w:rPr>
          <w:sz w:val="20"/>
        </w:rPr>
        <w:t xml:space="preserve">3. The competent authority shall set emission limit values that ensure that, under normal operating conditions, emissions do not exceed the emission levels associated with the best available techniques as laid down in the decisions on BAT conclusions referred to in Article 13 (5) through either of the following:</w:t>
      </w:r>
    </w:p>
    <w:p>
      <w:pPr>
        <w:pStyle w:val="0"/>
        <w:spacing w:before="200" w:line-rule="auto"/>
        <w:ind w:firstLine="540"/>
        <w:jc w:val="both"/>
      </w:pPr>
      <w:r>
        <w:rPr>
          <w:sz w:val="20"/>
        </w:rPr>
        <w:t xml:space="preserve">(a) setting emission limit values that do not exceed the emission levels associated with the best available techniques. Those emission limit values shall be expressed for the same or shorter periods of time and under the same reference conditions as those emission levels associated with the best available techniques; or</w:t>
      </w:r>
    </w:p>
    <w:p>
      <w:pPr>
        <w:pStyle w:val="0"/>
        <w:spacing w:before="200" w:line-rule="auto"/>
        <w:ind w:firstLine="540"/>
        <w:jc w:val="both"/>
      </w:pPr>
      <w:r>
        <w:rPr>
          <w:sz w:val="20"/>
        </w:rPr>
        <w:t xml:space="preserve">(b) setting different emission limit values than those referred to under point (a) in terms of values, periods of time and reference conditions.</w:t>
      </w:r>
    </w:p>
    <w:p>
      <w:pPr>
        <w:pStyle w:val="0"/>
        <w:spacing w:before="200" w:line-rule="auto"/>
        <w:ind w:firstLine="540"/>
        <w:jc w:val="both"/>
      </w:pPr>
      <w:r>
        <w:rPr>
          <w:sz w:val="20"/>
        </w:rPr>
        <w:t xml:space="preserve">Where point (b) is applied, the competent authority shall, at least annually, assess the results of emission monitoring in order to ensure that emissions under normal operating conditions have not exceeded the emission levels associated with the best available techniques.</w:t>
      </w:r>
    </w:p>
    <w:p>
      <w:pPr>
        <w:pStyle w:val="0"/>
        <w:spacing w:before="200" w:line-rule="auto"/>
        <w:ind w:firstLine="540"/>
        <w:jc w:val="both"/>
      </w:pPr>
      <w:r>
        <w:rPr>
          <w:sz w:val="20"/>
        </w:rPr>
        <w:t xml:space="preserve">4. By way of derogation from paragraph 3, and without prejudice to Article 18, the competent authority may, in specific cases, set less strict emission limit values. Such a derogation may apply only where an assessment shows that the achievement of emission levels associated with the best available techniques as described in BAT conclusions would lead to disproportionately higher costs compared to the environmental benefits due to:</w:t>
      </w:r>
    </w:p>
    <w:p>
      <w:pPr>
        <w:pStyle w:val="0"/>
        <w:spacing w:before="200" w:line-rule="auto"/>
        <w:ind w:firstLine="540"/>
        <w:jc w:val="both"/>
      </w:pPr>
      <w:r>
        <w:rPr>
          <w:sz w:val="20"/>
        </w:rPr>
        <w:t xml:space="preserve">(a) the geographical location or the local environmental conditions of the installation concerned; or</w:t>
      </w:r>
    </w:p>
    <w:p>
      <w:pPr>
        <w:pStyle w:val="0"/>
        <w:spacing w:before="200" w:line-rule="auto"/>
        <w:ind w:firstLine="540"/>
        <w:jc w:val="both"/>
      </w:pPr>
      <w:r>
        <w:rPr>
          <w:sz w:val="20"/>
        </w:rPr>
        <w:t xml:space="preserve">(b) the technical characteristics of the installation concerned.</w:t>
      </w:r>
    </w:p>
    <w:p>
      <w:pPr>
        <w:pStyle w:val="0"/>
        <w:spacing w:before="200" w:line-rule="auto"/>
        <w:ind w:firstLine="540"/>
        <w:jc w:val="both"/>
      </w:pPr>
      <w:r>
        <w:rPr>
          <w:sz w:val="20"/>
        </w:rPr>
        <w:t xml:space="preserve">The competent authority shall document in an annex to the permit conditions the reasons for the application of the first subparagraph including the result of the assessment and the justification for the conditions imposed.</w:t>
      </w:r>
    </w:p>
    <w:p>
      <w:pPr>
        <w:pStyle w:val="0"/>
        <w:spacing w:before="200" w:line-rule="auto"/>
        <w:ind w:firstLine="540"/>
        <w:jc w:val="both"/>
      </w:pPr>
      <w:r>
        <w:rPr>
          <w:sz w:val="20"/>
        </w:rPr>
        <w:t xml:space="preserve">The emission limit values set in accordance with the first subparagraph shall, however, not exceed the emission limit values set out in the Annexes to this Directive, where applicable.</w:t>
      </w:r>
    </w:p>
    <w:p>
      <w:pPr>
        <w:pStyle w:val="0"/>
        <w:spacing w:before="200" w:line-rule="auto"/>
        <w:ind w:firstLine="540"/>
        <w:jc w:val="both"/>
      </w:pPr>
      <w:r>
        <w:rPr>
          <w:sz w:val="20"/>
        </w:rPr>
        <w:t xml:space="preserve">The competent authority shall in any case ensure that no significant pollution is caused and that a high level of protection of the environment as a whole is achieved.</w:t>
      </w:r>
    </w:p>
    <w:p>
      <w:pPr>
        <w:pStyle w:val="0"/>
        <w:spacing w:before="200" w:line-rule="auto"/>
        <w:ind w:firstLine="540"/>
        <w:jc w:val="both"/>
      </w:pPr>
      <w:r>
        <w:rPr>
          <w:sz w:val="20"/>
        </w:rPr>
        <w:t xml:space="preserve">On the basis of information provided by Member States in accordance with Article 72 (1), in particular concerning the application of this paragraph, the Commission may, where necessary, assess and further clarify, through guidance, the criteria to be taken into account for the application of this paragraph.</w:t>
      </w:r>
    </w:p>
    <w:p>
      <w:pPr>
        <w:pStyle w:val="0"/>
        <w:spacing w:before="200" w:line-rule="auto"/>
        <w:ind w:firstLine="540"/>
        <w:jc w:val="both"/>
      </w:pPr>
      <w:r>
        <w:rPr>
          <w:sz w:val="20"/>
        </w:rPr>
        <w:t xml:space="preserve">The competent authority shall re-assess the application of the first subparagraph as part of each reconsideration of the permit conditions pursuant to Article 21.</w:t>
      </w:r>
    </w:p>
    <w:p>
      <w:pPr>
        <w:pStyle w:val="0"/>
        <w:spacing w:before="200" w:line-rule="auto"/>
        <w:ind w:firstLine="540"/>
        <w:jc w:val="both"/>
      </w:pPr>
      <w:r>
        <w:rPr>
          <w:sz w:val="20"/>
        </w:rPr>
        <w:t xml:space="preserve">5. The competent authority may grant temporary derogations from the requirements of paragraphs 2 and 3 of this Article and from Article 11 (a) and (b) for the testing and use of emerging techniques for a total period of time not exceeding 9 months, provided that after the period specified, either the technique is stopped or the activity achieves at least the emission levels associated with the best available techniques.</w:t>
      </w:r>
    </w:p>
    <w:p>
      <w:pPr>
        <w:pStyle w:val="0"/>
        <w:jc w:val="center"/>
      </w:pPr>
      <w:r>
        <w:rPr>
          <w:sz w:val="20"/>
        </w:rPr>
      </w:r>
    </w:p>
    <w:p>
      <w:pPr>
        <w:pStyle w:val="0"/>
        <w:outlineLvl w:val="2"/>
        <w:jc w:val="center"/>
      </w:pPr>
      <w:r>
        <w:rPr>
          <w:sz w:val="20"/>
        </w:rPr>
        <w:t xml:space="preserve">Article 16</w:t>
      </w:r>
    </w:p>
    <w:p>
      <w:pPr>
        <w:pStyle w:val="0"/>
        <w:jc w:val="center"/>
      </w:pPr>
      <w:r>
        <w:rPr>
          <w:sz w:val="20"/>
        </w:rPr>
      </w:r>
    </w:p>
    <w:p>
      <w:pPr>
        <w:pStyle w:val="0"/>
        <w:jc w:val="center"/>
      </w:pPr>
      <w:r>
        <w:rPr>
          <w:sz w:val="20"/>
        </w:rPr>
        <w:t xml:space="preserve">Monitoring requirements</w:t>
      </w:r>
    </w:p>
    <w:p>
      <w:pPr>
        <w:pStyle w:val="0"/>
        <w:ind w:firstLine="540"/>
        <w:jc w:val="both"/>
      </w:pPr>
      <w:r>
        <w:rPr>
          <w:sz w:val="20"/>
        </w:rPr>
      </w:r>
    </w:p>
    <w:p>
      <w:pPr>
        <w:pStyle w:val="0"/>
        <w:ind w:firstLine="540"/>
        <w:jc w:val="both"/>
      </w:pPr>
      <w:r>
        <w:rPr>
          <w:sz w:val="20"/>
        </w:rPr>
        <w:t xml:space="preserve">1. The monitoring requirements referred to in Article 14 (1) (c) shall, where applicable, be based on the conclusions on monitoring as described in the BAT conclusions.</w:t>
      </w:r>
    </w:p>
    <w:p>
      <w:pPr>
        <w:pStyle w:val="0"/>
        <w:spacing w:before="200" w:line-rule="auto"/>
        <w:ind w:firstLine="540"/>
        <w:jc w:val="both"/>
      </w:pPr>
      <w:r>
        <w:rPr>
          <w:sz w:val="20"/>
        </w:rPr>
        <w:t xml:space="preserve">2. The frequency of the periodic monitoring referred to in Article 14 (1) (e) shall be determined by the competent authority in a permit for each individual installation or in general binding rules.</w:t>
      </w:r>
    </w:p>
    <w:p>
      <w:pPr>
        <w:pStyle w:val="0"/>
        <w:spacing w:before="200" w:line-rule="auto"/>
        <w:ind w:firstLine="540"/>
        <w:jc w:val="both"/>
      </w:pPr>
      <w:r>
        <w:rPr>
          <w:sz w:val="20"/>
        </w:rPr>
        <w:t xml:space="preserve">Without prejudice to the first subparagraph, periodic monitoring shall be carried out at least once every 5 years for groundwater and 10 years for soil, unless such monitoring is based on a systematic appraisal of the risk of contamination.</w:t>
      </w:r>
    </w:p>
    <w:p>
      <w:pPr>
        <w:pStyle w:val="0"/>
        <w:jc w:val="center"/>
      </w:pPr>
      <w:r>
        <w:rPr>
          <w:sz w:val="20"/>
        </w:rPr>
      </w:r>
    </w:p>
    <w:p>
      <w:pPr>
        <w:pStyle w:val="0"/>
        <w:outlineLvl w:val="2"/>
        <w:jc w:val="center"/>
      </w:pPr>
      <w:r>
        <w:rPr>
          <w:sz w:val="20"/>
        </w:rPr>
        <w:t xml:space="preserve">Article 17</w:t>
      </w:r>
    </w:p>
    <w:p>
      <w:pPr>
        <w:pStyle w:val="0"/>
        <w:jc w:val="center"/>
      </w:pPr>
      <w:r>
        <w:rPr>
          <w:sz w:val="20"/>
        </w:rPr>
      </w:r>
    </w:p>
    <w:p>
      <w:pPr>
        <w:pStyle w:val="0"/>
        <w:jc w:val="center"/>
      </w:pPr>
      <w:r>
        <w:rPr>
          <w:sz w:val="20"/>
        </w:rPr>
        <w:t xml:space="preserve">General binding rules for activities listed in Annex I</w:t>
      </w:r>
    </w:p>
    <w:p>
      <w:pPr>
        <w:pStyle w:val="0"/>
        <w:ind w:firstLine="540"/>
        <w:jc w:val="both"/>
      </w:pPr>
      <w:r>
        <w:rPr>
          <w:sz w:val="20"/>
        </w:rPr>
      </w:r>
    </w:p>
    <w:p>
      <w:pPr>
        <w:pStyle w:val="0"/>
        <w:ind w:firstLine="540"/>
        <w:jc w:val="both"/>
      </w:pPr>
      <w:r>
        <w:rPr>
          <w:sz w:val="20"/>
        </w:rPr>
        <w:t xml:space="preserve">1. When adopting general binding rules, Member States shall ensure an integrated approach and a high level of environmental protection equivalent to that achievable with individual permit conditions.</w:t>
      </w:r>
    </w:p>
    <w:p>
      <w:pPr>
        <w:pStyle w:val="0"/>
        <w:spacing w:before="200" w:line-rule="auto"/>
        <w:ind w:firstLine="540"/>
        <w:jc w:val="both"/>
      </w:pPr>
      <w:r>
        <w:rPr>
          <w:sz w:val="20"/>
        </w:rPr>
        <w:t xml:space="preserve">2. General binding rules shall be based on the best available techniques, without prescribing the use of any technique or specific technology in order to ensure compliance with Articles 14 and 15.</w:t>
      </w:r>
    </w:p>
    <w:p>
      <w:pPr>
        <w:pStyle w:val="0"/>
        <w:spacing w:before="200" w:line-rule="auto"/>
        <w:ind w:firstLine="540"/>
        <w:jc w:val="both"/>
      </w:pPr>
      <w:r>
        <w:rPr>
          <w:sz w:val="20"/>
        </w:rPr>
        <w:t xml:space="preserve">3. Member States shall ensure that general binding rules are updated to take into account developments in best available techniques and in order to ensure compliance with Article 21.</w:t>
      </w:r>
    </w:p>
    <w:p>
      <w:pPr>
        <w:pStyle w:val="0"/>
        <w:spacing w:before="200" w:line-rule="auto"/>
        <w:ind w:firstLine="540"/>
        <w:jc w:val="both"/>
      </w:pPr>
      <w:r>
        <w:rPr>
          <w:sz w:val="20"/>
        </w:rPr>
        <w:t xml:space="preserve">4. General binding rules adopted in accordance with paragraphs 1 to 3 shall contain a reference to this Directive or be accompanied by such a reference on the occasion of their official publication.</w:t>
      </w:r>
    </w:p>
    <w:p>
      <w:pPr>
        <w:pStyle w:val="0"/>
        <w:jc w:val="center"/>
      </w:pPr>
      <w:r>
        <w:rPr>
          <w:sz w:val="20"/>
        </w:rPr>
      </w:r>
    </w:p>
    <w:p>
      <w:pPr>
        <w:pStyle w:val="0"/>
        <w:outlineLvl w:val="2"/>
        <w:jc w:val="center"/>
      </w:pPr>
      <w:r>
        <w:rPr>
          <w:sz w:val="20"/>
        </w:rPr>
        <w:t xml:space="preserve">Article 18</w:t>
      </w:r>
    </w:p>
    <w:p>
      <w:pPr>
        <w:pStyle w:val="0"/>
        <w:jc w:val="center"/>
      </w:pPr>
      <w:r>
        <w:rPr>
          <w:sz w:val="20"/>
        </w:rPr>
      </w:r>
    </w:p>
    <w:p>
      <w:pPr>
        <w:pStyle w:val="0"/>
        <w:jc w:val="center"/>
      </w:pPr>
      <w:r>
        <w:rPr>
          <w:sz w:val="20"/>
        </w:rPr>
        <w:t xml:space="preserve">Environmental quality standards</w:t>
      </w:r>
    </w:p>
    <w:p>
      <w:pPr>
        <w:pStyle w:val="0"/>
        <w:ind w:firstLine="540"/>
        <w:jc w:val="both"/>
      </w:pPr>
      <w:r>
        <w:rPr>
          <w:sz w:val="20"/>
        </w:rPr>
      </w:r>
    </w:p>
    <w:p>
      <w:pPr>
        <w:pStyle w:val="0"/>
        <w:ind w:firstLine="540"/>
        <w:jc w:val="both"/>
      </w:pPr>
      <w:r>
        <w:rPr>
          <w:sz w:val="20"/>
        </w:rPr>
        <w:t xml:space="preserve">Where an environmental quality standard requires stricter conditions than those achievable by the use of the best available techniques, additional measures shall be included in the permit, without prejudice to other measures which may be taken to comply with environmental quality standards.</w:t>
      </w:r>
    </w:p>
    <w:p>
      <w:pPr>
        <w:pStyle w:val="0"/>
        <w:jc w:val="center"/>
      </w:pPr>
      <w:r>
        <w:rPr>
          <w:sz w:val="20"/>
        </w:rPr>
      </w:r>
    </w:p>
    <w:p>
      <w:pPr>
        <w:pStyle w:val="0"/>
        <w:outlineLvl w:val="2"/>
        <w:jc w:val="center"/>
      </w:pPr>
      <w:r>
        <w:rPr>
          <w:sz w:val="20"/>
        </w:rPr>
        <w:t xml:space="preserve">Article 19</w:t>
      </w:r>
    </w:p>
    <w:p>
      <w:pPr>
        <w:pStyle w:val="0"/>
        <w:jc w:val="center"/>
      </w:pPr>
      <w:r>
        <w:rPr>
          <w:sz w:val="20"/>
        </w:rPr>
      </w:r>
    </w:p>
    <w:p>
      <w:pPr>
        <w:pStyle w:val="0"/>
        <w:jc w:val="center"/>
      </w:pPr>
      <w:r>
        <w:rPr>
          <w:sz w:val="20"/>
        </w:rPr>
        <w:t xml:space="preserve">Developments in best available techniques</w:t>
      </w:r>
    </w:p>
    <w:p>
      <w:pPr>
        <w:pStyle w:val="0"/>
        <w:ind w:firstLine="540"/>
        <w:jc w:val="both"/>
      </w:pPr>
      <w:r>
        <w:rPr>
          <w:sz w:val="20"/>
        </w:rPr>
      </w:r>
    </w:p>
    <w:p>
      <w:pPr>
        <w:pStyle w:val="0"/>
        <w:ind w:firstLine="540"/>
        <w:jc w:val="both"/>
      </w:pPr>
      <w:r>
        <w:rPr>
          <w:sz w:val="20"/>
        </w:rPr>
        <w:t xml:space="preserve">Member States shall ensure that the competent authority follows or is informed of developments in best available techniques and of the publication of any new or updated BAT conclusions and shall make that information available to the public concerned.</w:t>
      </w:r>
    </w:p>
    <w:p>
      <w:pPr>
        <w:pStyle w:val="0"/>
        <w:jc w:val="center"/>
      </w:pPr>
      <w:r>
        <w:rPr>
          <w:sz w:val="20"/>
        </w:rPr>
      </w:r>
    </w:p>
    <w:p>
      <w:pPr>
        <w:pStyle w:val="0"/>
        <w:outlineLvl w:val="2"/>
        <w:jc w:val="center"/>
      </w:pPr>
      <w:r>
        <w:rPr>
          <w:sz w:val="20"/>
        </w:rPr>
        <w:t xml:space="preserve">Article 20</w:t>
      </w:r>
    </w:p>
    <w:p>
      <w:pPr>
        <w:pStyle w:val="0"/>
        <w:jc w:val="center"/>
      </w:pPr>
      <w:r>
        <w:rPr>
          <w:sz w:val="20"/>
        </w:rPr>
      </w:r>
    </w:p>
    <w:p>
      <w:pPr>
        <w:pStyle w:val="0"/>
        <w:jc w:val="center"/>
      </w:pPr>
      <w:r>
        <w:rPr>
          <w:sz w:val="20"/>
        </w:rPr>
        <w:t xml:space="preserve">Changes by operators to installations</w:t>
      </w:r>
    </w:p>
    <w:p>
      <w:pPr>
        <w:pStyle w:val="0"/>
        <w:ind w:firstLine="540"/>
        <w:jc w:val="both"/>
      </w:pPr>
      <w:r>
        <w:rPr>
          <w:sz w:val="20"/>
        </w:rPr>
      </w:r>
    </w:p>
    <w:p>
      <w:pPr>
        <w:pStyle w:val="0"/>
        <w:ind w:firstLine="540"/>
        <w:jc w:val="both"/>
      </w:pPr>
      <w:r>
        <w:rPr>
          <w:sz w:val="20"/>
        </w:rPr>
        <w:t xml:space="preserve">1. Member States shall take the necessary measures to ensure that the operator informs the competent authority of any planned change in the nature or functioning, or an extension of the installation which may have consequences for the environment. Where appropriate, the competent authority shall update the permit.</w:t>
      </w:r>
    </w:p>
    <w:p>
      <w:pPr>
        <w:pStyle w:val="0"/>
        <w:spacing w:before="200" w:line-rule="auto"/>
        <w:ind w:firstLine="540"/>
        <w:jc w:val="both"/>
      </w:pPr>
      <w:r>
        <w:rPr>
          <w:sz w:val="20"/>
        </w:rPr>
        <w:t xml:space="preserve">2. Member States shall take the necessary measures to ensure that no substantial change planned by the operator is made without a permit granted in accordance with this Directive.</w:t>
      </w:r>
    </w:p>
    <w:p>
      <w:pPr>
        <w:pStyle w:val="0"/>
        <w:spacing w:before="200" w:line-rule="auto"/>
        <w:ind w:firstLine="540"/>
        <w:jc w:val="both"/>
      </w:pPr>
      <w:r>
        <w:rPr>
          <w:sz w:val="20"/>
        </w:rPr>
        <w:t xml:space="preserve">The application for a permit and the decision by the competent authority shall cover those parts of the installation and those details listed in Article 12 which may be affected by the substantial change.</w:t>
      </w:r>
    </w:p>
    <w:p>
      <w:pPr>
        <w:pStyle w:val="0"/>
        <w:spacing w:before="200" w:line-rule="auto"/>
        <w:ind w:firstLine="540"/>
        <w:jc w:val="both"/>
      </w:pPr>
      <w:r>
        <w:rPr>
          <w:sz w:val="20"/>
        </w:rPr>
        <w:t xml:space="preserve">3. Any change in the nature or functioning or an extension of an installation shall be deemed to be substantial if the change or extension in itself reaches the capacity thresholds set out in Annex I.</w:t>
      </w:r>
    </w:p>
    <w:p>
      <w:pPr>
        <w:pStyle w:val="0"/>
        <w:jc w:val="center"/>
      </w:pPr>
      <w:r>
        <w:rPr>
          <w:sz w:val="20"/>
        </w:rPr>
      </w:r>
    </w:p>
    <w:p>
      <w:pPr>
        <w:pStyle w:val="0"/>
        <w:outlineLvl w:val="2"/>
        <w:jc w:val="center"/>
      </w:pPr>
      <w:r>
        <w:rPr>
          <w:sz w:val="20"/>
        </w:rPr>
        <w:t xml:space="preserve">Article 21</w:t>
      </w:r>
    </w:p>
    <w:p>
      <w:pPr>
        <w:pStyle w:val="0"/>
        <w:jc w:val="center"/>
      </w:pPr>
      <w:r>
        <w:rPr>
          <w:sz w:val="20"/>
        </w:rPr>
      </w:r>
    </w:p>
    <w:p>
      <w:pPr>
        <w:pStyle w:val="0"/>
        <w:jc w:val="center"/>
      </w:pPr>
      <w:r>
        <w:rPr>
          <w:sz w:val="20"/>
        </w:rPr>
        <w:t xml:space="preserve">Reconsideration and updating of permit conditions</w:t>
      </w:r>
    </w:p>
    <w:p>
      <w:pPr>
        <w:pStyle w:val="0"/>
        <w:jc w:val="center"/>
      </w:pPr>
      <w:r>
        <w:rPr>
          <w:sz w:val="20"/>
        </w:rPr>
        <w:t xml:space="preserve">by the competent authority</w:t>
      </w:r>
    </w:p>
    <w:p>
      <w:pPr>
        <w:pStyle w:val="0"/>
        <w:ind w:firstLine="540"/>
        <w:jc w:val="both"/>
      </w:pPr>
      <w:r>
        <w:rPr>
          <w:sz w:val="20"/>
        </w:rPr>
      </w:r>
    </w:p>
    <w:p>
      <w:pPr>
        <w:pStyle w:val="0"/>
        <w:ind w:firstLine="540"/>
        <w:jc w:val="both"/>
      </w:pPr>
      <w:r>
        <w:rPr>
          <w:sz w:val="20"/>
        </w:rPr>
        <w:t xml:space="preserve">1. Member States shall take the necessary measures to ensure that the competent authority periodically reconsiders in accordance with paragraphs 2 to 5 all permit conditions and, where necessary to ensure compliance with this Directive, updates those conditions.</w:t>
      </w:r>
    </w:p>
    <w:p>
      <w:pPr>
        <w:pStyle w:val="0"/>
        <w:spacing w:before="200" w:line-rule="auto"/>
        <w:ind w:firstLine="540"/>
        <w:jc w:val="both"/>
      </w:pPr>
      <w:r>
        <w:rPr>
          <w:sz w:val="20"/>
        </w:rPr>
        <w:t xml:space="preserve">2. At the request of the competent authority, the operator shall submit all the information necessary for the purpose of reconsidering the permit conditions, including, in particular, results of emission monitoring and other data, that enables a comparison of the operation of the installation with the best available techniques described in the applicable BAT conclusions and with the emission levels associated with the best available techniques.</w:t>
      </w:r>
    </w:p>
    <w:p>
      <w:pPr>
        <w:pStyle w:val="0"/>
        <w:spacing w:before="200" w:line-rule="auto"/>
        <w:ind w:firstLine="540"/>
        <w:jc w:val="both"/>
      </w:pPr>
      <w:r>
        <w:rPr>
          <w:sz w:val="20"/>
        </w:rPr>
        <w:t xml:space="preserve">When reconsidering permit conditions, the competent authority shall use any information resulting from monitoring or inspections.</w:t>
      </w:r>
    </w:p>
    <w:p>
      <w:pPr>
        <w:pStyle w:val="0"/>
        <w:spacing w:before="200" w:line-rule="auto"/>
        <w:ind w:firstLine="540"/>
        <w:jc w:val="both"/>
      </w:pPr>
      <w:r>
        <w:rPr>
          <w:sz w:val="20"/>
        </w:rPr>
        <w:t xml:space="preserve">3. Within 4 years of publication of decisions on BAT conclusions in accordance with Article 13 (5) relating to the main activity of an installation, the competent authority shall ensure that:</w:t>
      </w:r>
    </w:p>
    <w:p>
      <w:pPr>
        <w:pStyle w:val="0"/>
        <w:spacing w:before="200" w:line-rule="auto"/>
        <w:ind w:firstLine="540"/>
        <w:jc w:val="both"/>
      </w:pPr>
      <w:r>
        <w:rPr>
          <w:sz w:val="20"/>
        </w:rPr>
        <w:t xml:space="preserve">(a) all the permit conditions for the installation concerned are reconsidered and, if necessary, updated to ensure compliance with this Directive, in particular, with Article 15 (3) and (4), where applicable;</w:t>
      </w:r>
    </w:p>
    <w:p>
      <w:pPr>
        <w:pStyle w:val="0"/>
        <w:spacing w:before="200" w:line-rule="auto"/>
        <w:ind w:firstLine="540"/>
        <w:jc w:val="both"/>
      </w:pPr>
      <w:r>
        <w:rPr>
          <w:sz w:val="20"/>
        </w:rPr>
        <w:t xml:space="preserve">(b) the installation complies with those permit conditions.</w:t>
      </w:r>
    </w:p>
    <w:p>
      <w:pPr>
        <w:pStyle w:val="0"/>
        <w:spacing w:before="200" w:line-rule="auto"/>
        <w:ind w:firstLine="540"/>
        <w:jc w:val="both"/>
      </w:pPr>
      <w:r>
        <w:rPr>
          <w:sz w:val="20"/>
        </w:rPr>
        <w:t xml:space="preserve">The reconsideration shall take into account all the new or updated BAT conclusions applicable to the installation and adopted in accordance with Article 13 (5) since the permit was granted or last reconsidered.</w:t>
      </w:r>
    </w:p>
    <w:p>
      <w:pPr>
        <w:pStyle w:val="0"/>
        <w:spacing w:before="200" w:line-rule="auto"/>
        <w:ind w:firstLine="540"/>
        <w:jc w:val="both"/>
      </w:pPr>
      <w:r>
        <w:rPr>
          <w:sz w:val="20"/>
        </w:rPr>
        <w:t xml:space="preserve">4. Where an installation is not covered by any of the BAT conclusions, the permit conditions shall be reconsidered and, if necessary, updated where developments in the best available techniques allow for the significant reduction of emissions.</w:t>
      </w:r>
    </w:p>
    <w:p>
      <w:pPr>
        <w:pStyle w:val="0"/>
        <w:spacing w:before="200" w:line-rule="auto"/>
        <w:ind w:firstLine="540"/>
        <w:jc w:val="both"/>
      </w:pPr>
      <w:r>
        <w:rPr>
          <w:sz w:val="20"/>
        </w:rPr>
        <w:t xml:space="preserve">5. The permit conditions shall be reconsidered and, where necessary, updated at least in the following cases:</w:t>
      </w:r>
    </w:p>
    <w:p>
      <w:pPr>
        <w:pStyle w:val="0"/>
        <w:spacing w:before="200" w:line-rule="auto"/>
        <w:ind w:firstLine="540"/>
        <w:jc w:val="both"/>
      </w:pPr>
      <w:r>
        <w:rPr>
          <w:sz w:val="20"/>
        </w:rPr>
        <w:t xml:space="preserve">(a) the pollution caused by the installation is of such significance that the existing emission limit values of the permit need to be revised or new such values need to be included in the permit;</w:t>
      </w:r>
    </w:p>
    <w:p>
      <w:pPr>
        <w:pStyle w:val="0"/>
        <w:spacing w:before="200" w:line-rule="auto"/>
        <w:ind w:firstLine="540"/>
        <w:jc w:val="both"/>
      </w:pPr>
      <w:r>
        <w:rPr>
          <w:sz w:val="20"/>
        </w:rPr>
        <w:t xml:space="preserve">(b) the operational safety requires other techniques to be used;</w:t>
      </w:r>
    </w:p>
    <w:p>
      <w:pPr>
        <w:pStyle w:val="0"/>
        <w:spacing w:before="200" w:line-rule="auto"/>
        <w:ind w:firstLine="540"/>
        <w:jc w:val="both"/>
      </w:pPr>
      <w:r>
        <w:rPr>
          <w:sz w:val="20"/>
        </w:rPr>
        <w:t xml:space="preserve">(c) where it is necessary to comply with a new or revised environmental quality standard in accordance with Article 18.</w:t>
      </w:r>
    </w:p>
    <w:p>
      <w:pPr>
        <w:pStyle w:val="0"/>
        <w:jc w:val="center"/>
      </w:pPr>
      <w:r>
        <w:rPr>
          <w:sz w:val="20"/>
        </w:rPr>
      </w:r>
    </w:p>
    <w:p>
      <w:pPr>
        <w:pStyle w:val="0"/>
        <w:outlineLvl w:val="2"/>
        <w:jc w:val="center"/>
      </w:pPr>
      <w:r>
        <w:rPr>
          <w:sz w:val="20"/>
        </w:rPr>
        <w:t xml:space="preserve">Article 22</w:t>
      </w:r>
    </w:p>
    <w:p>
      <w:pPr>
        <w:pStyle w:val="0"/>
        <w:jc w:val="center"/>
      </w:pPr>
      <w:r>
        <w:rPr>
          <w:sz w:val="20"/>
        </w:rPr>
      </w:r>
    </w:p>
    <w:p>
      <w:pPr>
        <w:pStyle w:val="0"/>
        <w:jc w:val="center"/>
      </w:pPr>
      <w:r>
        <w:rPr>
          <w:sz w:val="20"/>
        </w:rPr>
        <w:t xml:space="preserve">Site closure</w:t>
      </w:r>
    </w:p>
    <w:p>
      <w:pPr>
        <w:pStyle w:val="0"/>
        <w:jc w:val="center"/>
      </w:pPr>
      <w:r>
        <w:rPr>
          <w:sz w:val="20"/>
        </w:rPr>
      </w:r>
    </w:p>
    <w:p>
      <w:pPr>
        <w:pStyle w:val="0"/>
        <w:ind w:firstLine="540"/>
        <w:jc w:val="both"/>
      </w:pPr>
      <w:r>
        <w:rPr>
          <w:sz w:val="20"/>
        </w:rPr>
        <w:t xml:space="preserve">1. Without prejudice to Directive 2000/60/EC, Directive 2004/35/EC, Directive 2006/118/EC of the European Parliament and of the Council of 12 December 2006 on the protection of groundwater against pollution and deterioration &lt;*&gt; and to relevant Union law on soil protection, the competent authority shall set permit conditions to ensure compliance with paragraphs 3 and 4 of this Article upon definitive cessation of activities.</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L 372, 27.12.2006, p. 19.</w:t>
      </w:r>
    </w:p>
    <w:p>
      <w:pPr>
        <w:pStyle w:val="0"/>
        <w:ind w:firstLine="540"/>
        <w:jc w:val="both"/>
      </w:pPr>
      <w:r>
        <w:rPr>
          <w:sz w:val="20"/>
        </w:rPr>
      </w:r>
    </w:p>
    <w:p>
      <w:pPr>
        <w:pStyle w:val="0"/>
        <w:ind w:firstLine="540"/>
        <w:jc w:val="both"/>
      </w:pPr>
      <w:r>
        <w:rPr>
          <w:sz w:val="20"/>
        </w:rPr>
        <w:t xml:space="preserve">2. Where the activity involves the use, production or release of relevant hazardous substances and having regard to the possibility of soil and groundwater contamination at the site of the installation, the operator shall prepare and submit to the competent authority a baseline report before starting operation of an installation or before a permit for an installation is updated for the first time after 7 January 2013.</w:t>
      </w:r>
    </w:p>
    <w:p>
      <w:pPr>
        <w:pStyle w:val="0"/>
        <w:spacing w:before="200" w:line-rule="auto"/>
        <w:ind w:firstLine="540"/>
        <w:jc w:val="both"/>
      </w:pPr>
      <w:r>
        <w:rPr>
          <w:sz w:val="20"/>
        </w:rPr>
        <w:t xml:space="preserve">The baseline report shall contain the information necessary to determine the state of soil and groundwater contamination so as to make a quantified comparison with the state upon definitive cessation of activities provided for under paragraph 3.</w:t>
      </w:r>
    </w:p>
    <w:p>
      <w:pPr>
        <w:pStyle w:val="0"/>
        <w:spacing w:before="200" w:line-rule="auto"/>
        <w:ind w:firstLine="540"/>
        <w:jc w:val="both"/>
      </w:pPr>
      <w:r>
        <w:rPr>
          <w:sz w:val="20"/>
        </w:rPr>
        <w:t xml:space="preserve">The baseline report shall contain at least the following information:</w:t>
      </w:r>
    </w:p>
    <w:p>
      <w:pPr>
        <w:pStyle w:val="0"/>
        <w:spacing w:before="200" w:line-rule="auto"/>
        <w:ind w:firstLine="540"/>
        <w:jc w:val="both"/>
      </w:pPr>
      <w:r>
        <w:rPr>
          <w:sz w:val="20"/>
        </w:rPr>
        <w:t xml:space="preserve">(a) information on the present use and, where available, on past uses of the site;</w:t>
      </w:r>
    </w:p>
    <w:p>
      <w:pPr>
        <w:pStyle w:val="0"/>
        <w:spacing w:before="200" w:line-rule="auto"/>
        <w:ind w:firstLine="540"/>
        <w:jc w:val="both"/>
      </w:pPr>
      <w:r>
        <w:rPr>
          <w:sz w:val="20"/>
        </w:rPr>
        <w:t xml:space="preserve">(b) where available, existing information on soil and groundwater measurements that reflect the state at the time the report is drawn up or, alternatively, new soil and groundwater measurements having regard to the possibility of soil and groundwater contamination by those hazardous substances to be used, produced or released by the installation concerned.</w:t>
      </w:r>
    </w:p>
    <w:p>
      <w:pPr>
        <w:pStyle w:val="0"/>
        <w:spacing w:before="200" w:line-rule="auto"/>
        <w:ind w:firstLine="540"/>
        <w:jc w:val="both"/>
      </w:pPr>
      <w:r>
        <w:rPr>
          <w:sz w:val="20"/>
        </w:rPr>
        <w:t xml:space="preserve">Where information produced pursuant to other national or Union law fulfils the requirements of this paragraph that information may be included in, or attached to, the submitted baseline report.</w:t>
      </w:r>
    </w:p>
    <w:p>
      <w:pPr>
        <w:pStyle w:val="0"/>
        <w:spacing w:before="200" w:line-rule="auto"/>
        <w:ind w:firstLine="540"/>
        <w:jc w:val="both"/>
      </w:pPr>
      <w:r>
        <w:rPr>
          <w:sz w:val="20"/>
        </w:rPr>
        <w:t xml:space="preserve">The Commission shall establish guidance on the content of the baseline report.</w:t>
      </w:r>
    </w:p>
    <w:p>
      <w:pPr>
        <w:pStyle w:val="0"/>
        <w:spacing w:before="200" w:line-rule="auto"/>
        <w:ind w:firstLine="540"/>
        <w:jc w:val="both"/>
      </w:pPr>
      <w:r>
        <w:rPr>
          <w:sz w:val="20"/>
        </w:rPr>
        <w:t xml:space="preserve">3. Upon definitive cessation of the activities, the operator shall assess the state of soil and groundwater contamination by relevant hazardous substances used, produced or released by the installation. Where the installation has caused significant pollution of soil or groundwater by relevant hazardous substances compared to the state established in the baseline report referred to in paragraph 2, the operator shall take the necessary measures to address that pollution so as to return the site to that state. For that purpose, the technical feasibility of such measures may be taken into account.</w:t>
      </w:r>
    </w:p>
    <w:p>
      <w:pPr>
        <w:pStyle w:val="0"/>
        <w:spacing w:before="200" w:line-rule="auto"/>
        <w:ind w:firstLine="540"/>
        <w:jc w:val="both"/>
      </w:pPr>
      <w:r>
        <w:rPr>
          <w:sz w:val="20"/>
        </w:rPr>
        <w:t xml:space="preserve">Without prejudice to the first subparagraph, upon definitive cessation of the activities, and where the contamination of soil and groundwater at the site poses a significant risk to human health or the environment as a result of the permitted activities carried out by the operator before the permit for the installation is updated for the first time after 7 January 2013 and taking into account the conditions of the site of the installation established in accordance with Article 12 (1) (d), the operator shall take the necessary actions aimed at the removal, control, containment or reduction of relevant hazardous substances, so that the site, taking into account its current or approved future use, ceases to pose such a risk.</w:t>
      </w:r>
    </w:p>
    <w:p>
      <w:pPr>
        <w:pStyle w:val="0"/>
        <w:spacing w:before="200" w:line-rule="auto"/>
        <w:ind w:firstLine="540"/>
        <w:jc w:val="both"/>
      </w:pPr>
      <w:r>
        <w:rPr>
          <w:sz w:val="20"/>
        </w:rPr>
        <w:t xml:space="preserve">4. Where the operator is not required to prepare a baseline report referred to in paragraph 2, the operator shall, upon definitive cessation of the activities, take the necessary actions aimed at the removal, control, containment or reduction of relevant hazardous substances, so that the site, taking into account its current or approved future use, ceases to pose any significant risk to human health or the environment due to the contamination of soil and groundwater as a result of the permitted activities and taking into account the conditions of the site of the installation established in accordance with Article 12 (1) (d).</w:t>
      </w:r>
    </w:p>
    <w:p>
      <w:pPr>
        <w:pStyle w:val="0"/>
        <w:jc w:val="center"/>
      </w:pPr>
      <w:r>
        <w:rPr>
          <w:sz w:val="20"/>
        </w:rPr>
      </w:r>
    </w:p>
    <w:p>
      <w:pPr>
        <w:pStyle w:val="0"/>
        <w:outlineLvl w:val="2"/>
        <w:jc w:val="center"/>
      </w:pPr>
      <w:r>
        <w:rPr>
          <w:sz w:val="20"/>
        </w:rPr>
        <w:t xml:space="preserve">Article 23</w:t>
      </w:r>
    </w:p>
    <w:p>
      <w:pPr>
        <w:pStyle w:val="0"/>
        <w:jc w:val="center"/>
      </w:pPr>
      <w:r>
        <w:rPr>
          <w:sz w:val="20"/>
        </w:rPr>
      </w:r>
    </w:p>
    <w:p>
      <w:pPr>
        <w:pStyle w:val="0"/>
        <w:jc w:val="center"/>
      </w:pPr>
      <w:r>
        <w:rPr>
          <w:sz w:val="20"/>
        </w:rPr>
        <w:t xml:space="preserve">Environmental inspections</w:t>
      </w:r>
    </w:p>
    <w:p>
      <w:pPr>
        <w:pStyle w:val="0"/>
        <w:ind w:firstLine="540"/>
        <w:jc w:val="both"/>
      </w:pPr>
      <w:r>
        <w:rPr>
          <w:sz w:val="20"/>
        </w:rPr>
      </w:r>
    </w:p>
    <w:p>
      <w:pPr>
        <w:pStyle w:val="0"/>
        <w:ind w:firstLine="540"/>
        <w:jc w:val="both"/>
      </w:pPr>
      <w:r>
        <w:rPr>
          <w:sz w:val="20"/>
        </w:rPr>
        <w:t xml:space="preserve">1. Member States shall set up a system of environmental inspections of installations addressing the examination of the full range of relevant environmental effects from the installations concerned.</w:t>
      </w:r>
    </w:p>
    <w:p>
      <w:pPr>
        <w:pStyle w:val="0"/>
        <w:spacing w:before="200" w:line-rule="auto"/>
        <w:ind w:firstLine="540"/>
        <w:jc w:val="both"/>
      </w:pPr>
      <w:r>
        <w:rPr>
          <w:sz w:val="20"/>
        </w:rPr>
        <w:t xml:space="preserve">Member States shall ensure that operators afford the competent authorities all necessary assistance to enable those authorities to carry out any site visits, to take samples and to gather any information necessary for the performance of their duties for the purposes of this Directive.</w:t>
      </w:r>
    </w:p>
    <w:p>
      <w:pPr>
        <w:pStyle w:val="0"/>
        <w:spacing w:before="200" w:line-rule="auto"/>
        <w:ind w:firstLine="540"/>
        <w:jc w:val="both"/>
      </w:pPr>
      <w:r>
        <w:rPr>
          <w:sz w:val="20"/>
        </w:rPr>
        <w:t xml:space="preserve">2. Member States shall ensure that all installations are covered by an environmental inspection plan at national, regional or local level and shall ensure that this plan is regularly reviewed and, where appropriate, updated.</w:t>
      </w:r>
    </w:p>
    <w:p>
      <w:pPr>
        <w:pStyle w:val="0"/>
        <w:spacing w:before="200" w:line-rule="auto"/>
        <w:ind w:firstLine="540"/>
        <w:jc w:val="both"/>
      </w:pPr>
      <w:r>
        <w:rPr>
          <w:sz w:val="20"/>
        </w:rPr>
        <w:t xml:space="preserve">3. Each environmental inspection plan shall include the following:</w:t>
      </w:r>
    </w:p>
    <w:p>
      <w:pPr>
        <w:pStyle w:val="0"/>
        <w:spacing w:before="200" w:line-rule="auto"/>
        <w:ind w:firstLine="540"/>
        <w:jc w:val="both"/>
      </w:pPr>
      <w:r>
        <w:rPr>
          <w:sz w:val="20"/>
        </w:rPr>
        <w:t xml:space="preserve">(a) a general assessment of relevant significant environmental issues;</w:t>
      </w:r>
    </w:p>
    <w:p>
      <w:pPr>
        <w:pStyle w:val="0"/>
        <w:spacing w:before="200" w:line-rule="auto"/>
        <w:ind w:firstLine="540"/>
        <w:jc w:val="both"/>
      </w:pPr>
      <w:r>
        <w:rPr>
          <w:sz w:val="20"/>
        </w:rPr>
        <w:t xml:space="preserve">(b) the geographical area covered by the inspection plan;</w:t>
      </w:r>
    </w:p>
    <w:p>
      <w:pPr>
        <w:pStyle w:val="0"/>
        <w:spacing w:before="200" w:line-rule="auto"/>
        <w:ind w:firstLine="540"/>
        <w:jc w:val="both"/>
      </w:pPr>
      <w:r>
        <w:rPr>
          <w:sz w:val="20"/>
        </w:rPr>
        <w:t xml:space="preserve">(c) a register of the installations covered by the plan;</w:t>
      </w:r>
    </w:p>
    <w:p>
      <w:pPr>
        <w:pStyle w:val="0"/>
        <w:spacing w:before="200" w:line-rule="auto"/>
        <w:ind w:firstLine="540"/>
        <w:jc w:val="both"/>
      </w:pPr>
      <w:r>
        <w:rPr>
          <w:sz w:val="20"/>
        </w:rPr>
        <w:t xml:space="preserve">(d) procedures for drawing up programmes for routine environmental inspections pursuant to paragraph 4;</w:t>
      </w:r>
    </w:p>
    <w:p>
      <w:pPr>
        <w:pStyle w:val="0"/>
        <w:spacing w:before="200" w:line-rule="auto"/>
        <w:ind w:firstLine="540"/>
        <w:jc w:val="both"/>
      </w:pPr>
      <w:r>
        <w:rPr>
          <w:sz w:val="20"/>
        </w:rPr>
        <w:t xml:space="preserve">(e) procedures for non-routine environmental inspections pursuant to paragraph 5;</w:t>
      </w:r>
    </w:p>
    <w:p>
      <w:pPr>
        <w:pStyle w:val="0"/>
        <w:spacing w:before="200" w:line-rule="auto"/>
        <w:ind w:firstLine="540"/>
        <w:jc w:val="both"/>
      </w:pPr>
      <w:r>
        <w:rPr>
          <w:sz w:val="20"/>
        </w:rPr>
        <w:t xml:space="preserve">(f) where necessary, provisions on the cooperation between different inspection authorities.</w:t>
      </w:r>
    </w:p>
    <w:p>
      <w:pPr>
        <w:pStyle w:val="0"/>
        <w:spacing w:before="200" w:line-rule="auto"/>
        <w:ind w:firstLine="540"/>
        <w:jc w:val="both"/>
      </w:pPr>
      <w:r>
        <w:rPr>
          <w:sz w:val="20"/>
        </w:rPr>
        <w:t xml:space="preserve">4. Based on the inspection plans, the competent authority shall regularly draw up programmes for routine environmental inspections, including the frequency of site visits for different types of installations.</w:t>
      </w:r>
    </w:p>
    <w:p>
      <w:pPr>
        <w:pStyle w:val="0"/>
        <w:spacing w:before="200" w:line-rule="auto"/>
        <w:ind w:firstLine="540"/>
        <w:jc w:val="both"/>
      </w:pPr>
      <w:r>
        <w:rPr>
          <w:sz w:val="20"/>
        </w:rPr>
        <w:t xml:space="preserve">The period between two site visits shall be based on a systematic appraisal of the environmental risks of the installations concerned and shall not exceed 1 year for installations posing the highest risks and 3 years for installations posing the lowest risks.</w:t>
      </w:r>
    </w:p>
    <w:p>
      <w:pPr>
        <w:pStyle w:val="0"/>
        <w:spacing w:before="200" w:line-rule="auto"/>
        <w:ind w:firstLine="540"/>
        <w:jc w:val="both"/>
      </w:pPr>
      <w:r>
        <w:rPr>
          <w:sz w:val="20"/>
        </w:rPr>
        <w:t xml:space="preserve">If an inspection has identified an important case of non-compliance with the permit conditions, an additional site visit shall be carried out within 6 months of that inspection.</w:t>
      </w:r>
    </w:p>
    <w:p>
      <w:pPr>
        <w:pStyle w:val="0"/>
        <w:spacing w:before="200" w:line-rule="auto"/>
        <w:ind w:firstLine="540"/>
        <w:jc w:val="both"/>
      </w:pPr>
      <w:r>
        <w:rPr>
          <w:sz w:val="20"/>
        </w:rPr>
        <w:t xml:space="preserve">The systematic appraisal of the environmental risks shall be based on at least the following criteria:</w:t>
      </w:r>
    </w:p>
    <w:p>
      <w:pPr>
        <w:pStyle w:val="0"/>
        <w:spacing w:before="200" w:line-rule="auto"/>
        <w:ind w:firstLine="540"/>
        <w:jc w:val="both"/>
      </w:pPr>
      <w:r>
        <w:rPr>
          <w:sz w:val="20"/>
        </w:rPr>
        <w:t xml:space="preserve">(a) the potential and actual impacts of the installations concerned on human health and the environment taking into account the levels and types of emissions, the sensitivity of the local environment and the risk of accidents;</w:t>
      </w:r>
    </w:p>
    <w:p>
      <w:pPr>
        <w:pStyle w:val="0"/>
        <w:spacing w:before="200" w:line-rule="auto"/>
        <w:ind w:firstLine="540"/>
        <w:jc w:val="both"/>
      </w:pPr>
      <w:r>
        <w:rPr>
          <w:sz w:val="20"/>
        </w:rPr>
        <w:t xml:space="preserve">(b) the record of compliance with permit conditions;</w:t>
      </w:r>
    </w:p>
    <w:p>
      <w:pPr>
        <w:pStyle w:val="0"/>
        <w:spacing w:before="200" w:line-rule="auto"/>
        <w:ind w:firstLine="540"/>
        <w:jc w:val="both"/>
      </w:pPr>
      <w:r>
        <w:rPr>
          <w:sz w:val="20"/>
        </w:rPr>
        <w:t xml:space="preserve">(c) the participation of the operator in the Union eco-management and audit scheme (EMAS), pursuant to Regulation (EC) No 1221/2009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Regulation (EC) No 1221/2009 of the European Parliament and of the Council of 25 November 2009 on the voluntary participation by organisations in a Community eco-management and audit scheme (EMAS) (OJ L 342, 22.12.2009, p. 1).</w:t>
      </w:r>
    </w:p>
    <w:p>
      <w:pPr>
        <w:pStyle w:val="0"/>
        <w:ind w:firstLine="540"/>
        <w:jc w:val="both"/>
      </w:pPr>
      <w:r>
        <w:rPr>
          <w:sz w:val="20"/>
        </w:rPr>
      </w:r>
    </w:p>
    <w:p>
      <w:pPr>
        <w:pStyle w:val="0"/>
        <w:ind w:firstLine="540"/>
        <w:jc w:val="both"/>
      </w:pPr>
      <w:r>
        <w:rPr>
          <w:sz w:val="20"/>
        </w:rPr>
        <w:t xml:space="preserve">The Commission may adopt guidance on the criteria for the appraisal of environmental risks.</w:t>
      </w:r>
    </w:p>
    <w:p>
      <w:pPr>
        <w:pStyle w:val="0"/>
        <w:spacing w:before="200" w:line-rule="auto"/>
        <w:ind w:firstLine="540"/>
        <w:jc w:val="both"/>
      </w:pPr>
      <w:r>
        <w:rPr>
          <w:sz w:val="20"/>
        </w:rPr>
        <w:t xml:space="preserve">5. Non-routine environmental inspections shall be carried out to investigate serious environmental complaints, serious environmental accidents, incidents and occurrences of non-compliance as soon as possible and, where appropriate, before the granting, reconsideration or update of a permit.</w:t>
      </w:r>
    </w:p>
    <w:p>
      <w:pPr>
        <w:pStyle w:val="0"/>
        <w:spacing w:before="200" w:line-rule="auto"/>
        <w:ind w:firstLine="540"/>
        <w:jc w:val="both"/>
      </w:pPr>
      <w:r>
        <w:rPr>
          <w:sz w:val="20"/>
        </w:rPr>
        <w:t xml:space="preserve">6. Following each site visit, the competent authority shall prepare a report describing the relevant findings regarding compliance of the installation with the permit conditions and conclusions on whether any further action is necessary.</w:t>
      </w:r>
    </w:p>
    <w:p>
      <w:pPr>
        <w:pStyle w:val="0"/>
        <w:spacing w:before="200" w:line-rule="auto"/>
        <w:ind w:firstLine="540"/>
        <w:jc w:val="both"/>
      </w:pPr>
      <w:r>
        <w:rPr>
          <w:sz w:val="20"/>
        </w:rPr>
        <w:t xml:space="preserve">The report shall be notified to the operator concerned within 2 months of the site visit taking place. The report shall be made publicly available by the competent authority in accordance with Directive 2003/4/EC of the European Parliament and of the Council of 28 January 2003 on public access to environmental information &lt;*&gt; within 4 months of the site visit taking place.</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L 41, 14.2.2003, p. 26.</w:t>
      </w:r>
    </w:p>
    <w:p>
      <w:pPr>
        <w:pStyle w:val="0"/>
        <w:ind w:firstLine="540"/>
        <w:jc w:val="both"/>
      </w:pPr>
      <w:r>
        <w:rPr>
          <w:sz w:val="20"/>
        </w:rPr>
      </w:r>
    </w:p>
    <w:p>
      <w:pPr>
        <w:pStyle w:val="0"/>
        <w:ind w:firstLine="540"/>
        <w:jc w:val="both"/>
      </w:pPr>
      <w:r>
        <w:rPr>
          <w:sz w:val="20"/>
        </w:rPr>
        <w:t xml:space="preserve">Without prejudice to Article 8 (2), the competent authority shall ensure that the operator takes all the necessary actions identified in the report within a reasonable period.</w:t>
      </w:r>
    </w:p>
    <w:p>
      <w:pPr>
        <w:pStyle w:val="0"/>
        <w:jc w:val="center"/>
      </w:pPr>
      <w:r>
        <w:rPr>
          <w:sz w:val="20"/>
        </w:rPr>
      </w:r>
    </w:p>
    <w:p>
      <w:pPr>
        <w:pStyle w:val="0"/>
        <w:outlineLvl w:val="2"/>
        <w:jc w:val="center"/>
      </w:pPr>
      <w:r>
        <w:rPr>
          <w:sz w:val="20"/>
        </w:rPr>
        <w:t xml:space="preserve">Article 24</w:t>
      </w:r>
    </w:p>
    <w:p>
      <w:pPr>
        <w:pStyle w:val="0"/>
        <w:jc w:val="center"/>
      </w:pPr>
      <w:r>
        <w:rPr>
          <w:sz w:val="20"/>
        </w:rPr>
      </w:r>
    </w:p>
    <w:p>
      <w:pPr>
        <w:pStyle w:val="0"/>
        <w:jc w:val="center"/>
      </w:pPr>
      <w:r>
        <w:rPr>
          <w:sz w:val="20"/>
        </w:rPr>
        <w:t xml:space="preserve">Access to information and public participation</w:t>
      </w:r>
    </w:p>
    <w:p>
      <w:pPr>
        <w:pStyle w:val="0"/>
        <w:jc w:val="center"/>
      </w:pPr>
      <w:r>
        <w:rPr>
          <w:sz w:val="20"/>
        </w:rPr>
        <w:t xml:space="preserve">in the permit procedure</w:t>
      </w:r>
    </w:p>
    <w:p>
      <w:pPr>
        <w:pStyle w:val="0"/>
        <w:ind w:firstLine="540"/>
        <w:jc w:val="both"/>
      </w:pPr>
      <w:r>
        <w:rPr>
          <w:sz w:val="20"/>
        </w:rPr>
      </w:r>
    </w:p>
    <w:p>
      <w:pPr>
        <w:pStyle w:val="0"/>
        <w:ind w:firstLine="540"/>
        <w:jc w:val="both"/>
      </w:pPr>
      <w:r>
        <w:rPr>
          <w:sz w:val="20"/>
        </w:rPr>
        <w:t xml:space="preserve">1. Member States shall ensure that the public concerned are given early and effective opportunities to participate in the following procedures:</w:t>
      </w:r>
    </w:p>
    <w:p>
      <w:pPr>
        <w:pStyle w:val="0"/>
        <w:spacing w:before="200" w:line-rule="auto"/>
        <w:ind w:firstLine="540"/>
        <w:jc w:val="both"/>
      </w:pPr>
      <w:r>
        <w:rPr>
          <w:sz w:val="20"/>
        </w:rPr>
        <w:t xml:space="preserve">(a) the granting of a permit for new installations;</w:t>
      </w:r>
    </w:p>
    <w:p>
      <w:pPr>
        <w:pStyle w:val="0"/>
        <w:spacing w:before="200" w:line-rule="auto"/>
        <w:ind w:firstLine="540"/>
        <w:jc w:val="both"/>
      </w:pPr>
      <w:r>
        <w:rPr>
          <w:sz w:val="20"/>
        </w:rPr>
        <w:t xml:space="preserve">(b) the granting of a permit for any substantial change;</w:t>
      </w:r>
    </w:p>
    <w:p>
      <w:pPr>
        <w:pStyle w:val="0"/>
        <w:spacing w:before="200" w:line-rule="auto"/>
        <w:ind w:firstLine="540"/>
        <w:jc w:val="both"/>
      </w:pPr>
      <w:r>
        <w:rPr>
          <w:sz w:val="20"/>
        </w:rPr>
        <w:t xml:space="preserve">(c) the granting or updating of a permit for an installation where the application of Article 15 (4) is proposed;</w:t>
      </w:r>
    </w:p>
    <w:p>
      <w:pPr>
        <w:pStyle w:val="0"/>
        <w:spacing w:before="200" w:line-rule="auto"/>
        <w:ind w:firstLine="540"/>
        <w:jc w:val="both"/>
      </w:pPr>
      <w:r>
        <w:rPr>
          <w:sz w:val="20"/>
        </w:rPr>
        <w:t xml:space="preserve">(d) the updating of a permit or permit conditions for an installation in accordance with Article 21 (5) (a).</w:t>
      </w:r>
    </w:p>
    <w:p>
      <w:pPr>
        <w:pStyle w:val="0"/>
        <w:spacing w:before="200" w:line-rule="auto"/>
        <w:ind w:firstLine="540"/>
        <w:jc w:val="both"/>
      </w:pPr>
      <w:r>
        <w:rPr>
          <w:sz w:val="20"/>
        </w:rPr>
        <w:t xml:space="preserve">The procedure set out in Annex IV shall apply to such participation.</w:t>
      </w:r>
    </w:p>
    <w:p>
      <w:pPr>
        <w:pStyle w:val="0"/>
        <w:spacing w:before="200" w:line-rule="auto"/>
        <w:ind w:firstLine="540"/>
        <w:jc w:val="both"/>
      </w:pPr>
      <w:r>
        <w:rPr>
          <w:sz w:val="20"/>
        </w:rPr>
        <w:t xml:space="preserve">2. When a decision on granting, reconsideration or updating of a permit has been taken, the competent authority shall make available to the public, including via the Internet in relation to points (a), (b) and (f), the following information:</w:t>
      </w:r>
    </w:p>
    <w:p>
      <w:pPr>
        <w:pStyle w:val="0"/>
        <w:spacing w:before="200" w:line-rule="auto"/>
        <w:ind w:firstLine="540"/>
        <w:jc w:val="both"/>
      </w:pPr>
      <w:r>
        <w:rPr>
          <w:sz w:val="20"/>
        </w:rPr>
        <w:t xml:space="preserve">(a) the content of the decision, including a copy of the permit and any subsequent updates;</w:t>
      </w:r>
    </w:p>
    <w:p>
      <w:pPr>
        <w:pStyle w:val="0"/>
        <w:spacing w:before="200" w:line-rule="auto"/>
        <w:ind w:firstLine="540"/>
        <w:jc w:val="both"/>
      </w:pPr>
      <w:r>
        <w:rPr>
          <w:sz w:val="20"/>
        </w:rPr>
        <w:t xml:space="preserve">(b) the reasons on which the decision is based;</w:t>
      </w:r>
    </w:p>
    <w:p>
      <w:pPr>
        <w:pStyle w:val="0"/>
        <w:spacing w:before="200" w:line-rule="auto"/>
        <w:ind w:firstLine="540"/>
        <w:jc w:val="both"/>
      </w:pPr>
      <w:r>
        <w:rPr>
          <w:sz w:val="20"/>
        </w:rPr>
        <w:t xml:space="preserve">(c) the results of the consultations held before the decision was taken and an explanation of how they were taken into account in that decision;</w:t>
      </w:r>
    </w:p>
    <w:p>
      <w:pPr>
        <w:pStyle w:val="0"/>
        <w:spacing w:before="200" w:line-rule="auto"/>
        <w:ind w:firstLine="540"/>
        <w:jc w:val="both"/>
      </w:pPr>
      <w:r>
        <w:rPr>
          <w:sz w:val="20"/>
        </w:rPr>
        <w:t xml:space="preserve">(d) the title of the BAT reference documents relevant to the installation or activity concerned;</w:t>
      </w:r>
    </w:p>
    <w:p>
      <w:pPr>
        <w:pStyle w:val="0"/>
        <w:spacing w:before="200" w:line-rule="auto"/>
        <w:ind w:firstLine="540"/>
        <w:jc w:val="both"/>
      </w:pPr>
      <w:r>
        <w:rPr>
          <w:sz w:val="20"/>
        </w:rPr>
        <w:t xml:space="preserve">(e) how the permit conditions referred to in Article 14, including the emission limit values, have been determined in relation to the best available techniques and emission levels associated with the best available techniques;</w:t>
      </w:r>
    </w:p>
    <w:p>
      <w:pPr>
        <w:pStyle w:val="0"/>
        <w:spacing w:before="200" w:line-rule="auto"/>
        <w:ind w:firstLine="540"/>
        <w:jc w:val="both"/>
      </w:pPr>
      <w:r>
        <w:rPr>
          <w:sz w:val="20"/>
        </w:rPr>
        <w:t xml:space="preserve">(f) where a derogation is granted in accordance with Article 15 (4), the specific reasons for that derogation based on the criteria laid down in that paragraph and the conditions imposed.</w:t>
      </w:r>
    </w:p>
    <w:p>
      <w:pPr>
        <w:pStyle w:val="0"/>
        <w:spacing w:before="200" w:line-rule="auto"/>
        <w:ind w:firstLine="540"/>
        <w:jc w:val="both"/>
      </w:pPr>
      <w:r>
        <w:rPr>
          <w:sz w:val="20"/>
        </w:rPr>
        <w:t xml:space="preserve">3. The competent authority shall also make available to the public, including via the Internet at least in relation to point (a):</w:t>
      </w:r>
    </w:p>
    <w:p>
      <w:pPr>
        <w:pStyle w:val="0"/>
        <w:spacing w:before="200" w:line-rule="auto"/>
        <w:ind w:firstLine="540"/>
        <w:jc w:val="both"/>
      </w:pPr>
      <w:r>
        <w:rPr>
          <w:sz w:val="20"/>
        </w:rPr>
        <w:t xml:space="preserve">(a) relevant information on the measures taken by the operator upon definitive cessation of activities in accordance with Article 22;</w:t>
      </w:r>
    </w:p>
    <w:p>
      <w:pPr>
        <w:pStyle w:val="0"/>
        <w:spacing w:before="200" w:line-rule="auto"/>
        <w:ind w:firstLine="540"/>
        <w:jc w:val="both"/>
      </w:pPr>
      <w:r>
        <w:rPr>
          <w:sz w:val="20"/>
        </w:rPr>
        <w:t xml:space="preserve">(b) the results of emission monitoring as required under the permit conditions and held by the competent authority.</w:t>
      </w:r>
    </w:p>
    <w:p>
      <w:pPr>
        <w:pStyle w:val="0"/>
        <w:spacing w:before="200" w:line-rule="auto"/>
        <w:ind w:firstLine="540"/>
        <w:jc w:val="both"/>
      </w:pPr>
      <w:r>
        <w:rPr>
          <w:sz w:val="20"/>
        </w:rPr>
        <w:t xml:space="preserve">4. Paragraphs 1, 2 and 3 of this Article shall apply subject to the restrictions laid down in Article 4 (1) and (2) of Directive 2003/4/EC.</w:t>
      </w:r>
    </w:p>
    <w:p>
      <w:pPr>
        <w:pStyle w:val="0"/>
        <w:jc w:val="center"/>
      </w:pPr>
      <w:r>
        <w:rPr>
          <w:sz w:val="20"/>
        </w:rPr>
      </w:r>
    </w:p>
    <w:p>
      <w:pPr>
        <w:pStyle w:val="0"/>
        <w:outlineLvl w:val="2"/>
        <w:jc w:val="center"/>
      </w:pPr>
      <w:r>
        <w:rPr>
          <w:sz w:val="20"/>
        </w:rPr>
        <w:t xml:space="preserve">Article 25</w:t>
      </w:r>
    </w:p>
    <w:p>
      <w:pPr>
        <w:pStyle w:val="0"/>
        <w:jc w:val="center"/>
      </w:pPr>
      <w:r>
        <w:rPr>
          <w:sz w:val="20"/>
        </w:rPr>
      </w:r>
    </w:p>
    <w:p>
      <w:pPr>
        <w:pStyle w:val="0"/>
        <w:jc w:val="center"/>
      </w:pPr>
      <w:r>
        <w:rPr>
          <w:sz w:val="20"/>
        </w:rPr>
        <w:t xml:space="preserve">Access to justice</w:t>
      </w:r>
    </w:p>
    <w:p>
      <w:pPr>
        <w:pStyle w:val="0"/>
        <w:jc w:val="center"/>
      </w:pPr>
      <w:r>
        <w:rPr>
          <w:sz w:val="20"/>
        </w:rPr>
      </w:r>
    </w:p>
    <w:p>
      <w:pPr>
        <w:pStyle w:val="0"/>
        <w:ind w:firstLine="540"/>
        <w:jc w:val="both"/>
      </w:pPr>
      <w:r>
        <w:rPr>
          <w:sz w:val="20"/>
        </w:rPr>
        <w:t xml:space="preserve">1. Member States shall ensure that, in accordance with the relevant national legal system, members of the public concerned have access to a review procedure before a court of law or another independent and impartial body established by law to challenge the substantive or procedural legality of decisions, acts or omissions subject to Article 24 when one of the following conditions is met:</w:t>
      </w:r>
    </w:p>
    <w:p>
      <w:pPr>
        <w:pStyle w:val="0"/>
        <w:spacing w:before="200" w:line-rule="auto"/>
        <w:ind w:firstLine="540"/>
        <w:jc w:val="both"/>
      </w:pPr>
      <w:r>
        <w:rPr>
          <w:sz w:val="20"/>
        </w:rPr>
        <w:t xml:space="preserve">(a) they have a sufficient interest;</w:t>
      </w:r>
    </w:p>
    <w:p>
      <w:pPr>
        <w:pStyle w:val="0"/>
        <w:spacing w:before="200" w:line-rule="auto"/>
        <w:ind w:firstLine="540"/>
        <w:jc w:val="both"/>
      </w:pPr>
      <w:r>
        <w:rPr>
          <w:sz w:val="20"/>
        </w:rPr>
        <w:t xml:space="preserve">(b) they maintain the impairment of a right, where administrative procedural law of a Member State requires this as a precondition.</w:t>
      </w:r>
    </w:p>
    <w:p>
      <w:pPr>
        <w:pStyle w:val="0"/>
        <w:spacing w:before="200" w:line-rule="auto"/>
        <w:ind w:firstLine="540"/>
        <w:jc w:val="both"/>
      </w:pPr>
      <w:r>
        <w:rPr>
          <w:sz w:val="20"/>
        </w:rPr>
        <w:t xml:space="preserve">2. Member States shall determine at what stage the decisions, acts or omissions may be challenged.</w:t>
      </w:r>
    </w:p>
    <w:p>
      <w:pPr>
        <w:pStyle w:val="0"/>
        <w:spacing w:before="200" w:line-rule="auto"/>
        <w:ind w:firstLine="540"/>
        <w:jc w:val="both"/>
      </w:pPr>
      <w:r>
        <w:rPr>
          <w:sz w:val="20"/>
        </w:rPr>
        <w:t xml:space="preserve">3. What constitutes a sufficient interest and impairment of a right shall be determined by Member States, consistently with the objective of giving the public concerned wide access to justice.</w:t>
      </w:r>
    </w:p>
    <w:p>
      <w:pPr>
        <w:pStyle w:val="0"/>
        <w:spacing w:before="200" w:line-rule="auto"/>
        <w:ind w:firstLine="540"/>
        <w:jc w:val="both"/>
      </w:pPr>
      <w:r>
        <w:rPr>
          <w:sz w:val="20"/>
        </w:rPr>
        <w:t xml:space="preserve">To this end, the interest of any non-governmental organisation promoting environmental protection and meeting any requirements under national law shall be deemed sufficient for the purpose of paragraph 1 (a).</w:t>
      </w:r>
    </w:p>
    <w:p>
      <w:pPr>
        <w:pStyle w:val="0"/>
        <w:spacing w:before="200" w:line-rule="auto"/>
        <w:ind w:firstLine="540"/>
        <w:jc w:val="both"/>
      </w:pPr>
      <w:r>
        <w:rPr>
          <w:sz w:val="20"/>
        </w:rPr>
        <w:t xml:space="preserve">Such organisations shall also be deemed to have rights capable of being impaired for the purpose of paragraph 1 (b).</w:t>
      </w:r>
    </w:p>
    <w:p>
      <w:pPr>
        <w:pStyle w:val="0"/>
        <w:spacing w:before="200" w:line-rule="auto"/>
        <w:ind w:firstLine="540"/>
        <w:jc w:val="both"/>
      </w:pPr>
      <w:r>
        <w:rPr>
          <w:sz w:val="20"/>
        </w:rPr>
        <w:t xml:space="preserve">4. Paragraphs 1, 2 and 3 shall not exclude the possibility of a preliminary review procedure before an administrative authority and shall not affect the requirement of exhaustion of administrative review procedures prior to recourse to judicial review procedures, where such a requirement exists under national law.</w:t>
      </w:r>
    </w:p>
    <w:p>
      <w:pPr>
        <w:pStyle w:val="0"/>
        <w:spacing w:before="200" w:line-rule="auto"/>
        <w:ind w:firstLine="540"/>
        <w:jc w:val="both"/>
      </w:pPr>
      <w:r>
        <w:rPr>
          <w:sz w:val="20"/>
        </w:rPr>
        <w:t xml:space="preserve">Any such procedure shall be fair, equitable, timely and not prohibitively expensive.</w:t>
      </w:r>
    </w:p>
    <w:p>
      <w:pPr>
        <w:pStyle w:val="0"/>
        <w:spacing w:before="200" w:line-rule="auto"/>
        <w:ind w:firstLine="540"/>
        <w:jc w:val="both"/>
      </w:pPr>
      <w:r>
        <w:rPr>
          <w:sz w:val="20"/>
        </w:rPr>
        <w:t xml:space="preserve">5. Member States shall ensure that practical information is made available to the public on access to administrative and judicial review procedures.</w:t>
      </w:r>
    </w:p>
    <w:p>
      <w:pPr>
        <w:pStyle w:val="0"/>
        <w:jc w:val="center"/>
      </w:pPr>
      <w:r>
        <w:rPr>
          <w:sz w:val="20"/>
        </w:rPr>
      </w:r>
    </w:p>
    <w:p>
      <w:pPr>
        <w:pStyle w:val="0"/>
        <w:outlineLvl w:val="2"/>
        <w:jc w:val="center"/>
      </w:pPr>
      <w:r>
        <w:rPr>
          <w:sz w:val="20"/>
        </w:rPr>
        <w:t xml:space="preserve">Article 26</w:t>
      </w:r>
    </w:p>
    <w:p>
      <w:pPr>
        <w:pStyle w:val="0"/>
        <w:jc w:val="center"/>
      </w:pPr>
      <w:r>
        <w:rPr>
          <w:sz w:val="20"/>
        </w:rPr>
      </w:r>
    </w:p>
    <w:p>
      <w:pPr>
        <w:pStyle w:val="0"/>
        <w:jc w:val="center"/>
      </w:pPr>
      <w:r>
        <w:rPr>
          <w:sz w:val="20"/>
        </w:rPr>
        <w:t xml:space="preserve">Transboundary effects</w:t>
      </w:r>
    </w:p>
    <w:p>
      <w:pPr>
        <w:pStyle w:val="0"/>
        <w:jc w:val="center"/>
      </w:pPr>
      <w:r>
        <w:rPr>
          <w:sz w:val="20"/>
        </w:rPr>
      </w:r>
    </w:p>
    <w:p>
      <w:pPr>
        <w:pStyle w:val="0"/>
        <w:ind w:firstLine="540"/>
        <w:jc w:val="both"/>
      </w:pPr>
      <w:r>
        <w:rPr>
          <w:sz w:val="20"/>
        </w:rPr>
        <w:t xml:space="preserve">1. Where a Member State is aware that the operation of an installation is likely to have significant negative effects on the environment of another Member State, or where a Member State which is likely to be significantly affected so requests, the Member State in whose territory the application for a permit pursuant to Article 4 or Article 20 (2) was submitted shall forward to the other Member State any information required to be given or made available pursuant to Annex IV at the same time as it makes it available to the public.</w:t>
      </w:r>
    </w:p>
    <w:p>
      <w:pPr>
        <w:pStyle w:val="0"/>
        <w:spacing w:before="200" w:line-rule="auto"/>
        <w:ind w:firstLine="540"/>
        <w:jc w:val="both"/>
      </w:pPr>
      <w:r>
        <w:rPr>
          <w:sz w:val="20"/>
        </w:rPr>
        <w:t xml:space="preserve">Such information shall serve as a basis for any consultations necessary in the framework of the bilateral relations between the two Member States on a reciprocal and equivalent basis.</w:t>
      </w:r>
    </w:p>
    <w:p>
      <w:pPr>
        <w:pStyle w:val="0"/>
        <w:spacing w:before="200" w:line-rule="auto"/>
        <w:ind w:firstLine="540"/>
        <w:jc w:val="both"/>
      </w:pPr>
      <w:r>
        <w:rPr>
          <w:sz w:val="20"/>
        </w:rPr>
        <w:t xml:space="preserve">2. Within the framework of their bilateral relations, Member States shall ensure that in the cases referred to in paragraph 1, the applications are also made available for an appropriate period of time to the public of the Member State likely to be affected so that it will have the right to comment on them before the competent authority reaches its decision.</w:t>
      </w:r>
    </w:p>
    <w:p>
      <w:pPr>
        <w:pStyle w:val="0"/>
        <w:spacing w:before="200" w:line-rule="auto"/>
        <w:ind w:firstLine="540"/>
        <w:jc w:val="both"/>
      </w:pPr>
      <w:r>
        <w:rPr>
          <w:sz w:val="20"/>
        </w:rPr>
        <w:t xml:space="preserve">3. The results of any consultations pursuant to paragraphs 1 and 2 shall be taken into consideration when the competent authority reaches a decision on the application.</w:t>
      </w:r>
    </w:p>
    <w:p>
      <w:pPr>
        <w:pStyle w:val="0"/>
        <w:spacing w:before="200" w:line-rule="auto"/>
        <w:ind w:firstLine="540"/>
        <w:jc w:val="both"/>
      </w:pPr>
      <w:r>
        <w:rPr>
          <w:sz w:val="20"/>
        </w:rPr>
        <w:t xml:space="preserve">4. The competent authority shall inform any Member State which has been consulted pursuant to paragraph 1 of the decision reached on the application and shall forward to it the information referred to in Article 24 (2). That Member State shall take the measures necessary to ensure that that information is made available in an appropriate manner to the public concerned in its own territory.</w:t>
      </w:r>
    </w:p>
    <w:p>
      <w:pPr>
        <w:pStyle w:val="0"/>
        <w:jc w:val="center"/>
      </w:pPr>
      <w:r>
        <w:rPr>
          <w:sz w:val="20"/>
        </w:rPr>
      </w:r>
    </w:p>
    <w:p>
      <w:pPr>
        <w:pStyle w:val="0"/>
        <w:outlineLvl w:val="2"/>
        <w:jc w:val="center"/>
      </w:pPr>
      <w:r>
        <w:rPr>
          <w:sz w:val="20"/>
        </w:rPr>
        <w:t xml:space="preserve">Article 27</w:t>
      </w:r>
    </w:p>
    <w:p>
      <w:pPr>
        <w:pStyle w:val="0"/>
        <w:jc w:val="center"/>
      </w:pPr>
      <w:r>
        <w:rPr>
          <w:sz w:val="20"/>
        </w:rPr>
      </w:r>
    </w:p>
    <w:p>
      <w:pPr>
        <w:pStyle w:val="0"/>
        <w:jc w:val="center"/>
      </w:pPr>
      <w:r>
        <w:rPr>
          <w:sz w:val="20"/>
        </w:rPr>
        <w:t xml:space="preserve">Emerging techniques</w:t>
      </w:r>
    </w:p>
    <w:p>
      <w:pPr>
        <w:pStyle w:val="0"/>
        <w:jc w:val="center"/>
      </w:pPr>
      <w:r>
        <w:rPr>
          <w:sz w:val="20"/>
        </w:rPr>
      </w:r>
    </w:p>
    <w:p>
      <w:pPr>
        <w:pStyle w:val="0"/>
        <w:ind w:firstLine="540"/>
        <w:jc w:val="both"/>
      </w:pPr>
      <w:r>
        <w:rPr>
          <w:sz w:val="20"/>
        </w:rPr>
        <w:t xml:space="preserve">1. Member States shall, where appropriate, encourage the development and application of emerging techniques, in particular for those emerging techniques identified in BAT reference documents.</w:t>
      </w:r>
    </w:p>
    <w:p>
      <w:pPr>
        <w:pStyle w:val="0"/>
        <w:spacing w:before="200" w:line-rule="auto"/>
        <w:ind w:firstLine="540"/>
        <w:jc w:val="both"/>
      </w:pPr>
      <w:r>
        <w:rPr>
          <w:sz w:val="20"/>
        </w:rPr>
        <w:t xml:space="preserve">2. The Commission shall establish guidance to assist Member States in encouraging the development and application of emerging techniques as referred to in paragraph 1.</w:t>
      </w:r>
    </w:p>
    <w:p>
      <w:pPr>
        <w:pStyle w:val="0"/>
        <w:jc w:val="center"/>
      </w:pPr>
      <w:r>
        <w:rPr>
          <w:sz w:val="20"/>
        </w:rPr>
      </w:r>
    </w:p>
    <w:p>
      <w:pPr>
        <w:pStyle w:val="0"/>
        <w:outlineLvl w:val="1"/>
        <w:jc w:val="center"/>
      </w:pPr>
      <w:r>
        <w:rPr>
          <w:sz w:val="20"/>
        </w:rPr>
        <w:t xml:space="preserve">Chapter III. SPECIAL PROVISIONS FOR COMBUSTION PLANTS</w:t>
      </w:r>
    </w:p>
    <w:p>
      <w:pPr>
        <w:pStyle w:val="0"/>
        <w:jc w:val="center"/>
      </w:pPr>
      <w:r>
        <w:rPr>
          <w:sz w:val="20"/>
        </w:rPr>
      </w:r>
    </w:p>
    <w:p>
      <w:pPr>
        <w:pStyle w:val="0"/>
        <w:outlineLvl w:val="2"/>
        <w:jc w:val="center"/>
      </w:pPr>
      <w:r>
        <w:rPr>
          <w:sz w:val="20"/>
        </w:rPr>
        <w:t xml:space="preserve">Article 28</w:t>
      </w:r>
    </w:p>
    <w:p>
      <w:pPr>
        <w:pStyle w:val="0"/>
        <w:jc w:val="center"/>
      </w:pPr>
      <w:r>
        <w:rPr>
          <w:sz w:val="20"/>
        </w:rPr>
      </w:r>
    </w:p>
    <w:p>
      <w:pPr>
        <w:pStyle w:val="0"/>
        <w:jc w:val="center"/>
      </w:pPr>
      <w:r>
        <w:rPr>
          <w:sz w:val="20"/>
        </w:rPr>
        <w:t xml:space="preserve">Scope</w:t>
      </w:r>
    </w:p>
    <w:p>
      <w:pPr>
        <w:pStyle w:val="0"/>
        <w:jc w:val="center"/>
      </w:pPr>
      <w:r>
        <w:rPr>
          <w:sz w:val="20"/>
        </w:rPr>
      </w:r>
    </w:p>
    <w:p>
      <w:pPr>
        <w:pStyle w:val="0"/>
        <w:ind w:firstLine="540"/>
        <w:jc w:val="both"/>
      </w:pPr>
      <w:r>
        <w:rPr>
          <w:sz w:val="20"/>
        </w:rPr>
        <w:t xml:space="preserve">This Chapter shall apply to combustion plants, the total rated thermal input of which is equal to or greater than 50 MW, irrespective of the type of fuel used.</w:t>
      </w:r>
    </w:p>
    <w:p>
      <w:pPr>
        <w:pStyle w:val="0"/>
        <w:spacing w:before="200" w:line-rule="auto"/>
        <w:ind w:firstLine="540"/>
        <w:jc w:val="both"/>
      </w:pPr>
      <w:r>
        <w:rPr>
          <w:sz w:val="20"/>
        </w:rPr>
        <w:t xml:space="preserve">This Chapter shall not apply to the following combustion plants:</w:t>
      </w:r>
    </w:p>
    <w:p>
      <w:pPr>
        <w:pStyle w:val="0"/>
        <w:spacing w:before="200" w:line-rule="auto"/>
        <w:ind w:firstLine="540"/>
        <w:jc w:val="both"/>
      </w:pPr>
      <w:r>
        <w:rPr>
          <w:sz w:val="20"/>
        </w:rPr>
        <w:t xml:space="preserve">(a) plants in which the products of combustion are used for the direct heating, drying, or any other treatment of objects or materials;</w:t>
      </w:r>
    </w:p>
    <w:p>
      <w:pPr>
        <w:pStyle w:val="0"/>
        <w:spacing w:before="200" w:line-rule="auto"/>
        <w:ind w:firstLine="540"/>
        <w:jc w:val="both"/>
      </w:pPr>
      <w:r>
        <w:rPr>
          <w:sz w:val="20"/>
        </w:rPr>
        <w:t xml:space="preserve">(b) post-combustion plants designed to purify the waste gases by combustion which are not operated as independent combustion plants;</w:t>
      </w:r>
    </w:p>
    <w:p>
      <w:pPr>
        <w:pStyle w:val="0"/>
        <w:spacing w:before="200" w:line-rule="auto"/>
        <w:ind w:firstLine="540"/>
        <w:jc w:val="both"/>
      </w:pPr>
      <w:r>
        <w:rPr>
          <w:sz w:val="20"/>
        </w:rPr>
        <w:t xml:space="preserve">(c) facilities for the regeneration of catalytic cracking catalysts;</w:t>
      </w:r>
    </w:p>
    <w:p>
      <w:pPr>
        <w:pStyle w:val="0"/>
        <w:spacing w:before="200" w:line-rule="auto"/>
        <w:ind w:firstLine="540"/>
        <w:jc w:val="both"/>
      </w:pPr>
      <w:r>
        <w:rPr>
          <w:sz w:val="20"/>
        </w:rPr>
        <w:t xml:space="preserve">(d) facilities for the conversion of hydrogen sulphide into sulphur;</w:t>
      </w:r>
    </w:p>
    <w:p>
      <w:pPr>
        <w:pStyle w:val="0"/>
        <w:spacing w:before="200" w:line-rule="auto"/>
        <w:ind w:firstLine="540"/>
        <w:jc w:val="both"/>
      </w:pPr>
      <w:r>
        <w:rPr>
          <w:sz w:val="20"/>
        </w:rPr>
        <w:t xml:space="preserve">(e) reactors used in the chemical industry;</w:t>
      </w:r>
    </w:p>
    <w:p>
      <w:pPr>
        <w:pStyle w:val="0"/>
        <w:spacing w:before="200" w:line-rule="auto"/>
        <w:ind w:firstLine="540"/>
        <w:jc w:val="both"/>
      </w:pPr>
      <w:r>
        <w:rPr>
          <w:sz w:val="20"/>
        </w:rPr>
        <w:t xml:space="preserve">(f) coke battery furnaces;</w:t>
      </w:r>
    </w:p>
    <w:p>
      <w:pPr>
        <w:pStyle w:val="0"/>
        <w:spacing w:before="200" w:line-rule="auto"/>
        <w:ind w:firstLine="540"/>
        <w:jc w:val="both"/>
      </w:pPr>
      <w:r>
        <w:rPr>
          <w:sz w:val="20"/>
        </w:rPr>
        <w:t xml:space="preserve">(g) cowpers;</w:t>
      </w:r>
    </w:p>
    <w:p>
      <w:pPr>
        <w:pStyle w:val="0"/>
        <w:spacing w:before="200" w:line-rule="auto"/>
        <w:ind w:firstLine="540"/>
        <w:jc w:val="both"/>
      </w:pPr>
      <w:r>
        <w:rPr>
          <w:sz w:val="20"/>
        </w:rPr>
        <w:t xml:space="preserve">(h) any technical apparatus used in the propulsion of a vehicle, ship or aircraft;</w:t>
      </w:r>
    </w:p>
    <w:p>
      <w:pPr>
        <w:pStyle w:val="0"/>
        <w:spacing w:before="200" w:line-rule="auto"/>
        <w:ind w:firstLine="540"/>
        <w:jc w:val="both"/>
      </w:pPr>
      <w:r>
        <w:rPr>
          <w:sz w:val="20"/>
        </w:rPr>
        <w:t xml:space="preserve">(i) gas turbines and gas engines used on offshore platforms;</w:t>
      </w:r>
    </w:p>
    <w:p>
      <w:pPr>
        <w:pStyle w:val="0"/>
        <w:spacing w:before="200" w:line-rule="auto"/>
        <w:ind w:firstLine="540"/>
        <w:jc w:val="both"/>
      </w:pPr>
      <w:r>
        <w:rPr>
          <w:sz w:val="20"/>
        </w:rPr>
        <w:t xml:space="preserve">(j) plants which use any solid or liquid waste as a fuel other than waste referred to in point (b) of point 31 of Article 3.</w:t>
      </w:r>
    </w:p>
    <w:p>
      <w:pPr>
        <w:pStyle w:val="0"/>
        <w:jc w:val="center"/>
      </w:pPr>
      <w:r>
        <w:rPr>
          <w:sz w:val="20"/>
        </w:rPr>
      </w:r>
    </w:p>
    <w:p>
      <w:pPr>
        <w:pStyle w:val="0"/>
        <w:outlineLvl w:val="2"/>
        <w:jc w:val="center"/>
      </w:pPr>
      <w:r>
        <w:rPr>
          <w:sz w:val="20"/>
        </w:rPr>
        <w:t xml:space="preserve">Article 29</w:t>
      </w:r>
    </w:p>
    <w:p>
      <w:pPr>
        <w:pStyle w:val="0"/>
        <w:jc w:val="center"/>
      </w:pPr>
      <w:r>
        <w:rPr>
          <w:sz w:val="20"/>
        </w:rPr>
      </w:r>
    </w:p>
    <w:p>
      <w:pPr>
        <w:pStyle w:val="0"/>
        <w:jc w:val="center"/>
      </w:pPr>
      <w:r>
        <w:rPr>
          <w:sz w:val="20"/>
        </w:rPr>
        <w:t xml:space="preserve">Aggregation rules</w:t>
      </w:r>
    </w:p>
    <w:p>
      <w:pPr>
        <w:pStyle w:val="0"/>
        <w:jc w:val="center"/>
      </w:pPr>
      <w:r>
        <w:rPr>
          <w:sz w:val="20"/>
        </w:rPr>
      </w:r>
    </w:p>
    <w:p>
      <w:pPr>
        <w:pStyle w:val="0"/>
        <w:ind w:firstLine="540"/>
        <w:jc w:val="both"/>
      </w:pPr>
      <w:r>
        <w:rPr>
          <w:sz w:val="20"/>
        </w:rPr>
        <w:t xml:space="preserve">1. Where the waste gases of two or more separate combustion plants are discharged through a common stack, the combination formed by such plants shall be considered as a single combustion plant and their capacities added for the purpose of calculating the total rated thermal input.</w:t>
      </w:r>
    </w:p>
    <w:p>
      <w:pPr>
        <w:pStyle w:val="0"/>
        <w:spacing w:before="200" w:line-rule="auto"/>
        <w:ind w:firstLine="540"/>
        <w:jc w:val="both"/>
      </w:pPr>
      <w:r>
        <w:rPr>
          <w:sz w:val="20"/>
        </w:rPr>
        <w:t xml:space="preserve">2. Where two or more separate combustion plants which have been granted a permit for the first time on or after 1 July 1987, or the operators of which have submitted a complete application for a permit on or after that date, are installed in such a way that, taking technical and economic factors into account, their waste gases could in the judgement of the competent authority, be discharged through a common stack, the combination formed by such plants shall be considered as a single combustion plant and their capacities added for the purpose of calculating the total rated thermal input.</w:t>
      </w:r>
    </w:p>
    <w:p>
      <w:pPr>
        <w:pStyle w:val="0"/>
        <w:spacing w:before="200" w:line-rule="auto"/>
        <w:ind w:firstLine="540"/>
        <w:jc w:val="both"/>
      </w:pPr>
      <w:r>
        <w:rPr>
          <w:sz w:val="20"/>
        </w:rPr>
        <w:t xml:space="preserve">3. For the purpose of calculating the total rated thermal input of a combination of combustion plants referred to in paragraphs 1 and 2, individual combustion plants with a rated thermal input below 15 MW shall not be considered.</w:t>
      </w:r>
    </w:p>
    <w:p>
      <w:pPr>
        <w:pStyle w:val="0"/>
        <w:jc w:val="center"/>
      </w:pPr>
      <w:r>
        <w:rPr>
          <w:sz w:val="20"/>
        </w:rPr>
      </w:r>
    </w:p>
    <w:p>
      <w:pPr>
        <w:pStyle w:val="0"/>
        <w:outlineLvl w:val="2"/>
        <w:jc w:val="center"/>
      </w:pPr>
      <w:r>
        <w:rPr>
          <w:sz w:val="20"/>
        </w:rPr>
        <w:t xml:space="preserve">Article 30</w:t>
      </w:r>
    </w:p>
    <w:p>
      <w:pPr>
        <w:pStyle w:val="0"/>
        <w:jc w:val="center"/>
      </w:pPr>
      <w:r>
        <w:rPr>
          <w:sz w:val="20"/>
        </w:rPr>
      </w:r>
    </w:p>
    <w:p>
      <w:pPr>
        <w:pStyle w:val="0"/>
        <w:jc w:val="center"/>
      </w:pPr>
      <w:r>
        <w:rPr>
          <w:sz w:val="20"/>
        </w:rPr>
        <w:t xml:space="preserve">Emission limit values</w:t>
      </w:r>
    </w:p>
    <w:p>
      <w:pPr>
        <w:pStyle w:val="0"/>
        <w:jc w:val="center"/>
      </w:pPr>
      <w:r>
        <w:rPr>
          <w:sz w:val="20"/>
        </w:rPr>
      </w:r>
    </w:p>
    <w:p>
      <w:pPr>
        <w:pStyle w:val="0"/>
        <w:ind w:firstLine="540"/>
        <w:jc w:val="both"/>
      </w:pPr>
      <w:r>
        <w:rPr>
          <w:sz w:val="20"/>
        </w:rPr>
        <w:t xml:space="preserve">1. Waste gases from combustion plants shall be discharged in a controlled way by means of a stack, containing one or more flues, the height of which is calculated in such a way as to safeguard human health and the environment.</w:t>
      </w:r>
    </w:p>
    <w:p>
      <w:pPr>
        <w:pStyle w:val="0"/>
        <w:spacing w:before="200" w:line-rule="auto"/>
        <w:ind w:firstLine="540"/>
        <w:jc w:val="both"/>
      </w:pPr>
      <w:r>
        <w:rPr>
          <w:sz w:val="20"/>
        </w:rPr>
        <w:t xml:space="preserve">2. All permits for installations containing combustion plants which have been granted a permit before 7 January 2013, or the operators of which have submitted a complete application for a permit before that date, provided that such plants are put into operation no later than 7 January 2014, shall include conditions ensuring that emissions into air from these plants do not exceed the emission limit values set out in Part 1 of Annex V.</w:t>
      </w:r>
    </w:p>
    <w:p>
      <w:pPr>
        <w:pStyle w:val="0"/>
        <w:spacing w:before="200" w:line-rule="auto"/>
        <w:ind w:firstLine="540"/>
        <w:jc w:val="both"/>
      </w:pPr>
      <w:r>
        <w:rPr>
          <w:sz w:val="20"/>
        </w:rPr>
        <w:t xml:space="preserve">All permits for installations containing combustion plants which had been granted an exemption as referred to in Article 4 (4) of Directive 2001/80/EC and which are in operation after 1 January 2016, shall include conditions ensuring that emissions into the air from these plants do not exceed the emission limit values set out in Part 2 of Annex V.</w:t>
      </w:r>
    </w:p>
    <w:p>
      <w:pPr>
        <w:pStyle w:val="0"/>
        <w:spacing w:before="200" w:line-rule="auto"/>
        <w:ind w:firstLine="540"/>
        <w:jc w:val="both"/>
      </w:pPr>
      <w:r>
        <w:rPr>
          <w:sz w:val="20"/>
        </w:rPr>
        <w:t xml:space="preserve">3. All permits for installations containing combustion plants not covered by paragraph 2 shall include conditions ensuring that emissions into the air from these plants do not exceed the emission limit values set out in Part 2 of Annex V.</w:t>
      </w:r>
    </w:p>
    <w:p>
      <w:pPr>
        <w:pStyle w:val="0"/>
        <w:spacing w:before="200" w:line-rule="auto"/>
        <w:ind w:firstLine="540"/>
        <w:jc w:val="both"/>
      </w:pPr>
      <w:r>
        <w:rPr>
          <w:sz w:val="20"/>
        </w:rPr>
        <w:t xml:space="preserve">4. The emission limit values set out in Parts 1 and 2 of Annex V as well as the minimum rates of desulphurisation set out in Part 5 of that Annex shall apply to the emissions of each common stack in relation to the total rated thermal input of the entire combustion plant. Where Annex V provides that emission limit values may be applied for a part of a combustion plant with a limited number of operating hours, those limit values shall apply to the emissions of that part of the plant, but shall be set in relation to the total rated thermal input of the entire combustion plant.</w:t>
      </w:r>
    </w:p>
    <w:p>
      <w:pPr>
        <w:pStyle w:val="0"/>
        <w:spacing w:before="200" w:line-rule="auto"/>
        <w:ind w:firstLine="540"/>
        <w:jc w:val="both"/>
      </w:pPr>
      <w:r>
        <w:rPr>
          <w:sz w:val="20"/>
        </w:rPr>
        <w:t xml:space="preserve">5. The competent authority may grant a derogation for a maximum of 6 months from the obligation to comply with the emission limit values provided for in paragraphs 2 and 3 for sulphur dioxide in respect of a combustion plant which to this end normally uses low-sulphur fuel, in cases where the operator is unable to comply with those limit values because of an interruption in the supply of low-sulphur fuel resulting from a serious shortage.</w:t>
      </w:r>
    </w:p>
    <w:p>
      <w:pPr>
        <w:pStyle w:val="0"/>
        <w:spacing w:before="200" w:line-rule="auto"/>
        <w:ind w:firstLine="540"/>
        <w:jc w:val="both"/>
      </w:pPr>
      <w:r>
        <w:rPr>
          <w:sz w:val="20"/>
        </w:rPr>
        <w:t xml:space="preserve">Member States shall immediately inform the Commission of any derogation granted under the first subparagraph.</w:t>
      </w:r>
    </w:p>
    <w:p>
      <w:pPr>
        <w:pStyle w:val="0"/>
        <w:spacing w:before="200" w:line-rule="auto"/>
        <w:ind w:firstLine="540"/>
        <w:jc w:val="both"/>
      </w:pPr>
      <w:r>
        <w:rPr>
          <w:sz w:val="20"/>
        </w:rPr>
        <w:t xml:space="preserve">6. The competent authority may grant a derogation from the obligation to comply with the emission limit values provided for in paragraphs 2 and 3 in cases where a combustion plant using only gaseous fuel has to resort exceptionally to the use of other fuels because of a sudden interruption in the supply of gas and for this reason would need to be equipped with a waste gas purification facility. The period for which such a derogation is granted shall not exceed 10 days except where there is an overriding need to maintain energy supplies.</w:t>
      </w:r>
    </w:p>
    <w:p>
      <w:pPr>
        <w:pStyle w:val="0"/>
        <w:spacing w:before="200" w:line-rule="auto"/>
        <w:ind w:firstLine="540"/>
        <w:jc w:val="both"/>
      </w:pPr>
      <w:r>
        <w:rPr>
          <w:sz w:val="20"/>
        </w:rPr>
        <w:t xml:space="preserve">The operator shall immediately inform the competent authority of each specific case referred to in the first subparagraph.</w:t>
      </w:r>
    </w:p>
    <w:p>
      <w:pPr>
        <w:pStyle w:val="0"/>
        <w:spacing w:before="200" w:line-rule="auto"/>
        <w:ind w:firstLine="540"/>
        <w:jc w:val="both"/>
      </w:pPr>
      <w:r>
        <w:rPr>
          <w:sz w:val="20"/>
        </w:rPr>
        <w:t xml:space="preserve">Member States shall inform the Commission immediately of any derogation granted under the first subparagraph.</w:t>
      </w:r>
    </w:p>
    <w:p>
      <w:pPr>
        <w:pStyle w:val="0"/>
        <w:spacing w:before="200" w:line-rule="auto"/>
        <w:ind w:firstLine="540"/>
        <w:jc w:val="both"/>
      </w:pPr>
      <w:r>
        <w:rPr>
          <w:sz w:val="20"/>
        </w:rPr>
        <w:t xml:space="preserve">7. Where a combustion plant is extended, the emission limit values set out in Part 2 of Annex V shall apply to the extended part of the plant affected by the change and shall be set in relation to the total rated thermal input of the entire combustion plant. In the case of a change to a combustion plant, which may have consequences for the environment and which affects a part of the plant with a rated thermal input of 50 MW or more, the emission limit values as set out in Part 2 of Annex V shall apply to the part of the plant which has changed in relation to the total rated thermal input of the entire combustion plant.</w:t>
      </w:r>
    </w:p>
    <w:p>
      <w:pPr>
        <w:pStyle w:val="0"/>
        <w:spacing w:before="200" w:line-rule="auto"/>
        <w:ind w:firstLine="540"/>
        <w:jc w:val="both"/>
      </w:pPr>
      <w:r>
        <w:rPr>
          <w:sz w:val="20"/>
        </w:rPr>
        <w:t xml:space="preserve">8. The emission limit values set out in Parts 1 and 2 of Annex V shall not apply to the following combustion plants:</w:t>
      </w:r>
    </w:p>
    <w:p>
      <w:pPr>
        <w:pStyle w:val="0"/>
        <w:spacing w:before="200" w:line-rule="auto"/>
        <w:ind w:firstLine="540"/>
        <w:jc w:val="both"/>
      </w:pPr>
      <w:r>
        <w:rPr>
          <w:sz w:val="20"/>
        </w:rPr>
        <w:t xml:space="preserve">(a) diesel engines;</w:t>
      </w:r>
    </w:p>
    <w:p>
      <w:pPr>
        <w:pStyle w:val="0"/>
        <w:spacing w:before="200" w:line-rule="auto"/>
        <w:ind w:firstLine="540"/>
        <w:jc w:val="both"/>
      </w:pPr>
      <w:r>
        <w:rPr>
          <w:sz w:val="20"/>
        </w:rPr>
        <w:t xml:space="preserve">(b) recovery boilers within installations for the production of pulp.</w:t>
      </w:r>
    </w:p>
    <w:p>
      <w:pPr>
        <w:pStyle w:val="0"/>
        <w:spacing w:before="200" w:line-rule="auto"/>
        <w:ind w:firstLine="540"/>
        <w:jc w:val="both"/>
      </w:pPr>
      <w:r>
        <w:rPr>
          <w:sz w:val="20"/>
        </w:rPr>
        <w:t xml:space="preserve">9. For the following combustion plants, on the basis of the best available techniques, the Commission shall review the need to establish Union-wide emission limit values and to amend the emission limit values set out in Annex V:</w:t>
      </w:r>
    </w:p>
    <w:p>
      <w:pPr>
        <w:pStyle w:val="0"/>
        <w:spacing w:before="200" w:line-rule="auto"/>
        <w:ind w:firstLine="540"/>
        <w:jc w:val="both"/>
      </w:pPr>
      <w:r>
        <w:rPr>
          <w:sz w:val="20"/>
        </w:rPr>
        <w:t xml:space="preserve">(a) the combustion plants referred to in paragraph 8;</w:t>
      </w:r>
    </w:p>
    <w:p>
      <w:pPr>
        <w:pStyle w:val="0"/>
        <w:spacing w:before="200" w:line-rule="auto"/>
        <w:ind w:firstLine="540"/>
        <w:jc w:val="both"/>
      </w:pPr>
      <w:r>
        <w:rPr>
          <w:sz w:val="20"/>
        </w:rPr>
        <w:t xml:space="preserve">(b) combustion plants within refineries firing the distillation and conversion residues from the refining of crude-oil for own consumption, alone or with other fuels, taking into account the specificity of the energy systems of refineries;</w:t>
      </w:r>
    </w:p>
    <w:p>
      <w:pPr>
        <w:pStyle w:val="0"/>
        <w:spacing w:before="200" w:line-rule="auto"/>
        <w:ind w:firstLine="540"/>
        <w:jc w:val="both"/>
      </w:pPr>
      <w:r>
        <w:rPr>
          <w:sz w:val="20"/>
        </w:rPr>
        <w:t xml:space="preserve">(c) combustion plants firing gases other than natural gas;</w:t>
      </w:r>
    </w:p>
    <w:p>
      <w:pPr>
        <w:pStyle w:val="0"/>
        <w:spacing w:before="200" w:line-rule="auto"/>
        <w:ind w:firstLine="540"/>
        <w:jc w:val="both"/>
      </w:pPr>
      <w:r>
        <w:rPr>
          <w:sz w:val="20"/>
        </w:rPr>
        <w:t xml:space="preserve">(d) combustion plants in chemical installations using liquid production residues as non-commercial fuel for own consumption.</w:t>
      </w:r>
    </w:p>
    <w:p>
      <w:pPr>
        <w:pStyle w:val="0"/>
        <w:spacing w:before="200" w:line-rule="auto"/>
        <w:ind w:firstLine="540"/>
        <w:jc w:val="both"/>
      </w:pPr>
      <w:r>
        <w:rPr>
          <w:sz w:val="20"/>
        </w:rPr>
        <w:t xml:space="preserve">The Commission shall, by 31 December 2013, report the results of this review to the European Parliament and to the Council accompanied, if appropriate, by a legislative proposal.</w:t>
      </w:r>
    </w:p>
    <w:p>
      <w:pPr>
        <w:pStyle w:val="0"/>
        <w:jc w:val="center"/>
      </w:pPr>
      <w:r>
        <w:rPr>
          <w:sz w:val="20"/>
        </w:rPr>
      </w:r>
    </w:p>
    <w:p>
      <w:pPr>
        <w:pStyle w:val="0"/>
        <w:outlineLvl w:val="2"/>
        <w:jc w:val="center"/>
      </w:pPr>
      <w:r>
        <w:rPr>
          <w:sz w:val="20"/>
        </w:rPr>
        <w:t xml:space="preserve">Article 31</w:t>
      </w:r>
    </w:p>
    <w:p>
      <w:pPr>
        <w:pStyle w:val="0"/>
        <w:jc w:val="center"/>
      </w:pPr>
      <w:r>
        <w:rPr>
          <w:sz w:val="20"/>
        </w:rPr>
      </w:r>
    </w:p>
    <w:p>
      <w:pPr>
        <w:pStyle w:val="0"/>
        <w:jc w:val="center"/>
      </w:pPr>
      <w:r>
        <w:rPr>
          <w:sz w:val="20"/>
        </w:rPr>
        <w:t xml:space="preserve">Desulphurisation rate</w:t>
      </w:r>
    </w:p>
    <w:p>
      <w:pPr>
        <w:pStyle w:val="0"/>
        <w:jc w:val="center"/>
      </w:pPr>
      <w:r>
        <w:rPr>
          <w:sz w:val="20"/>
        </w:rPr>
      </w:r>
    </w:p>
    <w:p>
      <w:pPr>
        <w:pStyle w:val="0"/>
        <w:ind w:firstLine="540"/>
        <w:jc w:val="both"/>
      </w:pPr>
      <w:r>
        <w:rPr>
          <w:sz w:val="20"/>
        </w:rPr>
        <w:t xml:space="preserve">1. For combustion plants firing indigenous solid fuel, which cannot comply with the emission limit values for sulphur dioxide referred to in Article 30 (2) and (3) due to the characteristics of this fuel, Member States may apply instead the minimum rates of desulphurisation set out in Part 5 of Annex V, in accordance with the compliance rules set out in Part 6 of that Annex and with prior validation by the competent authority of the technical report referred to in Article 72 (4) (a).</w:t>
      </w:r>
    </w:p>
    <w:p>
      <w:pPr>
        <w:pStyle w:val="1"/>
        <w:spacing w:before="200" w:line-rule="auto"/>
        <w:jc w:val="both"/>
      </w:pPr>
      <w:r>
        <w:rPr>
          <w:sz w:val="20"/>
        </w:rPr>
        <w:t xml:space="preserve">    2.   For   combustion   plants  firing  indigenous  solid  fuel,  which</w:t>
      </w:r>
    </w:p>
    <w:p>
      <w:pPr>
        <w:pStyle w:val="1"/>
        <w:jc w:val="both"/>
      </w:pPr>
      <w:r>
        <w:rPr>
          <w:sz w:val="20"/>
        </w:rPr>
        <w:t xml:space="preserve">co-incinerate  waste,  and  which  cannot  comply with the C     values for</w:t>
      </w:r>
    </w:p>
    <w:p>
      <w:pPr>
        <w:pStyle w:val="1"/>
        <w:jc w:val="both"/>
      </w:pPr>
      <w:r>
        <w:rPr>
          <w:sz w:val="20"/>
        </w:rPr>
        <w:t xml:space="preserve">                                                            proc</w:t>
      </w:r>
    </w:p>
    <w:p>
      <w:pPr>
        <w:pStyle w:val="1"/>
        <w:jc w:val="both"/>
      </w:pPr>
      <w:r>
        <w:rPr>
          <w:sz w:val="20"/>
        </w:rPr>
        <w:t xml:space="preserve">sulphur  dioxide  set out in points 3.1 or 3.2 of Part 4 of Annex VI due to</w:t>
      </w:r>
    </w:p>
    <w:p>
      <w:pPr>
        <w:pStyle w:val="1"/>
        <w:jc w:val="both"/>
      </w:pPr>
      <w:r>
        <w:rPr>
          <w:sz w:val="20"/>
        </w:rPr>
        <w:t xml:space="preserve">the  characteristics  of the indigenous solid fuel, Member States may apply</w:t>
      </w:r>
    </w:p>
    <w:p>
      <w:pPr>
        <w:pStyle w:val="1"/>
        <w:jc w:val="both"/>
      </w:pPr>
      <w:r>
        <w:rPr>
          <w:sz w:val="20"/>
        </w:rPr>
        <w:t xml:space="preserve">instead the minimum rates of desulphurisation set out in Part 5 of Annex V,</w:t>
      </w:r>
    </w:p>
    <w:p>
      <w:pPr>
        <w:pStyle w:val="1"/>
        <w:jc w:val="both"/>
      </w:pPr>
      <w:r>
        <w:rPr>
          <w:sz w:val="20"/>
        </w:rPr>
        <w:t xml:space="preserve">in accordance with the compliance rules set out in Part 6 of that Annex. If</w:t>
      </w:r>
    </w:p>
    <w:p>
      <w:pPr>
        <w:pStyle w:val="1"/>
        <w:jc w:val="both"/>
      </w:pPr>
      <w:r>
        <w:rPr>
          <w:sz w:val="20"/>
        </w:rPr>
        <w:t xml:space="preserve">Member  States  choose  to  apply  this paragraph, C      as referred to in</w:t>
      </w:r>
    </w:p>
    <w:p>
      <w:pPr>
        <w:pStyle w:val="1"/>
        <w:jc w:val="both"/>
      </w:pPr>
      <w:r>
        <w:rPr>
          <w:sz w:val="20"/>
        </w:rPr>
        <w:t xml:space="preserve">                                                    waste</w:t>
      </w:r>
    </w:p>
    <w:p>
      <w:pPr>
        <w:pStyle w:val="1"/>
        <w:jc w:val="both"/>
      </w:pPr>
      <w:r>
        <w:rPr>
          <w:sz w:val="20"/>
        </w:rPr>
        <w:t xml:space="preserve">                                                       3</w:t>
      </w:r>
    </w:p>
    <w:p>
      <w:pPr>
        <w:pStyle w:val="1"/>
        <w:jc w:val="both"/>
      </w:pPr>
      <w:r>
        <w:rPr>
          <w:sz w:val="20"/>
        </w:rPr>
        <w:t xml:space="preserve">point 1 of Part 4 of Annex VI shall be equal to 0 mg/Nm .</w:t>
      </w:r>
    </w:p>
    <w:p>
      <w:pPr>
        <w:pStyle w:val="0"/>
        <w:ind w:firstLine="540"/>
        <w:jc w:val="both"/>
      </w:pPr>
      <w:r>
        <w:rPr>
          <w:sz w:val="20"/>
        </w:rPr>
        <w:t xml:space="preserve">3. The Commission shall, by 31 December 2019, review the possibility of applying minimum rates of desulphurisation set out in Part 5 of Annex V, taking into account, in particular, the best available techniques and benefits obtained from reduced sulphur dioxide emissions.</w:t>
      </w:r>
    </w:p>
    <w:p>
      <w:pPr>
        <w:pStyle w:val="0"/>
        <w:jc w:val="center"/>
      </w:pPr>
      <w:r>
        <w:rPr>
          <w:sz w:val="20"/>
        </w:rPr>
      </w:r>
    </w:p>
    <w:p>
      <w:pPr>
        <w:pStyle w:val="0"/>
        <w:outlineLvl w:val="2"/>
        <w:jc w:val="center"/>
      </w:pPr>
      <w:r>
        <w:rPr>
          <w:sz w:val="20"/>
        </w:rPr>
        <w:t xml:space="preserve">Article 32</w:t>
      </w:r>
    </w:p>
    <w:p>
      <w:pPr>
        <w:pStyle w:val="0"/>
        <w:jc w:val="center"/>
      </w:pPr>
      <w:r>
        <w:rPr>
          <w:sz w:val="20"/>
        </w:rPr>
      </w:r>
    </w:p>
    <w:p>
      <w:pPr>
        <w:pStyle w:val="0"/>
        <w:jc w:val="center"/>
      </w:pPr>
      <w:r>
        <w:rPr>
          <w:sz w:val="20"/>
        </w:rPr>
        <w:t xml:space="preserve">Transitional National Plan</w:t>
      </w:r>
    </w:p>
    <w:p>
      <w:pPr>
        <w:pStyle w:val="0"/>
        <w:ind w:firstLine="540"/>
        <w:jc w:val="both"/>
      </w:pPr>
      <w:r>
        <w:rPr>
          <w:sz w:val="20"/>
        </w:rPr>
      </w:r>
    </w:p>
    <w:p>
      <w:pPr>
        <w:pStyle w:val="0"/>
        <w:ind w:firstLine="540"/>
        <w:jc w:val="both"/>
      </w:pPr>
      <w:r>
        <w:rPr>
          <w:sz w:val="20"/>
        </w:rPr>
        <w:t xml:space="preserve">1. During the period from 1 January 2016 to 30 June 2020, Member States may draw up and implement a transitional national plan covering combustion plants which were granted the first permit before 27 November 2002 or the operators of which had submitted a complete application for a permit before that date, provided that the plant was put into operation no later than 27 November 2003. For each of the combustion plants covered by the plan, the plan shall cover emissions of one or more of the following pollutants: nitrogen oxides, sulphur dioxide and dust. For gas turbines, only nitrogen oxides emissions shall be covered by the plan.</w:t>
      </w:r>
    </w:p>
    <w:p>
      <w:pPr>
        <w:pStyle w:val="0"/>
        <w:spacing w:before="200" w:line-rule="auto"/>
        <w:ind w:firstLine="540"/>
        <w:jc w:val="both"/>
      </w:pPr>
      <w:r>
        <w:rPr>
          <w:sz w:val="20"/>
        </w:rPr>
        <w:t xml:space="preserve">The transitional national plan shall not include any of the following combustion plants:</w:t>
      </w:r>
    </w:p>
    <w:p>
      <w:pPr>
        <w:pStyle w:val="0"/>
        <w:spacing w:before="200" w:line-rule="auto"/>
        <w:ind w:firstLine="540"/>
        <w:jc w:val="both"/>
      </w:pPr>
      <w:r>
        <w:rPr>
          <w:sz w:val="20"/>
        </w:rPr>
        <w:t xml:space="preserve">(a) those to which Article 33 (1) applies;</w:t>
      </w:r>
    </w:p>
    <w:p>
      <w:pPr>
        <w:pStyle w:val="0"/>
        <w:spacing w:before="200" w:line-rule="auto"/>
        <w:ind w:firstLine="540"/>
        <w:jc w:val="both"/>
      </w:pPr>
      <w:r>
        <w:rPr>
          <w:sz w:val="20"/>
        </w:rPr>
        <w:t xml:space="preserve">(b) those within refineries firing low calorific gases from the gasification of refinery residues or the distillation and conversion residues from the refining of crude oil for own consumption, alone or with other fuels;</w:t>
      </w:r>
    </w:p>
    <w:p>
      <w:pPr>
        <w:pStyle w:val="0"/>
        <w:spacing w:before="200" w:line-rule="auto"/>
        <w:ind w:firstLine="540"/>
        <w:jc w:val="both"/>
      </w:pPr>
      <w:r>
        <w:rPr>
          <w:sz w:val="20"/>
        </w:rPr>
        <w:t xml:space="preserve">(c) those to which Article 35 applies;</w:t>
      </w:r>
    </w:p>
    <w:p>
      <w:pPr>
        <w:pStyle w:val="0"/>
        <w:spacing w:before="200" w:line-rule="auto"/>
        <w:ind w:firstLine="540"/>
        <w:jc w:val="both"/>
      </w:pPr>
      <w:r>
        <w:rPr>
          <w:sz w:val="20"/>
        </w:rPr>
        <w:t xml:space="preserve">(d) those which are granted an exemption as referred to in Article 4 (4) of Directive 2001/80/EC.</w:t>
      </w:r>
    </w:p>
    <w:p>
      <w:pPr>
        <w:pStyle w:val="0"/>
        <w:spacing w:before="200" w:line-rule="auto"/>
        <w:ind w:firstLine="540"/>
        <w:jc w:val="both"/>
      </w:pPr>
      <w:r>
        <w:rPr>
          <w:sz w:val="20"/>
        </w:rPr>
        <w:t xml:space="preserve">2. Combustion plants covered by the plan may be exempted from compliance with the emission limit values referred to in Article 30 (2) for the pollutants which are subject to the plan or, where applicable, with the rates of desulphurisation referred to in Article 31.</w:t>
      </w:r>
    </w:p>
    <w:p>
      <w:pPr>
        <w:pStyle w:val="0"/>
        <w:spacing w:before="200" w:line-rule="auto"/>
        <w:ind w:firstLine="540"/>
        <w:jc w:val="both"/>
      </w:pPr>
      <w:r>
        <w:rPr>
          <w:sz w:val="20"/>
        </w:rPr>
        <w:t xml:space="preserve">The emission limit values for sulphur dioxide, nitrogen oxides and dust set out in the permit for the combustion plant applicable on 31 December 2015, pursuant in particular to the requirements of Directives 2001/80/EC and 2008/1/EC, shall at least be maintained.</w:t>
      </w:r>
    </w:p>
    <w:p>
      <w:pPr>
        <w:pStyle w:val="0"/>
        <w:spacing w:before="200" w:line-rule="auto"/>
        <w:ind w:firstLine="540"/>
        <w:jc w:val="both"/>
      </w:pPr>
      <w:r>
        <w:rPr>
          <w:sz w:val="20"/>
        </w:rPr>
        <w:t xml:space="preserve">Combustion plants with a total rated thermal input of more than 500 MW firing solid fuels, which were granted the first permit after 1 July 1987, shall comply with the emission limit values for nitrogen oxides set out in Part 1 of Annex V.</w:t>
      </w:r>
    </w:p>
    <w:p>
      <w:pPr>
        <w:pStyle w:val="0"/>
        <w:spacing w:before="200" w:line-rule="auto"/>
        <w:ind w:firstLine="540"/>
        <w:jc w:val="both"/>
      </w:pPr>
      <w:r>
        <w:rPr>
          <w:sz w:val="20"/>
        </w:rPr>
        <w:t xml:space="preserve">3. For each of the pollutants it covers, the transitional national plan shall set a ceiling defining the maximum total annual emissions for all of the plants covered by the plan on the basis of each plant's total rated thermal input on 31 December 2010, its actual annual operating hours and its fuel use, averaged over the last 10 years of operation up to and including 2010.</w:t>
      </w:r>
    </w:p>
    <w:p>
      <w:pPr>
        <w:pStyle w:val="0"/>
        <w:spacing w:before="200" w:line-rule="auto"/>
        <w:ind w:firstLine="540"/>
        <w:jc w:val="both"/>
      </w:pPr>
      <w:r>
        <w:rPr>
          <w:sz w:val="20"/>
        </w:rPr>
        <w:t xml:space="preserve">The ceiling for the year 2016 shall be calculated on the basis of the relevant emission limit values set out in Annexes III to VII to Directive 2001/80/EC or, where applicable, on the basis of the rates of desulphurisation set out in Annex III to Directive 2001/80/EC. In the case of gas turbines, the emission limit values for nitrogen oxides set out for such plants in Part B of Annex VI to Directive 2001/80/EC shall be used. The ceilings for the years 2019 and 2020 shall be calculated on the basis of the relevant emission limit values set out in Part 1 of Annex V to this Directive or, where applicable, the relevant rates of desulphurisation set out in Part 5 of Annex V to this Directive. The ceilings for the years 2017 and 2018 shall be set providing a linear decrease of the ceilings between 2016 and 2019.</w:t>
      </w:r>
    </w:p>
    <w:p>
      <w:pPr>
        <w:pStyle w:val="0"/>
        <w:spacing w:before="200" w:line-rule="auto"/>
        <w:ind w:firstLine="540"/>
        <w:jc w:val="both"/>
      </w:pPr>
      <w:r>
        <w:rPr>
          <w:sz w:val="20"/>
        </w:rPr>
        <w:t xml:space="preserve">Where a plant included in the transitional national plan is closed or no longer falls within the scope of Chapter III, this shall not result in an increase in total annual emissions from the remaining plants covered by the plan.</w:t>
      </w:r>
    </w:p>
    <w:p>
      <w:pPr>
        <w:pStyle w:val="0"/>
        <w:spacing w:before="200" w:line-rule="auto"/>
        <w:ind w:firstLine="540"/>
        <w:jc w:val="both"/>
      </w:pPr>
      <w:r>
        <w:rPr>
          <w:sz w:val="20"/>
        </w:rPr>
        <w:t xml:space="preserve">4. The transitional national plan shall also contain provisions on monitoring and reporting that comply with the implementing rules established in accordance with Article 41 (b), as well as the measures foreseen for each of the plants in order to ensure timely compliance with the emission limit values that will apply from 1 July 2020.</w:t>
      </w:r>
    </w:p>
    <w:p>
      <w:pPr>
        <w:pStyle w:val="0"/>
        <w:spacing w:before="200" w:line-rule="auto"/>
        <w:ind w:firstLine="540"/>
        <w:jc w:val="both"/>
      </w:pPr>
      <w:r>
        <w:rPr>
          <w:sz w:val="20"/>
        </w:rPr>
        <w:t xml:space="preserve">5. Not later than 1 January 2013, Member States shall communicate their transitional national plans to the Commission.</w:t>
      </w:r>
    </w:p>
    <w:p>
      <w:pPr>
        <w:pStyle w:val="0"/>
        <w:spacing w:before="200" w:line-rule="auto"/>
        <w:ind w:firstLine="540"/>
        <w:jc w:val="both"/>
      </w:pPr>
      <w:r>
        <w:rPr>
          <w:sz w:val="20"/>
        </w:rPr>
        <w:t xml:space="preserve">The Commission shall evaluate the plans and, where the Commission has raised no objections within 12 months of receipt of a plan, the Member State concerned shall consider its plan to be accepted.</w:t>
      </w:r>
    </w:p>
    <w:p>
      <w:pPr>
        <w:pStyle w:val="0"/>
        <w:spacing w:before="200" w:line-rule="auto"/>
        <w:ind w:firstLine="540"/>
        <w:jc w:val="both"/>
      </w:pPr>
      <w:r>
        <w:rPr>
          <w:sz w:val="20"/>
        </w:rPr>
        <w:t xml:space="preserve">When the Commission considers a plan not to be in accordance with the implementing rules established in accordance with Article 41 (b), it shall inform the Member State concerned that its plan cannot be accepted. In relation to the evaluation of a new version of a plan which a Member State communicates to the Commission, the time period referred to in the second subparagraph shall be 6 months.</w:t>
      </w:r>
    </w:p>
    <w:p>
      <w:pPr>
        <w:pStyle w:val="0"/>
        <w:spacing w:before="200" w:line-rule="auto"/>
        <w:ind w:firstLine="540"/>
        <w:jc w:val="both"/>
      </w:pPr>
      <w:r>
        <w:rPr>
          <w:sz w:val="20"/>
        </w:rPr>
        <w:t xml:space="preserve">6. Member States shall inform the Commission of any subsequent changes to the plan.</w:t>
      </w:r>
    </w:p>
    <w:p>
      <w:pPr>
        <w:pStyle w:val="0"/>
        <w:jc w:val="center"/>
      </w:pPr>
      <w:r>
        <w:rPr>
          <w:sz w:val="20"/>
        </w:rPr>
      </w:r>
    </w:p>
    <w:p>
      <w:pPr>
        <w:pStyle w:val="0"/>
        <w:outlineLvl w:val="2"/>
        <w:jc w:val="center"/>
      </w:pPr>
      <w:r>
        <w:rPr>
          <w:sz w:val="20"/>
        </w:rPr>
        <w:t xml:space="preserve">Article 33</w:t>
      </w:r>
    </w:p>
    <w:p>
      <w:pPr>
        <w:pStyle w:val="0"/>
        <w:jc w:val="center"/>
      </w:pPr>
      <w:r>
        <w:rPr>
          <w:sz w:val="20"/>
        </w:rPr>
      </w:r>
    </w:p>
    <w:p>
      <w:pPr>
        <w:pStyle w:val="0"/>
        <w:jc w:val="center"/>
      </w:pPr>
      <w:r>
        <w:rPr>
          <w:sz w:val="20"/>
        </w:rPr>
        <w:t xml:space="preserve">Limited life time derogation</w:t>
      </w:r>
    </w:p>
    <w:p>
      <w:pPr>
        <w:pStyle w:val="0"/>
        <w:ind w:firstLine="540"/>
        <w:jc w:val="both"/>
      </w:pPr>
      <w:r>
        <w:rPr>
          <w:sz w:val="20"/>
        </w:rPr>
      </w:r>
    </w:p>
    <w:p>
      <w:pPr>
        <w:pStyle w:val="0"/>
        <w:ind w:firstLine="540"/>
        <w:jc w:val="both"/>
      </w:pPr>
      <w:r>
        <w:rPr>
          <w:sz w:val="20"/>
        </w:rPr>
        <w:t xml:space="preserve">1. During the period from 1 January 2016 to 31 December 2023, combustion plants may be exempted from compliance with the emission limit values referred to in Article 30 (2) and with the rates of desulphurisation referred to in Article 31, where applicable, and from their inclusion in the transitional national plan referred to in Article 32 provided that the following conditions are fulfilled:</w:t>
      </w:r>
    </w:p>
    <w:p>
      <w:pPr>
        <w:pStyle w:val="0"/>
        <w:spacing w:before="200" w:line-rule="auto"/>
        <w:ind w:firstLine="540"/>
        <w:jc w:val="both"/>
      </w:pPr>
      <w:r>
        <w:rPr>
          <w:sz w:val="20"/>
        </w:rPr>
        <w:t xml:space="preserve">(a) the operator of the combustion plant undertakes, in a written declaration submitted by 1 January 2014 at the latest to the competent authority, not to operate the plant for more than 17500 operating hours, starting from 1 January 2016 and ending no later than 31 December 2023;</w:t>
      </w:r>
    </w:p>
    <w:p>
      <w:pPr>
        <w:pStyle w:val="0"/>
        <w:spacing w:before="200" w:line-rule="auto"/>
        <w:ind w:firstLine="540"/>
        <w:jc w:val="both"/>
      </w:pPr>
      <w:r>
        <w:rPr>
          <w:sz w:val="20"/>
        </w:rPr>
        <w:t xml:space="preserve">(b) the operator is required to submit each year to the competent authority a record of the number of operating hours since 1 January 2016;</w:t>
      </w:r>
    </w:p>
    <w:p>
      <w:pPr>
        <w:pStyle w:val="0"/>
        <w:spacing w:before="200" w:line-rule="auto"/>
        <w:ind w:firstLine="540"/>
        <w:jc w:val="both"/>
      </w:pPr>
      <w:r>
        <w:rPr>
          <w:sz w:val="20"/>
        </w:rPr>
        <w:t xml:space="preserve">(c) the emission limit values for sulphur dioxides, nitrogen oxides and dust set out in the permit for the combustion plant applicable on 31 December 2015, pursuant in particular to the requirements of Directives 2001/80/EC and 2008/1/EC, shall at least be maintained during the remaining operational life of the combustion plant. Combustion plants with a total rated thermal input of more than 500 MW firing solid fuels, which were granted the first permit after 1 July 1987, shall comply with the emission limit values for nitrogen oxides set out in Part 1 of Annex V; and</w:t>
      </w:r>
    </w:p>
    <w:p>
      <w:pPr>
        <w:pStyle w:val="0"/>
        <w:spacing w:before="200" w:line-rule="auto"/>
        <w:ind w:firstLine="540"/>
        <w:jc w:val="both"/>
      </w:pPr>
      <w:r>
        <w:rPr>
          <w:sz w:val="20"/>
        </w:rPr>
        <w:t xml:space="preserve">(d) the combustion plant has not been granted an exemption as referred to in Article 4 (4) of Directive 2001/80/EC.</w:t>
      </w:r>
    </w:p>
    <w:p>
      <w:pPr>
        <w:pStyle w:val="0"/>
        <w:spacing w:before="200" w:line-rule="auto"/>
        <w:ind w:firstLine="540"/>
        <w:jc w:val="both"/>
      </w:pPr>
      <w:r>
        <w:rPr>
          <w:sz w:val="20"/>
        </w:rPr>
        <w:t xml:space="preserve">2. At the latest on 1 January 2016, each Member State shall communicate to the Commission a list of any combustion plants to which paragraph 1 applies, including their total rated thermal input, the fuel types used and the applicable emission limit values for sulphur dioxide, nitrogen oxides and dust. For plants subject to paragraph 1, Member States shall communicate annually to the Commission a record of the number of operating hours since 1 January 2016.</w:t>
      </w:r>
    </w:p>
    <w:p>
      <w:pPr>
        <w:pStyle w:val="0"/>
        <w:spacing w:before="200" w:line-rule="auto"/>
        <w:ind w:firstLine="540"/>
        <w:jc w:val="both"/>
      </w:pPr>
      <w:r>
        <w:rPr>
          <w:sz w:val="20"/>
        </w:rPr>
        <w:t xml:space="preserve">3. In case of a combustion plant being, on 6 January 2011, part of a small isolated system and accounting at that date for at least 35% of the electricity supply within that system, which is unable, due to its technical characteristics, to comply with the emission limit values referred to in Article 30 (2), the number of operating hours referred to in paragraph 1 (a) of this Article shall be 18000, starting from 1 January 2020 and ending no later than 31 December 2023, and the date referred to in paragraph 1 (b) and paragraph 2 of this Article shall be 1 January 2020.</w:t>
      </w:r>
    </w:p>
    <w:p>
      <w:pPr>
        <w:pStyle w:val="0"/>
        <w:spacing w:before="200" w:line-rule="auto"/>
        <w:ind w:firstLine="540"/>
        <w:jc w:val="both"/>
      </w:pPr>
      <w:r>
        <w:rPr>
          <w:sz w:val="20"/>
        </w:rPr>
        <w:t xml:space="preserve">4. In case of a combustion plant with a total rated thermal input of more than 1 500 MW which started operating before 31 December 1986 and fires indigenous solid fuel with a net calorific value of less than 5800 kJ/kg, a moisture content greater than 45% by weight, a combined moisture and ash content greater than 60% by weight and a calcium oxide content in ash greater than 10%, the number of operating hours referred to in paragraph 1 (a) shall be 32000.</w:t>
      </w:r>
    </w:p>
    <w:p>
      <w:pPr>
        <w:pStyle w:val="0"/>
        <w:jc w:val="center"/>
      </w:pPr>
      <w:r>
        <w:rPr>
          <w:sz w:val="20"/>
        </w:rPr>
      </w:r>
    </w:p>
    <w:p>
      <w:pPr>
        <w:pStyle w:val="0"/>
        <w:outlineLvl w:val="2"/>
        <w:jc w:val="center"/>
      </w:pPr>
      <w:r>
        <w:rPr>
          <w:sz w:val="20"/>
        </w:rPr>
        <w:t xml:space="preserve">Article 34</w:t>
      </w:r>
    </w:p>
    <w:p>
      <w:pPr>
        <w:pStyle w:val="0"/>
        <w:jc w:val="center"/>
      </w:pPr>
      <w:r>
        <w:rPr>
          <w:sz w:val="20"/>
        </w:rPr>
      </w:r>
    </w:p>
    <w:p>
      <w:pPr>
        <w:pStyle w:val="0"/>
        <w:jc w:val="center"/>
      </w:pPr>
      <w:r>
        <w:rPr>
          <w:sz w:val="20"/>
        </w:rPr>
        <w:t xml:space="preserve">Small isolated systems</w:t>
      </w:r>
    </w:p>
    <w:p>
      <w:pPr>
        <w:pStyle w:val="0"/>
        <w:jc w:val="center"/>
      </w:pPr>
      <w:r>
        <w:rPr>
          <w:sz w:val="20"/>
        </w:rPr>
      </w:r>
    </w:p>
    <w:p>
      <w:pPr>
        <w:pStyle w:val="0"/>
        <w:ind w:firstLine="540"/>
        <w:jc w:val="both"/>
      </w:pPr>
      <w:r>
        <w:rPr>
          <w:sz w:val="20"/>
        </w:rPr>
        <w:t xml:space="preserve">1. Until 31 December 2019, combustion plants being, on 6 January 2011, part of a small isolated system may be exempted from compliance with the emission limit values referred to in Article 30 (2) and the rates of desulphurisation referred to in Article 31, where applicable. Until 31 December 2019, the emission limit values set out in the permits of these combustion plants, pursuant in particular to the requirements of Directives 2001/80/EC and 2008/1/EC, shall at least be maintained.</w:t>
      </w:r>
    </w:p>
    <w:p>
      <w:pPr>
        <w:pStyle w:val="0"/>
        <w:spacing w:before="200" w:line-rule="auto"/>
        <w:ind w:firstLine="540"/>
        <w:jc w:val="both"/>
      </w:pPr>
      <w:r>
        <w:rPr>
          <w:sz w:val="20"/>
        </w:rPr>
        <w:t xml:space="preserve">2. Combustion plants with a total rated thermal input of more than 500 MW firing solid fuels, which were granted the first permit after 1 July 1987, shall comply with the emission limit values for nitrogen oxides set out in Part 1 of Annex V.</w:t>
      </w:r>
    </w:p>
    <w:p>
      <w:pPr>
        <w:pStyle w:val="0"/>
        <w:spacing w:before="200" w:line-rule="auto"/>
        <w:ind w:firstLine="540"/>
        <w:jc w:val="both"/>
      </w:pPr>
      <w:r>
        <w:rPr>
          <w:sz w:val="20"/>
        </w:rPr>
        <w:t xml:space="preserve">3. Where there are, on the territory of a Member State combustion plants covered by this Chapter that are part of a small isolated system, that Member State shall report to the Commission before 7 January 2013 a list of those combustion plants, the total annual energy consumption of the small isolated system and the amount of energy obtained through interconnection with other systems.</w:t>
      </w:r>
    </w:p>
    <w:p>
      <w:pPr>
        <w:pStyle w:val="0"/>
        <w:jc w:val="center"/>
      </w:pPr>
      <w:r>
        <w:rPr>
          <w:sz w:val="20"/>
        </w:rPr>
      </w:r>
    </w:p>
    <w:p>
      <w:pPr>
        <w:pStyle w:val="0"/>
        <w:outlineLvl w:val="2"/>
        <w:jc w:val="center"/>
      </w:pPr>
      <w:r>
        <w:rPr>
          <w:sz w:val="20"/>
        </w:rPr>
        <w:t xml:space="preserve">Article 35</w:t>
      </w:r>
    </w:p>
    <w:p>
      <w:pPr>
        <w:pStyle w:val="0"/>
        <w:jc w:val="center"/>
      </w:pPr>
      <w:r>
        <w:rPr>
          <w:sz w:val="20"/>
        </w:rPr>
      </w:r>
    </w:p>
    <w:p>
      <w:pPr>
        <w:pStyle w:val="0"/>
        <w:jc w:val="center"/>
      </w:pPr>
      <w:r>
        <w:rPr>
          <w:sz w:val="20"/>
        </w:rPr>
        <w:t xml:space="preserve">District heating plants</w:t>
      </w:r>
    </w:p>
    <w:p>
      <w:pPr>
        <w:pStyle w:val="0"/>
        <w:jc w:val="center"/>
      </w:pPr>
      <w:r>
        <w:rPr>
          <w:sz w:val="20"/>
        </w:rPr>
      </w:r>
    </w:p>
    <w:p>
      <w:pPr>
        <w:pStyle w:val="0"/>
        <w:ind w:firstLine="540"/>
        <w:jc w:val="both"/>
      </w:pPr>
      <w:r>
        <w:rPr>
          <w:sz w:val="20"/>
        </w:rPr>
        <w:t xml:space="preserve">1. Until 31 December 2022, a combustion plant may be exempted from compliance with the emission limit values referred to in Article 30 (2) and the rates of desulphurisation referred to in Article 31 provided that the following conditions are fulfilled:</w:t>
      </w:r>
    </w:p>
    <w:p>
      <w:pPr>
        <w:pStyle w:val="0"/>
        <w:spacing w:before="200" w:line-rule="auto"/>
        <w:ind w:firstLine="540"/>
        <w:jc w:val="both"/>
      </w:pPr>
      <w:r>
        <w:rPr>
          <w:sz w:val="20"/>
        </w:rPr>
        <w:t xml:space="preserve">(a) the total rated thermal input of the combustion plant does not exceed 200 MW;</w:t>
      </w:r>
    </w:p>
    <w:p>
      <w:pPr>
        <w:pStyle w:val="0"/>
        <w:spacing w:before="200" w:line-rule="auto"/>
        <w:ind w:firstLine="540"/>
        <w:jc w:val="both"/>
      </w:pPr>
      <w:r>
        <w:rPr>
          <w:sz w:val="20"/>
        </w:rPr>
        <w:t xml:space="preserve">(b) the plant was granted a first permit before 27 November 2002 or the operator of that plant had submitted a complete application for a permit before that date, provided that it was put into operation no later than 27 November 2003;</w:t>
      </w:r>
    </w:p>
    <w:p>
      <w:pPr>
        <w:pStyle w:val="0"/>
        <w:spacing w:before="200" w:line-rule="auto"/>
        <w:ind w:firstLine="540"/>
        <w:jc w:val="both"/>
      </w:pPr>
      <w:r>
        <w:rPr>
          <w:sz w:val="20"/>
        </w:rPr>
        <w:t xml:space="preserve">(c) at least 50% of the useful heat production of the plant, as a rolling average over a period of 5 years, is delivered in the form of steam or hot water to a public network for district heating; and</w:t>
      </w:r>
    </w:p>
    <w:p>
      <w:pPr>
        <w:pStyle w:val="0"/>
        <w:spacing w:before="200" w:line-rule="auto"/>
        <w:ind w:firstLine="540"/>
        <w:jc w:val="both"/>
      </w:pPr>
      <w:r>
        <w:rPr>
          <w:sz w:val="20"/>
        </w:rPr>
        <w:t xml:space="preserve">(d) the emission limit values for sulphur dioxide, nitrogen oxides and dust set out in its permit applicable on 31 December 2015, pursuant in particular to the requirements of Directives 2001/80/EC and 2008/1/EC, are at least maintained until 31 December 2022.</w:t>
      </w:r>
    </w:p>
    <w:p>
      <w:pPr>
        <w:pStyle w:val="0"/>
        <w:spacing w:before="200" w:line-rule="auto"/>
        <w:ind w:firstLine="540"/>
        <w:jc w:val="both"/>
      </w:pPr>
      <w:r>
        <w:rPr>
          <w:sz w:val="20"/>
        </w:rPr>
        <w:t xml:space="preserve">2. At the latest on 1 January 2016, each Member State shall communicate to the Commission a list of any combustion plants to which paragraph 1 applies, including their total rated thermal input, the fuel types used and the applicable emission limit values for sulphur dioxide, nitrogen oxides and dust. In addition, Member States shall, for any combustion plants to which paragraph 1 applies and during the period mentioned in that paragraph, inform the Commission annually of the proportion of useful heat production of each plant which was delivered in the form of steam or hot water to a public network for district heating, expressed as a rolling average over the preceding 5 years.</w:t>
      </w:r>
    </w:p>
    <w:p>
      <w:pPr>
        <w:pStyle w:val="0"/>
        <w:jc w:val="center"/>
      </w:pPr>
      <w:r>
        <w:rPr>
          <w:sz w:val="20"/>
        </w:rPr>
      </w:r>
    </w:p>
    <w:p>
      <w:pPr>
        <w:pStyle w:val="0"/>
        <w:outlineLvl w:val="2"/>
        <w:jc w:val="center"/>
      </w:pPr>
      <w:r>
        <w:rPr>
          <w:sz w:val="20"/>
        </w:rPr>
        <w:t xml:space="preserve">Article 36</w:t>
      </w:r>
    </w:p>
    <w:p>
      <w:pPr>
        <w:pStyle w:val="0"/>
        <w:jc w:val="center"/>
      </w:pPr>
      <w:r>
        <w:rPr>
          <w:sz w:val="20"/>
        </w:rPr>
      </w:r>
    </w:p>
    <w:p>
      <w:pPr>
        <w:pStyle w:val="0"/>
        <w:jc w:val="center"/>
      </w:pPr>
      <w:r>
        <w:rPr>
          <w:sz w:val="20"/>
        </w:rPr>
        <w:t xml:space="preserve">Geological storage of carbon dioxide</w:t>
      </w:r>
    </w:p>
    <w:p>
      <w:pPr>
        <w:pStyle w:val="0"/>
        <w:ind w:firstLine="540"/>
        <w:jc w:val="both"/>
      </w:pPr>
      <w:r>
        <w:rPr>
          <w:sz w:val="20"/>
        </w:rPr>
      </w:r>
    </w:p>
    <w:p>
      <w:pPr>
        <w:pStyle w:val="0"/>
        <w:ind w:firstLine="540"/>
        <w:jc w:val="both"/>
      </w:pPr>
      <w:r>
        <w:rPr>
          <w:sz w:val="20"/>
        </w:rPr>
        <w:t xml:space="preserve">1. Member States shall ensure that operators of all combustion plants with a rated electrical output of 300 megawatts or more for which the original construction licence or, in the absence of such a procedure, the original operating licence is granted after the entry into force of Directive 2009/31/EC of the European Parliament and of the Council of 23 April 2009 on the geological storage of carbon dioxide &lt;*&gt;, have assessed whether the following conditions are met: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L 140, 5.6.2009, p. 114.</w:t>
      </w:r>
    </w:p>
    <w:p>
      <w:pPr>
        <w:pStyle w:val="0"/>
        <w:ind w:firstLine="540"/>
        <w:jc w:val="both"/>
      </w:pPr>
      <w:r>
        <w:rPr>
          <w:sz w:val="20"/>
        </w:rPr>
      </w:r>
    </w:p>
    <w:p>
      <w:pPr>
        <w:pStyle w:val="0"/>
        <w:ind w:firstLine="540"/>
        <w:jc w:val="both"/>
      </w:pPr>
      <w:r>
        <w:rPr>
          <w:sz w:val="20"/>
        </w:rPr>
        <w:t xml:space="preserve">(a) suitable storage sites are available,</w:t>
      </w:r>
    </w:p>
    <w:p>
      <w:pPr>
        <w:pStyle w:val="0"/>
        <w:spacing w:before="200" w:line-rule="auto"/>
        <w:ind w:firstLine="540"/>
        <w:jc w:val="both"/>
      </w:pPr>
      <w:r>
        <w:rPr>
          <w:sz w:val="20"/>
        </w:rPr>
        <w:t xml:space="preserve">(b) transport facilities are technically and economically feasible,</w:t>
      </w:r>
    </w:p>
    <w:p>
      <w:pPr>
        <w:pStyle w:val="0"/>
        <w:spacing w:before="200" w:line-rule="auto"/>
        <w:ind w:firstLine="540"/>
        <w:jc w:val="both"/>
      </w:pPr>
      <w:r>
        <w:rPr>
          <w:sz w:val="20"/>
        </w:rPr>
        <w:t xml:space="preserve">(c) it is technically and economically feasible to retrofit for carbon dioxide capture.</w:t>
      </w:r>
    </w:p>
    <w:p>
      <w:pPr>
        <w:pStyle w:val="0"/>
        <w:spacing w:before="200" w:line-rule="auto"/>
        <w:ind w:firstLine="540"/>
        <w:jc w:val="both"/>
      </w:pPr>
      <w:r>
        <w:rPr>
          <w:sz w:val="20"/>
        </w:rPr>
        <w:t xml:space="preserve">2. If the conditions laid down in paragraph 1 are met, the competent authority shall ensure that suitable space on the installation site for the equipment necessary to capture and compress carbon dioxide is set aside. The competent authority shall determine whether the conditions are met on the basis of the assessment referred to in paragraph 1 and other available information, particularly concerning the protection of the environment and human health.</w:t>
      </w:r>
    </w:p>
    <w:p>
      <w:pPr>
        <w:pStyle w:val="0"/>
        <w:jc w:val="center"/>
      </w:pPr>
      <w:r>
        <w:rPr>
          <w:sz w:val="20"/>
        </w:rPr>
      </w:r>
    </w:p>
    <w:p>
      <w:pPr>
        <w:pStyle w:val="0"/>
        <w:outlineLvl w:val="2"/>
        <w:jc w:val="center"/>
      </w:pPr>
      <w:r>
        <w:rPr>
          <w:sz w:val="20"/>
        </w:rPr>
        <w:t xml:space="preserve">Article 37</w:t>
      </w:r>
    </w:p>
    <w:p>
      <w:pPr>
        <w:pStyle w:val="0"/>
        <w:jc w:val="center"/>
      </w:pPr>
      <w:r>
        <w:rPr>
          <w:sz w:val="20"/>
        </w:rPr>
      </w:r>
    </w:p>
    <w:p>
      <w:pPr>
        <w:pStyle w:val="0"/>
        <w:jc w:val="center"/>
      </w:pPr>
      <w:r>
        <w:rPr>
          <w:sz w:val="20"/>
        </w:rPr>
        <w:t xml:space="preserve">Malfunction or breakdown of the abatement equipment</w:t>
      </w:r>
    </w:p>
    <w:p>
      <w:pPr>
        <w:pStyle w:val="0"/>
        <w:ind w:firstLine="540"/>
        <w:jc w:val="both"/>
      </w:pPr>
      <w:r>
        <w:rPr>
          <w:sz w:val="20"/>
        </w:rPr>
      </w:r>
    </w:p>
    <w:p>
      <w:pPr>
        <w:pStyle w:val="0"/>
        <w:ind w:firstLine="540"/>
        <w:jc w:val="both"/>
      </w:pPr>
      <w:r>
        <w:rPr>
          <w:sz w:val="20"/>
        </w:rPr>
        <w:t xml:space="preserve">1. Member States shall ensure that provision is made in the permits for procedures relating to malfunction or breakdown of the abatement equipment.</w:t>
      </w:r>
    </w:p>
    <w:p>
      <w:pPr>
        <w:pStyle w:val="0"/>
        <w:spacing w:before="200" w:line-rule="auto"/>
        <w:ind w:firstLine="540"/>
        <w:jc w:val="both"/>
      </w:pPr>
      <w:r>
        <w:rPr>
          <w:sz w:val="20"/>
        </w:rPr>
        <w:t xml:space="preserve">2. In the case of a breakdown, the competent authority shall require the operator to reduce or close down operations if a return to normal operation is not achieved within 24 hours, or to operate the plant using low polluting fuels.</w:t>
      </w:r>
    </w:p>
    <w:p>
      <w:pPr>
        <w:pStyle w:val="0"/>
        <w:spacing w:before="200" w:line-rule="auto"/>
        <w:ind w:firstLine="540"/>
        <w:jc w:val="both"/>
      </w:pPr>
      <w:r>
        <w:rPr>
          <w:sz w:val="20"/>
        </w:rPr>
        <w:t xml:space="preserve">The operator shall notify the competent authority within 48 hours after the malfunction or breakdown of the abatement equipment.</w:t>
      </w:r>
    </w:p>
    <w:p>
      <w:pPr>
        <w:pStyle w:val="0"/>
        <w:spacing w:before="200" w:line-rule="auto"/>
        <w:ind w:firstLine="540"/>
        <w:jc w:val="both"/>
      </w:pPr>
      <w:r>
        <w:rPr>
          <w:sz w:val="20"/>
        </w:rPr>
        <w:t xml:space="preserve">The cumulative duration of unabated operation shall not exceed 120 hours in any 12-month period.</w:t>
      </w:r>
    </w:p>
    <w:p>
      <w:pPr>
        <w:pStyle w:val="0"/>
        <w:spacing w:before="200" w:line-rule="auto"/>
        <w:ind w:firstLine="540"/>
        <w:jc w:val="both"/>
      </w:pPr>
      <w:r>
        <w:rPr>
          <w:sz w:val="20"/>
        </w:rPr>
        <w:t xml:space="preserve">The competent authority may grant a derogation from the time limits set out in the first and third subparagraphs in one of the following cases:</w:t>
      </w:r>
    </w:p>
    <w:p>
      <w:pPr>
        <w:pStyle w:val="0"/>
        <w:spacing w:before="200" w:line-rule="auto"/>
        <w:ind w:firstLine="540"/>
        <w:jc w:val="both"/>
      </w:pPr>
      <w:r>
        <w:rPr>
          <w:sz w:val="20"/>
        </w:rPr>
        <w:t xml:space="preserve">(a) there is an overriding need to maintain energy supplies;</w:t>
      </w:r>
    </w:p>
    <w:p>
      <w:pPr>
        <w:pStyle w:val="0"/>
        <w:spacing w:before="200" w:line-rule="auto"/>
        <w:ind w:firstLine="540"/>
        <w:jc w:val="both"/>
      </w:pPr>
      <w:r>
        <w:rPr>
          <w:sz w:val="20"/>
        </w:rPr>
        <w:t xml:space="preserve">(b) the combustion plant with the breakdown would be replaced for a limited period by another plant which would cause an overall increase in emissions.</w:t>
      </w:r>
    </w:p>
    <w:p>
      <w:pPr>
        <w:pStyle w:val="0"/>
        <w:jc w:val="center"/>
      </w:pPr>
      <w:r>
        <w:rPr>
          <w:sz w:val="20"/>
        </w:rPr>
      </w:r>
    </w:p>
    <w:p>
      <w:pPr>
        <w:pStyle w:val="0"/>
        <w:outlineLvl w:val="2"/>
        <w:jc w:val="center"/>
      </w:pPr>
      <w:r>
        <w:rPr>
          <w:sz w:val="20"/>
        </w:rPr>
        <w:t xml:space="preserve">Article 38</w:t>
      </w:r>
    </w:p>
    <w:p>
      <w:pPr>
        <w:pStyle w:val="0"/>
        <w:jc w:val="center"/>
      </w:pPr>
      <w:r>
        <w:rPr>
          <w:sz w:val="20"/>
        </w:rPr>
      </w:r>
    </w:p>
    <w:p>
      <w:pPr>
        <w:pStyle w:val="0"/>
        <w:jc w:val="center"/>
      </w:pPr>
      <w:r>
        <w:rPr>
          <w:sz w:val="20"/>
        </w:rPr>
        <w:t xml:space="preserve">Monitoring of emissions into air</w:t>
      </w:r>
    </w:p>
    <w:p>
      <w:pPr>
        <w:pStyle w:val="0"/>
        <w:ind w:firstLine="540"/>
        <w:jc w:val="both"/>
      </w:pPr>
      <w:r>
        <w:rPr>
          <w:sz w:val="20"/>
        </w:rPr>
      </w:r>
    </w:p>
    <w:p>
      <w:pPr>
        <w:pStyle w:val="0"/>
        <w:ind w:firstLine="540"/>
        <w:jc w:val="both"/>
      </w:pPr>
      <w:r>
        <w:rPr>
          <w:sz w:val="20"/>
        </w:rPr>
        <w:t xml:space="preserve">1. Member States shall ensure that the monitoring of air polluting substances is carried out in accordance with Part 3 of Annex V.</w:t>
      </w:r>
    </w:p>
    <w:p>
      <w:pPr>
        <w:pStyle w:val="0"/>
        <w:spacing w:before="200" w:line-rule="auto"/>
        <w:ind w:firstLine="540"/>
        <w:jc w:val="both"/>
      </w:pPr>
      <w:r>
        <w:rPr>
          <w:sz w:val="20"/>
        </w:rPr>
        <w:t xml:space="preserve">2. The installation and functioning of the automated monitoring equipment shall be subject to control and to annual surveillance tests as set out in Part 3 of Annex V.</w:t>
      </w:r>
    </w:p>
    <w:p>
      <w:pPr>
        <w:pStyle w:val="0"/>
        <w:spacing w:before="200" w:line-rule="auto"/>
        <w:ind w:firstLine="540"/>
        <w:jc w:val="both"/>
      </w:pPr>
      <w:r>
        <w:rPr>
          <w:sz w:val="20"/>
        </w:rPr>
        <w:t xml:space="preserve">3. The competent authority shall determine the location of the sampling or measurement points to be used for the monitoring of emissions.</w:t>
      </w:r>
    </w:p>
    <w:p>
      <w:pPr>
        <w:pStyle w:val="0"/>
        <w:spacing w:before="200" w:line-rule="auto"/>
        <w:ind w:firstLine="540"/>
        <w:jc w:val="both"/>
      </w:pPr>
      <w:r>
        <w:rPr>
          <w:sz w:val="20"/>
        </w:rPr>
        <w:t xml:space="preserve">4. All monitoring results shall be recorded, processed and presented in such a way as to enable the competent authority to verify compliance with the operating conditions and emission limit values which are included in the permit.</w:t>
      </w:r>
    </w:p>
    <w:p>
      <w:pPr>
        <w:pStyle w:val="0"/>
        <w:jc w:val="center"/>
      </w:pPr>
      <w:r>
        <w:rPr>
          <w:sz w:val="20"/>
        </w:rPr>
      </w:r>
    </w:p>
    <w:p>
      <w:pPr>
        <w:pStyle w:val="0"/>
        <w:outlineLvl w:val="2"/>
        <w:jc w:val="center"/>
      </w:pPr>
      <w:r>
        <w:rPr>
          <w:sz w:val="20"/>
        </w:rPr>
        <w:t xml:space="preserve">Article 39</w:t>
      </w:r>
    </w:p>
    <w:p>
      <w:pPr>
        <w:pStyle w:val="0"/>
        <w:jc w:val="center"/>
      </w:pPr>
      <w:r>
        <w:rPr>
          <w:sz w:val="20"/>
        </w:rPr>
      </w:r>
    </w:p>
    <w:p>
      <w:pPr>
        <w:pStyle w:val="0"/>
        <w:jc w:val="center"/>
      </w:pPr>
      <w:r>
        <w:rPr>
          <w:sz w:val="20"/>
        </w:rPr>
        <w:t xml:space="preserve">Compliance with emission limit values</w:t>
      </w:r>
    </w:p>
    <w:p>
      <w:pPr>
        <w:pStyle w:val="0"/>
        <w:ind w:firstLine="540"/>
        <w:jc w:val="both"/>
      </w:pPr>
      <w:r>
        <w:rPr>
          <w:sz w:val="20"/>
        </w:rPr>
      </w:r>
    </w:p>
    <w:p>
      <w:pPr>
        <w:pStyle w:val="0"/>
        <w:ind w:firstLine="540"/>
        <w:jc w:val="both"/>
      </w:pPr>
      <w:r>
        <w:rPr>
          <w:sz w:val="20"/>
        </w:rPr>
        <w:t xml:space="preserve">The emission limit values for air shall be regarded as being complied with if the conditions set out in Part 4 of Annex V are fulfilled.</w:t>
      </w:r>
    </w:p>
    <w:p>
      <w:pPr>
        <w:pStyle w:val="0"/>
        <w:jc w:val="center"/>
      </w:pPr>
      <w:r>
        <w:rPr>
          <w:sz w:val="20"/>
        </w:rPr>
      </w:r>
    </w:p>
    <w:p>
      <w:pPr>
        <w:pStyle w:val="0"/>
        <w:outlineLvl w:val="2"/>
        <w:jc w:val="center"/>
      </w:pPr>
      <w:r>
        <w:rPr>
          <w:sz w:val="20"/>
        </w:rPr>
        <w:t xml:space="preserve">Article 40</w:t>
      </w:r>
    </w:p>
    <w:p>
      <w:pPr>
        <w:pStyle w:val="0"/>
        <w:jc w:val="center"/>
      </w:pPr>
      <w:r>
        <w:rPr>
          <w:sz w:val="20"/>
        </w:rPr>
      </w:r>
    </w:p>
    <w:p>
      <w:pPr>
        <w:pStyle w:val="0"/>
        <w:jc w:val="center"/>
      </w:pPr>
      <w:r>
        <w:rPr>
          <w:sz w:val="20"/>
        </w:rPr>
        <w:t xml:space="preserve">Multi-fuel firing combustion plants</w:t>
      </w:r>
    </w:p>
    <w:p>
      <w:pPr>
        <w:pStyle w:val="0"/>
        <w:ind w:firstLine="540"/>
        <w:jc w:val="both"/>
      </w:pPr>
      <w:r>
        <w:rPr>
          <w:sz w:val="20"/>
        </w:rPr>
      </w:r>
    </w:p>
    <w:p>
      <w:pPr>
        <w:pStyle w:val="0"/>
        <w:ind w:firstLine="540"/>
        <w:jc w:val="both"/>
      </w:pPr>
      <w:r>
        <w:rPr>
          <w:sz w:val="20"/>
        </w:rPr>
        <w:t xml:space="preserve">1. In the case of a multi-fuel firing combustion plant involving the simultaneous use of two or more fuels, the competent authority shall set the emission limit values in accordance with the following steps:</w:t>
      </w:r>
    </w:p>
    <w:p>
      <w:pPr>
        <w:pStyle w:val="0"/>
        <w:spacing w:before="200" w:line-rule="auto"/>
        <w:ind w:firstLine="540"/>
        <w:jc w:val="both"/>
      </w:pPr>
      <w:r>
        <w:rPr>
          <w:sz w:val="20"/>
        </w:rPr>
        <w:t xml:space="preserve">(a) taking the emission limit value relevant for each individual fuel and pollutant corresponding to the total rated thermal input of the entire combustion plant as set out in Parts 1 and 2 of Annex V;</w:t>
      </w:r>
    </w:p>
    <w:p>
      <w:pPr>
        <w:pStyle w:val="0"/>
        <w:spacing w:before="200" w:line-rule="auto"/>
        <w:ind w:firstLine="540"/>
        <w:jc w:val="both"/>
      </w:pPr>
      <w:r>
        <w:rPr>
          <w:sz w:val="20"/>
        </w:rPr>
        <w:t xml:space="preserve">(b) determining fuel-weighted emission limit values, which are obtained by multiplying the individual emission limit value referred to in point (a) by the thermal input delivered by each fuel, and dividing the product of multiplication by the sum of the thermal inputs delivered by all fuels,</w:t>
      </w:r>
    </w:p>
    <w:p>
      <w:pPr>
        <w:pStyle w:val="0"/>
        <w:spacing w:before="200" w:line-rule="auto"/>
        <w:ind w:firstLine="540"/>
        <w:jc w:val="both"/>
      </w:pPr>
      <w:r>
        <w:rPr>
          <w:sz w:val="20"/>
        </w:rPr>
        <w:t xml:space="preserve">(c) aggregating the fuel-weighted emission limit values.</w:t>
      </w:r>
    </w:p>
    <w:p>
      <w:pPr>
        <w:pStyle w:val="0"/>
        <w:spacing w:before="200" w:line-rule="auto"/>
        <w:ind w:firstLine="540"/>
        <w:jc w:val="both"/>
      </w:pPr>
      <w:r>
        <w:rPr>
          <w:sz w:val="20"/>
        </w:rPr>
        <w:t xml:space="preserve">2. In the case of multi-fuel firing combustion plants covered by Article 30 (2), which use the distillation and conversion residues from the refining of crude-oil for own consumption, alone or with other fuels, the following emission limit values may be applied instead of the emission limit values set according to paragraph 1:</w:t>
      </w:r>
    </w:p>
    <w:p>
      <w:pPr>
        <w:pStyle w:val="0"/>
        <w:spacing w:before="200" w:line-rule="auto"/>
        <w:ind w:firstLine="540"/>
        <w:jc w:val="both"/>
      </w:pPr>
      <w:r>
        <w:rPr>
          <w:sz w:val="20"/>
        </w:rPr>
        <w:t xml:space="preserve">(a) where, during the operation of the combustion plant, the proportion contributed by the determinative fuel to the sum of the thermal inputs delivered by all fuels is 50% or more, the emission limit value set in Part 1 of Annex V for the determinative fuel;</w:t>
      </w:r>
    </w:p>
    <w:p>
      <w:pPr>
        <w:pStyle w:val="0"/>
        <w:spacing w:before="200" w:line-rule="auto"/>
        <w:ind w:firstLine="540"/>
        <w:jc w:val="both"/>
      </w:pPr>
      <w:r>
        <w:rPr>
          <w:sz w:val="20"/>
        </w:rPr>
        <w:t xml:space="preserve">(b) where the proportion contributed by the determinative fuel to the sum of the thermal inputs delivered by all fuels is less than 50%, the emission limit value determined in accordance with the following steps:</w:t>
      </w:r>
    </w:p>
    <w:p>
      <w:pPr>
        <w:pStyle w:val="0"/>
        <w:spacing w:before="200" w:line-rule="auto"/>
        <w:ind w:firstLine="540"/>
        <w:jc w:val="both"/>
      </w:pPr>
      <w:r>
        <w:rPr>
          <w:sz w:val="20"/>
        </w:rPr>
        <w:t xml:space="preserve">(i) taking the emission limit values set out in Part 1 of Annex V for each of the fuels used, corresponding to the total rated thermal input of the combustion plant;</w:t>
      </w:r>
    </w:p>
    <w:p>
      <w:pPr>
        <w:pStyle w:val="0"/>
        <w:spacing w:before="200" w:line-rule="auto"/>
        <w:ind w:firstLine="540"/>
        <w:jc w:val="both"/>
      </w:pPr>
      <w:r>
        <w:rPr>
          <w:sz w:val="20"/>
        </w:rPr>
        <w:t xml:space="preserve">(ii) calculating the emission limit value of the determinative fuel by multiplying the emission limit value, determined for that fuel according to point (i), by a factor of two, and subtracting from this product the emission limit value of the fuel used with the lowest emission limit value as set out in Part 1 of Annex V, corresponding to the total rated thermal input of the combustion plant;</w:t>
      </w:r>
    </w:p>
    <w:p>
      <w:pPr>
        <w:pStyle w:val="0"/>
        <w:spacing w:before="200" w:line-rule="auto"/>
        <w:ind w:firstLine="540"/>
        <w:jc w:val="both"/>
      </w:pPr>
      <w:r>
        <w:rPr>
          <w:sz w:val="20"/>
        </w:rPr>
        <w:t xml:space="preserve">(iii) determining the fuel-weighted emission limit value for each fuel used by multiplying the emission limit value determined under points (i) and (ii) by the thermal input of the fuel concerned and by dividing the product of this multiplication by the sum of the thermal inputs delivered by all fuels;</w:t>
      </w:r>
    </w:p>
    <w:p>
      <w:pPr>
        <w:pStyle w:val="0"/>
        <w:spacing w:before="200" w:line-rule="auto"/>
        <w:ind w:firstLine="540"/>
        <w:jc w:val="both"/>
      </w:pPr>
      <w:r>
        <w:rPr>
          <w:sz w:val="20"/>
        </w:rPr>
        <w:t xml:space="preserve">(iv) aggregating the fuel-weighted emission limit values determined under point (iii).</w:t>
      </w:r>
    </w:p>
    <w:p>
      <w:pPr>
        <w:pStyle w:val="0"/>
        <w:spacing w:before="200" w:line-rule="auto"/>
        <w:ind w:firstLine="540"/>
        <w:jc w:val="both"/>
      </w:pPr>
      <w:r>
        <w:rPr>
          <w:sz w:val="20"/>
        </w:rPr>
        <w:t xml:space="preserve">3. In the case of multi-fuel firing combustion plants covered by Article 30 (2), which use the distillation and conversion residues from the refining of crude-oil for own consumption, alone or with other fuels, the average emission limit values for sulphur dioxide set out in Part 7 of Annex V may be applied instead of the emission limit values set according to paragraphs 1 or 2 of this Article.</w:t>
      </w:r>
    </w:p>
    <w:p>
      <w:pPr>
        <w:pStyle w:val="0"/>
        <w:jc w:val="center"/>
      </w:pPr>
      <w:r>
        <w:rPr>
          <w:sz w:val="20"/>
        </w:rPr>
      </w:r>
    </w:p>
    <w:p>
      <w:pPr>
        <w:pStyle w:val="0"/>
        <w:outlineLvl w:val="2"/>
        <w:jc w:val="center"/>
      </w:pPr>
      <w:r>
        <w:rPr>
          <w:sz w:val="20"/>
        </w:rPr>
        <w:t xml:space="preserve">Article 41</w:t>
      </w:r>
    </w:p>
    <w:p>
      <w:pPr>
        <w:pStyle w:val="0"/>
        <w:jc w:val="center"/>
      </w:pPr>
      <w:r>
        <w:rPr>
          <w:sz w:val="20"/>
        </w:rPr>
      </w:r>
    </w:p>
    <w:p>
      <w:pPr>
        <w:pStyle w:val="0"/>
        <w:jc w:val="center"/>
      </w:pPr>
      <w:r>
        <w:rPr>
          <w:sz w:val="20"/>
        </w:rPr>
        <w:t xml:space="preserve">Implementing rules</w:t>
      </w:r>
    </w:p>
    <w:p>
      <w:pPr>
        <w:pStyle w:val="0"/>
        <w:jc w:val="center"/>
      </w:pPr>
      <w:r>
        <w:rPr>
          <w:sz w:val="20"/>
        </w:rPr>
      </w:r>
    </w:p>
    <w:p>
      <w:pPr>
        <w:pStyle w:val="0"/>
        <w:ind w:firstLine="540"/>
        <w:jc w:val="both"/>
      </w:pPr>
      <w:r>
        <w:rPr>
          <w:sz w:val="20"/>
        </w:rPr>
        <w:t xml:space="preserve">Implementing rules shall be established concerning:</w:t>
      </w:r>
    </w:p>
    <w:p>
      <w:pPr>
        <w:pStyle w:val="0"/>
        <w:spacing w:before="200" w:line-rule="auto"/>
        <w:ind w:firstLine="540"/>
        <w:jc w:val="both"/>
      </w:pPr>
      <w:r>
        <w:rPr>
          <w:sz w:val="20"/>
        </w:rPr>
        <w:t xml:space="preserve">(a) the determination of the start-up and shut-down periods referred to in point 27 of Article 3 and in point 1 of Part 4 of Annex V; and</w:t>
      </w:r>
    </w:p>
    <w:p>
      <w:pPr>
        <w:pStyle w:val="0"/>
        <w:spacing w:before="200" w:line-rule="auto"/>
        <w:ind w:firstLine="540"/>
        <w:jc w:val="both"/>
      </w:pPr>
      <w:r>
        <w:rPr>
          <w:sz w:val="20"/>
        </w:rPr>
        <w:t xml:space="preserve">(b) the transitional national plans referred to in Article 32 and, in particular, the setting of emission ceilings and related monitoring and reporting.</w:t>
      </w:r>
    </w:p>
    <w:p>
      <w:pPr>
        <w:pStyle w:val="0"/>
        <w:spacing w:before="200" w:line-rule="auto"/>
        <w:ind w:firstLine="540"/>
        <w:jc w:val="both"/>
      </w:pPr>
      <w:r>
        <w:rPr>
          <w:sz w:val="20"/>
        </w:rPr>
        <w:t xml:space="preserve">Those implementing rules shall be adopted in accordance with the regulatory procedure referred to in Article 75 (2). The Commission shall make appropriate proposals not later than 7 July 2011.</w:t>
      </w:r>
    </w:p>
    <w:p>
      <w:pPr>
        <w:pStyle w:val="0"/>
        <w:jc w:val="center"/>
      </w:pPr>
      <w:r>
        <w:rPr>
          <w:sz w:val="20"/>
        </w:rPr>
      </w:r>
    </w:p>
    <w:p>
      <w:pPr>
        <w:pStyle w:val="0"/>
        <w:outlineLvl w:val="1"/>
        <w:jc w:val="center"/>
      </w:pPr>
      <w:r>
        <w:rPr>
          <w:sz w:val="20"/>
        </w:rPr>
        <w:t xml:space="preserve">Chapter IV. SPECIAL PROVISIONS FOR WASTE</w:t>
      </w:r>
    </w:p>
    <w:p>
      <w:pPr>
        <w:pStyle w:val="0"/>
        <w:jc w:val="center"/>
      </w:pPr>
      <w:r>
        <w:rPr>
          <w:sz w:val="20"/>
        </w:rPr>
        <w:t xml:space="preserve">INCINERATION PLANTS AND WASTE CO-INCINERATION PLANTS</w:t>
      </w:r>
    </w:p>
    <w:p>
      <w:pPr>
        <w:pStyle w:val="0"/>
        <w:jc w:val="center"/>
      </w:pPr>
      <w:r>
        <w:rPr>
          <w:sz w:val="20"/>
        </w:rPr>
      </w:r>
    </w:p>
    <w:p>
      <w:pPr>
        <w:pStyle w:val="0"/>
        <w:outlineLvl w:val="2"/>
        <w:jc w:val="center"/>
      </w:pPr>
      <w:r>
        <w:rPr>
          <w:sz w:val="20"/>
        </w:rPr>
        <w:t xml:space="preserve">Article 42</w:t>
      </w:r>
    </w:p>
    <w:p>
      <w:pPr>
        <w:pStyle w:val="0"/>
        <w:jc w:val="center"/>
      </w:pPr>
      <w:r>
        <w:rPr>
          <w:sz w:val="20"/>
        </w:rPr>
      </w:r>
    </w:p>
    <w:p>
      <w:pPr>
        <w:pStyle w:val="0"/>
        <w:jc w:val="center"/>
      </w:pPr>
      <w:r>
        <w:rPr>
          <w:sz w:val="20"/>
        </w:rPr>
        <w:t xml:space="preserve">Scope</w:t>
      </w:r>
    </w:p>
    <w:p>
      <w:pPr>
        <w:pStyle w:val="0"/>
        <w:jc w:val="center"/>
      </w:pPr>
      <w:r>
        <w:rPr>
          <w:sz w:val="20"/>
        </w:rPr>
      </w:r>
    </w:p>
    <w:p>
      <w:pPr>
        <w:pStyle w:val="0"/>
        <w:ind w:firstLine="540"/>
        <w:jc w:val="both"/>
      </w:pPr>
      <w:r>
        <w:rPr>
          <w:sz w:val="20"/>
        </w:rPr>
        <w:t xml:space="preserve">1. This Chapter shall apply to waste incineration plants and waste co-incineration plants which incinerate or co-incinerate solid or liquid waste.</w:t>
      </w:r>
    </w:p>
    <w:p>
      <w:pPr>
        <w:pStyle w:val="0"/>
        <w:spacing w:before="200" w:line-rule="auto"/>
        <w:ind w:firstLine="540"/>
        <w:jc w:val="both"/>
      </w:pPr>
      <w:r>
        <w:rPr>
          <w:sz w:val="20"/>
        </w:rPr>
        <w:t xml:space="preserve">This Chapter shall not apply to gasification or pyrolysis plants, if the gases resulting from this thermal treatment of waste are purified to such an extent that they are no longer a waste prior to their incineration and they can cause emissions no higher than those resulting from the burning of natural gas.</w:t>
      </w:r>
    </w:p>
    <w:p>
      <w:pPr>
        <w:pStyle w:val="0"/>
        <w:spacing w:before="200" w:line-rule="auto"/>
        <w:ind w:firstLine="540"/>
        <w:jc w:val="both"/>
      </w:pPr>
      <w:r>
        <w:rPr>
          <w:sz w:val="20"/>
        </w:rPr>
        <w:t xml:space="preserve">For the purposes of this Chapter, waste incineration plants and waste co-incineration plants shall include all incineration lines or co-incineration lines, waste reception, storage, on site pretreatment facilities, waste-, fuel- and air-supply systems, boilers, facilities for the treatment of waste gases, on-site facilities for treatment or storage of residues and waste water, stacks, devices and systems for controlling incineration or co-incineration operations, recording and monitoring incineration or co-incineration conditions.</w:t>
      </w:r>
    </w:p>
    <w:p>
      <w:pPr>
        <w:pStyle w:val="0"/>
        <w:spacing w:before="200" w:line-rule="auto"/>
        <w:ind w:firstLine="540"/>
        <w:jc w:val="both"/>
      </w:pPr>
      <w:r>
        <w:rPr>
          <w:sz w:val="20"/>
        </w:rPr>
        <w:t xml:space="preserve">If processes other than oxidation, such as pyrolysis, gasification or plasma process, are applied for the thermal treatment of waste, the waste incineration plant or waste co-incineration plant shall include both the thermal treatment process and the subsequent incineration process.</w:t>
      </w:r>
    </w:p>
    <w:p>
      <w:pPr>
        <w:pStyle w:val="0"/>
        <w:spacing w:before="200" w:line-rule="auto"/>
        <w:ind w:firstLine="540"/>
        <w:jc w:val="both"/>
      </w:pPr>
      <w:r>
        <w:rPr>
          <w:sz w:val="20"/>
        </w:rPr>
        <w:t xml:space="preserve">If waste co-incineration takes place in such a way that the main purpose of the plant is not the generation of energy or production of material products but rather the thermal treatment of waste, the plant shall be regarded as a waste incineration plant.</w:t>
      </w:r>
    </w:p>
    <w:p>
      <w:pPr>
        <w:pStyle w:val="0"/>
        <w:spacing w:before="200" w:line-rule="auto"/>
        <w:ind w:firstLine="540"/>
        <w:jc w:val="both"/>
      </w:pPr>
      <w:r>
        <w:rPr>
          <w:sz w:val="20"/>
        </w:rPr>
        <w:t xml:space="preserve">2. This Chapter shall not apply to the following plants:</w:t>
      </w:r>
    </w:p>
    <w:p>
      <w:pPr>
        <w:pStyle w:val="0"/>
        <w:spacing w:before="200" w:line-rule="auto"/>
        <w:ind w:firstLine="540"/>
        <w:jc w:val="both"/>
      </w:pPr>
      <w:r>
        <w:rPr>
          <w:sz w:val="20"/>
        </w:rPr>
        <w:t xml:space="preserve">(a) plants treating only the following wastes:</w:t>
      </w:r>
    </w:p>
    <w:p>
      <w:pPr>
        <w:pStyle w:val="0"/>
        <w:spacing w:before="200" w:line-rule="auto"/>
        <w:ind w:firstLine="540"/>
        <w:jc w:val="both"/>
      </w:pPr>
      <w:r>
        <w:rPr>
          <w:sz w:val="20"/>
        </w:rPr>
        <w:t xml:space="preserve">(i) waste listed in point (b) of point 31 of Article 3;</w:t>
      </w:r>
    </w:p>
    <w:p>
      <w:pPr>
        <w:pStyle w:val="0"/>
        <w:spacing w:before="200" w:line-rule="auto"/>
        <w:ind w:firstLine="540"/>
        <w:jc w:val="both"/>
      </w:pPr>
      <w:r>
        <w:rPr>
          <w:sz w:val="20"/>
        </w:rPr>
        <w:t xml:space="preserve">(ii) radioactive waste;</w:t>
      </w:r>
    </w:p>
    <w:p>
      <w:pPr>
        <w:pStyle w:val="0"/>
        <w:spacing w:before="200" w:line-rule="auto"/>
        <w:ind w:firstLine="540"/>
        <w:jc w:val="both"/>
      </w:pPr>
      <w:r>
        <w:rPr>
          <w:sz w:val="20"/>
        </w:rPr>
        <w:t xml:space="preserve">(iii) animal carcasses as regulated by Regulation (EC) No 1774/2002 of the European Parliament and of the Council of 3 October 2002 laying down health rules concerning animal by-products not intended for human consumption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L 273, 10.10.2002, p. 1.</w:t>
      </w:r>
    </w:p>
    <w:p>
      <w:pPr>
        <w:pStyle w:val="0"/>
        <w:ind w:firstLine="540"/>
        <w:jc w:val="both"/>
      </w:pPr>
      <w:r>
        <w:rPr>
          <w:sz w:val="20"/>
        </w:rPr>
      </w:r>
    </w:p>
    <w:p>
      <w:pPr>
        <w:pStyle w:val="0"/>
        <w:ind w:firstLine="540"/>
        <w:jc w:val="both"/>
      </w:pPr>
      <w:r>
        <w:rPr>
          <w:sz w:val="20"/>
        </w:rPr>
        <w:t xml:space="preserve">(iv) waste resulting from the exploration for, and the exploitation of, oil and gas resources from off-shore installations and incinerated on board the installations;</w:t>
      </w:r>
    </w:p>
    <w:p>
      <w:pPr>
        <w:pStyle w:val="0"/>
        <w:spacing w:before="200" w:line-rule="auto"/>
        <w:ind w:firstLine="540"/>
        <w:jc w:val="both"/>
      </w:pPr>
      <w:r>
        <w:rPr>
          <w:sz w:val="20"/>
        </w:rPr>
        <w:t xml:space="preserve">(b) experimental plants used for research, development and testing in order to improve the incineration process and which treat less than 50 tonnes of waste per year.</w:t>
      </w:r>
    </w:p>
    <w:p>
      <w:pPr>
        <w:pStyle w:val="0"/>
        <w:jc w:val="center"/>
      </w:pPr>
      <w:r>
        <w:rPr>
          <w:sz w:val="20"/>
        </w:rPr>
      </w:r>
    </w:p>
    <w:p>
      <w:pPr>
        <w:pStyle w:val="0"/>
        <w:outlineLvl w:val="2"/>
        <w:jc w:val="center"/>
      </w:pPr>
      <w:r>
        <w:rPr>
          <w:sz w:val="20"/>
        </w:rPr>
        <w:t xml:space="preserve">Article 43</w:t>
      </w:r>
    </w:p>
    <w:p>
      <w:pPr>
        <w:pStyle w:val="0"/>
        <w:jc w:val="center"/>
      </w:pPr>
      <w:r>
        <w:rPr>
          <w:sz w:val="20"/>
        </w:rPr>
      </w:r>
    </w:p>
    <w:p>
      <w:pPr>
        <w:pStyle w:val="0"/>
        <w:jc w:val="center"/>
      </w:pPr>
      <w:r>
        <w:rPr>
          <w:sz w:val="20"/>
        </w:rPr>
        <w:t xml:space="preserve">Definition of residue</w:t>
      </w:r>
    </w:p>
    <w:p>
      <w:pPr>
        <w:pStyle w:val="0"/>
        <w:jc w:val="center"/>
      </w:pPr>
      <w:r>
        <w:rPr>
          <w:sz w:val="20"/>
        </w:rPr>
      </w:r>
    </w:p>
    <w:p>
      <w:pPr>
        <w:pStyle w:val="0"/>
        <w:ind w:firstLine="540"/>
        <w:jc w:val="both"/>
      </w:pPr>
      <w:r>
        <w:rPr>
          <w:sz w:val="20"/>
        </w:rPr>
        <w:t xml:space="preserve">For the purposes of this Chapter, "residue" shall mean any liquid or solid waste which is generated by a waste incineration plant or waste co-incineration plant.</w:t>
      </w:r>
    </w:p>
    <w:p>
      <w:pPr>
        <w:pStyle w:val="0"/>
        <w:jc w:val="center"/>
      </w:pPr>
      <w:r>
        <w:rPr>
          <w:sz w:val="20"/>
        </w:rPr>
      </w:r>
    </w:p>
    <w:p>
      <w:pPr>
        <w:pStyle w:val="0"/>
        <w:outlineLvl w:val="2"/>
        <w:jc w:val="center"/>
      </w:pPr>
      <w:r>
        <w:rPr>
          <w:sz w:val="20"/>
        </w:rPr>
        <w:t xml:space="preserve">Article 44</w:t>
      </w:r>
    </w:p>
    <w:p>
      <w:pPr>
        <w:pStyle w:val="0"/>
        <w:jc w:val="center"/>
      </w:pPr>
      <w:r>
        <w:rPr>
          <w:sz w:val="20"/>
        </w:rPr>
      </w:r>
    </w:p>
    <w:p>
      <w:pPr>
        <w:pStyle w:val="0"/>
        <w:jc w:val="center"/>
      </w:pPr>
      <w:r>
        <w:rPr>
          <w:sz w:val="20"/>
        </w:rPr>
        <w:t xml:space="preserve">Applications for permits</w:t>
      </w:r>
    </w:p>
    <w:p>
      <w:pPr>
        <w:pStyle w:val="0"/>
        <w:ind w:firstLine="540"/>
        <w:jc w:val="both"/>
      </w:pPr>
      <w:r>
        <w:rPr>
          <w:sz w:val="20"/>
        </w:rPr>
      </w:r>
    </w:p>
    <w:p>
      <w:pPr>
        <w:pStyle w:val="0"/>
        <w:ind w:firstLine="540"/>
        <w:jc w:val="both"/>
      </w:pPr>
      <w:r>
        <w:rPr>
          <w:sz w:val="20"/>
        </w:rPr>
        <w:t xml:space="preserve">An application for a permit for a waste incineration plant or waste co-incineration plant shall include a description of the measures which are envisaged to guarantee that the following requirements are met:</w:t>
      </w:r>
    </w:p>
    <w:p>
      <w:pPr>
        <w:pStyle w:val="0"/>
        <w:spacing w:before="200" w:line-rule="auto"/>
        <w:ind w:firstLine="540"/>
        <w:jc w:val="both"/>
      </w:pPr>
      <w:r>
        <w:rPr>
          <w:sz w:val="20"/>
        </w:rPr>
        <w:t xml:space="preserve">(a) the plant is designed, equipped and will be maintained and operated in such a manner that the requirements of this Chapter are met taking into account the categories of waste to be incinerated or co-incinerated;</w:t>
      </w:r>
    </w:p>
    <w:p>
      <w:pPr>
        <w:pStyle w:val="0"/>
        <w:spacing w:before="200" w:line-rule="auto"/>
        <w:ind w:firstLine="540"/>
        <w:jc w:val="both"/>
      </w:pPr>
      <w:r>
        <w:rPr>
          <w:sz w:val="20"/>
        </w:rPr>
        <w:t xml:space="preserve">(b) the heat generated during the incineration and co-incineration process is recovered as far as practicable through the generation of heat, steam or power;</w:t>
      </w:r>
    </w:p>
    <w:p>
      <w:pPr>
        <w:pStyle w:val="0"/>
        <w:spacing w:before="200" w:line-rule="auto"/>
        <w:ind w:firstLine="540"/>
        <w:jc w:val="both"/>
      </w:pPr>
      <w:r>
        <w:rPr>
          <w:sz w:val="20"/>
        </w:rPr>
        <w:t xml:space="preserve">(c) the residues will be minimised in their amount and harmfulness and recycled where appropriate;</w:t>
      </w:r>
    </w:p>
    <w:p>
      <w:pPr>
        <w:pStyle w:val="0"/>
        <w:spacing w:before="200" w:line-rule="auto"/>
        <w:ind w:firstLine="540"/>
        <w:jc w:val="both"/>
      </w:pPr>
      <w:r>
        <w:rPr>
          <w:sz w:val="20"/>
        </w:rPr>
        <w:t xml:space="preserve">(d) the disposal of the residues which cannot be prevented, reduced or recycled will be carried out in conformity with national and Union law.</w:t>
      </w:r>
    </w:p>
    <w:p>
      <w:pPr>
        <w:pStyle w:val="0"/>
        <w:jc w:val="center"/>
      </w:pPr>
      <w:r>
        <w:rPr>
          <w:sz w:val="20"/>
        </w:rPr>
      </w:r>
    </w:p>
    <w:p>
      <w:pPr>
        <w:pStyle w:val="0"/>
        <w:outlineLvl w:val="2"/>
        <w:jc w:val="center"/>
      </w:pPr>
      <w:r>
        <w:rPr>
          <w:sz w:val="20"/>
        </w:rPr>
        <w:t xml:space="preserve">Article 45</w:t>
      </w:r>
    </w:p>
    <w:p>
      <w:pPr>
        <w:pStyle w:val="0"/>
        <w:jc w:val="center"/>
      </w:pPr>
      <w:r>
        <w:rPr>
          <w:sz w:val="20"/>
        </w:rPr>
      </w:r>
    </w:p>
    <w:p>
      <w:pPr>
        <w:pStyle w:val="0"/>
        <w:jc w:val="center"/>
      </w:pPr>
      <w:r>
        <w:rPr>
          <w:sz w:val="20"/>
        </w:rPr>
        <w:t xml:space="preserve">Permit conditions</w:t>
      </w:r>
    </w:p>
    <w:p>
      <w:pPr>
        <w:pStyle w:val="0"/>
        <w:jc w:val="center"/>
      </w:pPr>
      <w:r>
        <w:rPr>
          <w:sz w:val="20"/>
        </w:rPr>
      </w:r>
    </w:p>
    <w:p>
      <w:pPr>
        <w:pStyle w:val="0"/>
        <w:ind w:firstLine="540"/>
        <w:jc w:val="both"/>
      </w:pPr>
      <w:r>
        <w:rPr>
          <w:sz w:val="20"/>
        </w:rPr>
        <w:t xml:space="preserve">1. The permit shall include the following:</w:t>
      </w:r>
    </w:p>
    <w:p>
      <w:pPr>
        <w:pStyle w:val="0"/>
        <w:spacing w:before="200" w:line-rule="auto"/>
        <w:ind w:firstLine="540"/>
        <w:jc w:val="both"/>
      </w:pPr>
      <w:r>
        <w:rPr>
          <w:sz w:val="20"/>
        </w:rPr>
        <w:t xml:space="preserve">(a) a list of all types of waste which may be treated using at least the types of waste set out in the European Waste List established by Decision 2000/532/EC, if possible, and containing information on the quantity of each type of waste, where appropriate;</w:t>
      </w:r>
    </w:p>
    <w:p>
      <w:pPr>
        <w:pStyle w:val="0"/>
        <w:spacing w:before="200" w:line-rule="auto"/>
        <w:ind w:firstLine="540"/>
        <w:jc w:val="both"/>
      </w:pPr>
      <w:r>
        <w:rPr>
          <w:sz w:val="20"/>
        </w:rPr>
        <w:t xml:space="preserve">(b) the total waste incinerating or co-incinerating capacity of the plant;</w:t>
      </w:r>
    </w:p>
    <w:p>
      <w:pPr>
        <w:pStyle w:val="0"/>
        <w:spacing w:before="200" w:line-rule="auto"/>
        <w:ind w:firstLine="540"/>
        <w:jc w:val="both"/>
      </w:pPr>
      <w:r>
        <w:rPr>
          <w:sz w:val="20"/>
        </w:rPr>
        <w:t xml:space="preserve">(c) the limit values for emissions into air and water;</w:t>
      </w:r>
    </w:p>
    <w:p>
      <w:pPr>
        <w:pStyle w:val="0"/>
        <w:spacing w:before="200" w:line-rule="auto"/>
        <w:ind w:firstLine="540"/>
        <w:jc w:val="both"/>
      </w:pPr>
      <w:r>
        <w:rPr>
          <w:sz w:val="20"/>
        </w:rPr>
        <w:t xml:space="preserve">(d) the requirements for the pH, temperature and flow of waste water discharges;</w:t>
      </w:r>
    </w:p>
    <w:p>
      <w:pPr>
        <w:pStyle w:val="0"/>
        <w:spacing w:before="200" w:line-rule="auto"/>
        <w:ind w:firstLine="540"/>
        <w:jc w:val="both"/>
      </w:pPr>
      <w:r>
        <w:rPr>
          <w:sz w:val="20"/>
        </w:rPr>
        <w:t xml:space="preserve">(e) the sampling and measurement procedures and frequencies to be used to comply with the conditions set for emission monitoring;</w:t>
      </w:r>
    </w:p>
    <w:p>
      <w:pPr>
        <w:pStyle w:val="0"/>
        <w:spacing w:before="200" w:line-rule="auto"/>
        <w:ind w:firstLine="540"/>
        <w:jc w:val="both"/>
      </w:pPr>
      <w:r>
        <w:rPr>
          <w:sz w:val="20"/>
        </w:rPr>
        <w:t xml:space="preserve">(f) the maximum permissible period of any technically unavoidable stoppages, disturbances, or failures of the purification devices or the measurement devices, during which the emissions into the air and the discharges of waste water may exceed the prescribed emission limit values.</w:t>
      </w:r>
    </w:p>
    <w:p>
      <w:pPr>
        <w:pStyle w:val="0"/>
        <w:spacing w:before="200" w:line-rule="auto"/>
        <w:ind w:firstLine="540"/>
        <w:jc w:val="both"/>
      </w:pPr>
      <w:r>
        <w:rPr>
          <w:sz w:val="20"/>
        </w:rPr>
        <w:t xml:space="preserve">2. In addition to the requirements set out in paragraph 1, the permit granted to a waste incineration plant or waste co-incineration plant using hazardous waste shall include the following:</w:t>
      </w:r>
    </w:p>
    <w:p>
      <w:pPr>
        <w:pStyle w:val="0"/>
        <w:spacing w:before="200" w:line-rule="auto"/>
        <w:ind w:firstLine="540"/>
        <w:jc w:val="both"/>
      </w:pPr>
      <w:r>
        <w:rPr>
          <w:sz w:val="20"/>
        </w:rPr>
        <w:t xml:space="preserve">(a) a list of the quantities of the different categories of hazardous waste which may be treated;</w:t>
      </w:r>
    </w:p>
    <w:p>
      <w:pPr>
        <w:pStyle w:val="0"/>
        <w:spacing w:before="200" w:line-rule="auto"/>
        <w:ind w:firstLine="540"/>
        <w:jc w:val="both"/>
      </w:pPr>
      <w:r>
        <w:rPr>
          <w:sz w:val="20"/>
        </w:rPr>
        <w:t xml:space="preserve">(b) the minimum and maximum mass flows of those hazardous wastes, their lowest and maximum calorific values and their maximum contents of polychlorinated biphenyls, pentachlorophenol, chlorine, fluorine, sulphur, heavy metals and other polluting substances.</w:t>
      </w:r>
    </w:p>
    <w:p>
      <w:pPr>
        <w:pStyle w:val="0"/>
        <w:spacing w:before="200" w:line-rule="auto"/>
        <w:ind w:firstLine="540"/>
        <w:jc w:val="both"/>
      </w:pPr>
      <w:r>
        <w:rPr>
          <w:sz w:val="20"/>
        </w:rPr>
        <w:t xml:space="preserve">3. Member States may list the categories of waste to be included in the permit which can be co-incinerated in certain categories of waste co-incineration plants.</w:t>
      </w:r>
    </w:p>
    <w:p>
      <w:pPr>
        <w:pStyle w:val="0"/>
        <w:spacing w:before="200" w:line-rule="auto"/>
        <w:ind w:firstLine="540"/>
        <w:jc w:val="both"/>
      </w:pPr>
      <w:r>
        <w:rPr>
          <w:sz w:val="20"/>
        </w:rPr>
        <w:t xml:space="preserve">4. The competent authority shall periodically reconsider and, where necessary, update permit conditions.</w:t>
      </w:r>
    </w:p>
    <w:p>
      <w:pPr>
        <w:pStyle w:val="0"/>
        <w:jc w:val="center"/>
      </w:pPr>
      <w:r>
        <w:rPr>
          <w:sz w:val="20"/>
        </w:rPr>
      </w:r>
    </w:p>
    <w:p>
      <w:pPr>
        <w:pStyle w:val="0"/>
        <w:outlineLvl w:val="2"/>
        <w:jc w:val="center"/>
      </w:pPr>
      <w:r>
        <w:rPr>
          <w:sz w:val="20"/>
        </w:rPr>
        <w:t xml:space="preserve">Article 46</w:t>
      </w:r>
    </w:p>
    <w:p>
      <w:pPr>
        <w:pStyle w:val="0"/>
        <w:jc w:val="center"/>
      </w:pPr>
      <w:r>
        <w:rPr>
          <w:sz w:val="20"/>
        </w:rPr>
      </w:r>
    </w:p>
    <w:p>
      <w:pPr>
        <w:pStyle w:val="0"/>
        <w:jc w:val="center"/>
      </w:pPr>
      <w:r>
        <w:rPr>
          <w:sz w:val="20"/>
        </w:rPr>
        <w:t xml:space="preserve">Control of emissions</w:t>
      </w:r>
    </w:p>
    <w:p>
      <w:pPr>
        <w:pStyle w:val="0"/>
        <w:jc w:val="center"/>
      </w:pPr>
      <w:r>
        <w:rPr>
          <w:sz w:val="20"/>
        </w:rPr>
      </w:r>
    </w:p>
    <w:p>
      <w:pPr>
        <w:pStyle w:val="0"/>
        <w:ind w:firstLine="540"/>
        <w:jc w:val="both"/>
      </w:pPr>
      <w:r>
        <w:rPr>
          <w:sz w:val="20"/>
        </w:rPr>
        <w:t xml:space="preserve">1. Waste gases from waste incineration plants and waste co-incineration plants shall be discharged in a controlled way by means of a stack the height of which is calculated in such a way as to safeguard human health and the environment.</w:t>
      </w:r>
    </w:p>
    <w:p>
      <w:pPr>
        <w:pStyle w:val="0"/>
        <w:spacing w:before="200" w:line-rule="auto"/>
        <w:ind w:firstLine="540"/>
        <w:jc w:val="both"/>
      </w:pPr>
      <w:r>
        <w:rPr>
          <w:sz w:val="20"/>
        </w:rPr>
        <w:t xml:space="preserve">2. Emissions into air from waste incineration plants and waste co-incineration plants shall not exceed the emission limit values set out in parts 3 and 4 of Annex VI or determined in accordance with Part 4 of that Annex.</w:t>
      </w:r>
    </w:p>
    <w:p>
      <w:pPr>
        <w:pStyle w:val="0"/>
        <w:spacing w:before="200" w:line-rule="auto"/>
        <w:ind w:firstLine="540"/>
        <w:jc w:val="both"/>
      </w:pPr>
      <w:r>
        <w:rPr>
          <w:sz w:val="20"/>
        </w:rPr>
        <w:t xml:space="preserve">If in a waste co-incineration plant more than 40% of the resulting heat release comes from hazardous waste, or the plant co-incinerates untreated mixed municipal waste, the emission limit values set out in Part 3 of Annex VI shall apply.</w:t>
      </w:r>
    </w:p>
    <w:p>
      <w:pPr>
        <w:pStyle w:val="0"/>
        <w:spacing w:before="200" w:line-rule="auto"/>
        <w:ind w:firstLine="540"/>
        <w:jc w:val="both"/>
      </w:pPr>
      <w:r>
        <w:rPr>
          <w:sz w:val="20"/>
        </w:rPr>
        <w:t xml:space="preserve">3. Discharges to the aquatic environment of waste water resulting from the cleaning of waste gases shall be limited as far as practicable and the concentrations of polluting substances shall not exceed the emission limit values set out in Part 5 of Annex VI.</w:t>
      </w:r>
    </w:p>
    <w:p>
      <w:pPr>
        <w:pStyle w:val="0"/>
        <w:spacing w:before="200" w:line-rule="auto"/>
        <w:ind w:firstLine="540"/>
        <w:jc w:val="both"/>
      </w:pPr>
      <w:r>
        <w:rPr>
          <w:sz w:val="20"/>
        </w:rPr>
        <w:t xml:space="preserve">4. The emission limit values shall apply at the point where waste waters from the cleaning of waste gases are discharged from the waste incineration plant or waste co-incineration plant.</w:t>
      </w:r>
    </w:p>
    <w:p>
      <w:pPr>
        <w:pStyle w:val="0"/>
        <w:spacing w:before="200" w:line-rule="auto"/>
        <w:ind w:firstLine="540"/>
        <w:jc w:val="both"/>
      </w:pPr>
      <w:r>
        <w:rPr>
          <w:sz w:val="20"/>
        </w:rPr>
        <w:t xml:space="preserve">When waste waters from the cleaning of waste gases are treated outside the waste incineration plant or waste co-incineration plant at a treatment plant intended only for the treatment of this sort of waste water, the emission limit values set out in Part 5 of Annex VI shall be applied at the point where the waste waters leave the treatment plant. Where the waste water from the cleaning of waste gases is treated collectively with other sources of waste water, either on site or off site, the operator shall make the appropriate mass balance calculations, using the results of the measurements set out in point 2 of Part 6 of Annex VI in order to determine the emission levels in the final waste water discharge that can be attributed to the waste water arising from the cleaning of waste gases.</w:t>
      </w:r>
    </w:p>
    <w:p>
      <w:pPr>
        <w:pStyle w:val="0"/>
        <w:spacing w:before="200" w:line-rule="auto"/>
        <w:ind w:firstLine="540"/>
        <w:jc w:val="both"/>
      </w:pPr>
      <w:r>
        <w:rPr>
          <w:sz w:val="20"/>
        </w:rPr>
        <w:t xml:space="preserve">Under no circumstances shall dilution of waste water take place for the purpose of complying with the emission limit values set out in Part 5 of Annex VI.</w:t>
      </w:r>
    </w:p>
    <w:p>
      <w:pPr>
        <w:pStyle w:val="0"/>
        <w:spacing w:before="200" w:line-rule="auto"/>
        <w:ind w:firstLine="540"/>
        <w:jc w:val="both"/>
      </w:pPr>
      <w:r>
        <w:rPr>
          <w:sz w:val="20"/>
        </w:rPr>
        <w:t xml:space="preserve">5. Waste incineration plant sites and waste co-incineration plant sites, including associated storage areas for waste, shall be designed and operated in such a way as to prevent the unauthorised and accidental release of any polluting substances into soil, surface water and groundwater.</w:t>
      </w:r>
    </w:p>
    <w:p>
      <w:pPr>
        <w:pStyle w:val="0"/>
        <w:spacing w:before="200" w:line-rule="auto"/>
        <w:ind w:firstLine="540"/>
        <w:jc w:val="both"/>
      </w:pPr>
      <w:r>
        <w:rPr>
          <w:sz w:val="20"/>
        </w:rPr>
        <w:t xml:space="preserve">Storage capacity shall be provided for contaminated rainwater run-off from the waste incineration plant site or waste co-incineration plant site or for contaminated water arising from spillage or fire-fighting operations. The storage capacity shall be adequate to ensure that such waters can be tested and treated before discharge where necessary.</w:t>
      </w:r>
    </w:p>
    <w:p>
      <w:pPr>
        <w:pStyle w:val="0"/>
        <w:spacing w:before="200" w:line-rule="auto"/>
        <w:ind w:firstLine="540"/>
        <w:jc w:val="both"/>
      </w:pPr>
      <w:r>
        <w:rPr>
          <w:sz w:val="20"/>
        </w:rPr>
        <w:t xml:space="preserve">6. Without prejudice to Article 50 (4) (c), the waste incineration plant or waste co-incineration plant or individual furnaces being part of a waste incineration plant or waste co-incineration plant shall under no circumstances continue to incinerate waste for a period of more than 4 hours uninterrupted where emission limit values are exceeded.</w:t>
      </w:r>
    </w:p>
    <w:p>
      <w:pPr>
        <w:pStyle w:val="0"/>
        <w:spacing w:before="200" w:line-rule="auto"/>
        <w:ind w:firstLine="540"/>
        <w:jc w:val="both"/>
      </w:pPr>
      <w:r>
        <w:rPr>
          <w:sz w:val="20"/>
        </w:rPr>
        <w:t xml:space="preserve">The cumulative duration of operation in such conditions over 1 year shall not exceed 60 hours.</w:t>
      </w:r>
    </w:p>
    <w:p>
      <w:pPr>
        <w:pStyle w:val="0"/>
        <w:spacing w:before="200" w:line-rule="auto"/>
        <w:ind w:firstLine="540"/>
        <w:jc w:val="both"/>
      </w:pPr>
      <w:r>
        <w:rPr>
          <w:sz w:val="20"/>
        </w:rPr>
        <w:t xml:space="preserve">The time limit set out in the second subparagraph shall apply to those furnaces which are linked to one single waste gas cleaning device.</w:t>
      </w:r>
    </w:p>
    <w:p>
      <w:pPr>
        <w:pStyle w:val="0"/>
        <w:jc w:val="center"/>
      </w:pPr>
      <w:r>
        <w:rPr>
          <w:sz w:val="20"/>
        </w:rPr>
      </w:r>
    </w:p>
    <w:p>
      <w:pPr>
        <w:pStyle w:val="0"/>
        <w:outlineLvl w:val="2"/>
        <w:jc w:val="center"/>
      </w:pPr>
      <w:r>
        <w:rPr>
          <w:sz w:val="20"/>
        </w:rPr>
        <w:t xml:space="preserve">Article 47</w:t>
      </w:r>
    </w:p>
    <w:p>
      <w:pPr>
        <w:pStyle w:val="0"/>
        <w:jc w:val="center"/>
      </w:pPr>
      <w:r>
        <w:rPr>
          <w:sz w:val="20"/>
        </w:rPr>
      </w:r>
    </w:p>
    <w:p>
      <w:pPr>
        <w:pStyle w:val="0"/>
        <w:jc w:val="center"/>
      </w:pPr>
      <w:r>
        <w:rPr>
          <w:sz w:val="20"/>
        </w:rPr>
        <w:t xml:space="preserve">Breakdown</w:t>
      </w:r>
    </w:p>
    <w:p>
      <w:pPr>
        <w:pStyle w:val="0"/>
        <w:jc w:val="center"/>
      </w:pPr>
      <w:r>
        <w:rPr>
          <w:sz w:val="20"/>
        </w:rPr>
      </w:r>
    </w:p>
    <w:p>
      <w:pPr>
        <w:pStyle w:val="0"/>
        <w:ind w:firstLine="540"/>
        <w:jc w:val="both"/>
      </w:pPr>
      <w:r>
        <w:rPr>
          <w:sz w:val="20"/>
        </w:rPr>
        <w:t xml:space="preserve">In the case of a breakdown, the operator shall reduce or close down operations as soon as practicable until normal operations can be restored.</w:t>
      </w:r>
    </w:p>
    <w:p>
      <w:pPr>
        <w:pStyle w:val="0"/>
        <w:jc w:val="center"/>
      </w:pPr>
      <w:r>
        <w:rPr>
          <w:sz w:val="20"/>
        </w:rPr>
      </w:r>
    </w:p>
    <w:p>
      <w:pPr>
        <w:pStyle w:val="0"/>
        <w:outlineLvl w:val="2"/>
        <w:jc w:val="center"/>
      </w:pPr>
      <w:r>
        <w:rPr>
          <w:sz w:val="20"/>
        </w:rPr>
        <w:t xml:space="preserve">Article 48</w:t>
      </w:r>
    </w:p>
    <w:p>
      <w:pPr>
        <w:pStyle w:val="0"/>
        <w:jc w:val="center"/>
      </w:pPr>
      <w:r>
        <w:rPr>
          <w:sz w:val="20"/>
        </w:rPr>
      </w:r>
    </w:p>
    <w:p>
      <w:pPr>
        <w:pStyle w:val="0"/>
        <w:jc w:val="center"/>
      </w:pPr>
      <w:r>
        <w:rPr>
          <w:sz w:val="20"/>
        </w:rPr>
        <w:t xml:space="preserve">Monitoring of emissions</w:t>
      </w:r>
    </w:p>
    <w:p>
      <w:pPr>
        <w:pStyle w:val="0"/>
        <w:ind w:firstLine="540"/>
        <w:jc w:val="both"/>
      </w:pPr>
      <w:r>
        <w:rPr>
          <w:sz w:val="20"/>
        </w:rPr>
      </w:r>
    </w:p>
    <w:p>
      <w:pPr>
        <w:pStyle w:val="0"/>
        <w:ind w:firstLine="540"/>
        <w:jc w:val="both"/>
      </w:pPr>
      <w:r>
        <w:rPr>
          <w:sz w:val="20"/>
        </w:rPr>
        <w:t xml:space="preserve">1. Member States shall ensure that the monitoring of emissions is carried out in accordance with Parts 6 and 7 of Annex VI.</w:t>
      </w:r>
    </w:p>
    <w:p>
      <w:pPr>
        <w:pStyle w:val="0"/>
        <w:spacing w:before="200" w:line-rule="auto"/>
        <w:ind w:firstLine="540"/>
        <w:jc w:val="both"/>
      </w:pPr>
      <w:r>
        <w:rPr>
          <w:sz w:val="20"/>
        </w:rPr>
        <w:t xml:space="preserve">2. The installation and functioning of the automated measuring systems shall be subject to control and to annual surveillance tests as set out in point 1 of Part 6 of Annex VI.</w:t>
      </w:r>
    </w:p>
    <w:p>
      <w:pPr>
        <w:pStyle w:val="0"/>
        <w:spacing w:before="200" w:line-rule="auto"/>
        <w:ind w:firstLine="540"/>
        <w:jc w:val="both"/>
      </w:pPr>
      <w:r>
        <w:rPr>
          <w:sz w:val="20"/>
        </w:rPr>
        <w:t xml:space="preserve">3. The competent authority shall determine the location of the sampling or measurement points to be used for monitoring of emissions.</w:t>
      </w:r>
    </w:p>
    <w:p>
      <w:pPr>
        <w:pStyle w:val="0"/>
        <w:spacing w:before="200" w:line-rule="auto"/>
        <w:ind w:firstLine="540"/>
        <w:jc w:val="both"/>
      </w:pPr>
      <w:r>
        <w:rPr>
          <w:sz w:val="20"/>
        </w:rPr>
        <w:t xml:space="preserve">4. All monitoring results shall be recorded, processed and presented in such a way as to enable the competent authority to verify compliance with the operating conditions and emission limit values which are included in the permit.</w:t>
      </w:r>
    </w:p>
    <w:p>
      <w:pPr>
        <w:pStyle w:val="0"/>
        <w:spacing w:before="200" w:line-rule="auto"/>
        <w:ind w:firstLine="540"/>
        <w:jc w:val="both"/>
      </w:pPr>
      <w:r>
        <w:rPr>
          <w:sz w:val="20"/>
        </w:rPr>
        <w:t xml:space="preserve">5. As soon as appropriate measurement techniques are available within the Union, the Commission shall, by means of delegated acts in accordance with Article 76 and subject to the conditions laid down in Articles 77 and 78, set the date from which continuous measurements of emissions into the air of heavy metals and dioxins and furans are to be carried out.</w:t>
      </w:r>
    </w:p>
    <w:p>
      <w:pPr>
        <w:pStyle w:val="0"/>
        <w:jc w:val="center"/>
      </w:pPr>
      <w:r>
        <w:rPr>
          <w:sz w:val="20"/>
        </w:rPr>
      </w:r>
    </w:p>
    <w:p>
      <w:pPr>
        <w:pStyle w:val="0"/>
        <w:outlineLvl w:val="2"/>
        <w:jc w:val="center"/>
      </w:pPr>
      <w:r>
        <w:rPr>
          <w:sz w:val="20"/>
        </w:rPr>
        <w:t xml:space="preserve">Article 49</w:t>
      </w:r>
    </w:p>
    <w:p>
      <w:pPr>
        <w:pStyle w:val="0"/>
        <w:jc w:val="center"/>
      </w:pPr>
      <w:r>
        <w:rPr>
          <w:sz w:val="20"/>
        </w:rPr>
      </w:r>
    </w:p>
    <w:p>
      <w:pPr>
        <w:pStyle w:val="0"/>
        <w:jc w:val="center"/>
      </w:pPr>
      <w:r>
        <w:rPr>
          <w:sz w:val="20"/>
        </w:rPr>
        <w:t xml:space="preserve">Compliance with emission limit values</w:t>
      </w:r>
    </w:p>
    <w:p>
      <w:pPr>
        <w:pStyle w:val="0"/>
        <w:ind w:firstLine="540"/>
        <w:jc w:val="both"/>
      </w:pPr>
      <w:r>
        <w:rPr>
          <w:sz w:val="20"/>
        </w:rPr>
      </w:r>
    </w:p>
    <w:p>
      <w:pPr>
        <w:pStyle w:val="0"/>
        <w:ind w:firstLine="540"/>
        <w:jc w:val="both"/>
      </w:pPr>
      <w:r>
        <w:rPr>
          <w:sz w:val="20"/>
        </w:rPr>
        <w:t xml:space="preserve">The emission limit values for air and water shall be regarded as being complied with if the conditions described in Part 8 of Annex VI are fulfilled.</w:t>
      </w:r>
    </w:p>
    <w:p>
      <w:pPr>
        <w:pStyle w:val="0"/>
        <w:jc w:val="center"/>
      </w:pPr>
      <w:r>
        <w:rPr>
          <w:sz w:val="20"/>
        </w:rPr>
      </w:r>
    </w:p>
    <w:p>
      <w:pPr>
        <w:pStyle w:val="0"/>
        <w:outlineLvl w:val="2"/>
        <w:jc w:val="center"/>
      </w:pPr>
      <w:r>
        <w:rPr>
          <w:sz w:val="20"/>
        </w:rPr>
        <w:t xml:space="preserve">Article 50</w:t>
      </w:r>
    </w:p>
    <w:p>
      <w:pPr>
        <w:pStyle w:val="0"/>
        <w:jc w:val="center"/>
      </w:pPr>
      <w:r>
        <w:rPr>
          <w:sz w:val="20"/>
        </w:rPr>
      </w:r>
    </w:p>
    <w:p>
      <w:pPr>
        <w:pStyle w:val="0"/>
        <w:jc w:val="center"/>
      </w:pPr>
      <w:r>
        <w:rPr>
          <w:sz w:val="20"/>
        </w:rPr>
        <w:t xml:space="preserve">Operating conditions</w:t>
      </w:r>
    </w:p>
    <w:p>
      <w:pPr>
        <w:pStyle w:val="0"/>
        <w:jc w:val="center"/>
      </w:pPr>
      <w:r>
        <w:rPr>
          <w:sz w:val="20"/>
        </w:rPr>
      </w:r>
    </w:p>
    <w:p>
      <w:pPr>
        <w:pStyle w:val="0"/>
        <w:ind w:firstLine="540"/>
        <w:jc w:val="both"/>
      </w:pPr>
      <w:r>
        <w:rPr>
          <w:sz w:val="20"/>
        </w:rPr>
        <w:t xml:space="preserve">1. Waste incineration plants shall be operated in such a way as to achieve a level of incineration such that the total organic carbon content of slag and bottom ashes is less than 3% or their loss on ignition is less than 5% of the dry weight of the material. If necessary, waste pre-treatment techniques shall be used.</w:t>
      </w:r>
    </w:p>
    <w:p>
      <w:pPr>
        <w:pStyle w:val="0"/>
        <w:spacing w:before="200" w:line-rule="auto"/>
        <w:ind w:firstLine="540"/>
        <w:jc w:val="both"/>
      </w:pPr>
      <w:r>
        <w:rPr>
          <w:sz w:val="20"/>
        </w:rPr>
        <w:t xml:space="preserve">2. Waste incineration plants shall be designed, equipped, built and operated in such a way that the gas resulting from the incineration of waste is raised, after the last injection of combustion air, in a controlled and homogeneous fashion and even under the most unfavourable conditions, to a temperature of at least 850 °C for at least two seconds.</w:t>
      </w:r>
    </w:p>
    <w:p>
      <w:pPr>
        <w:pStyle w:val="0"/>
        <w:spacing w:before="200" w:line-rule="auto"/>
        <w:ind w:firstLine="540"/>
        <w:jc w:val="both"/>
      </w:pPr>
      <w:r>
        <w:rPr>
          <w:sz w:val="20"/>
        </w:rPr>
        <w:t xml:space="preserve">Waste co-incineration plants shall be designed, equipped, built and operated in such a way that the gas resulting from the co-incineration of waste is raised in a controlled and homogeneous fashion and even under the most unfavourable conditions, to a temperature of at least 850 °C for at least two seconds.</w:t>
      </w:r>
    </w:p>
    <w:p>
      <w:pPr>
        <w:pStyle w:val="0"/>
        <w:spacing w:before="200" w:line-rule="auto"/>
        <w:ind w:firstLine="540"/>
        <w:jc w:val="both"/>
      </w:pPr>
      <w:r>
        <w:rPr>
          <w:sz w:val="20"/>
        </w:rPr>
        <w:t xml:space="preserve">If hazardous waste with a content of more than 1% of halogenated organic substances, expressed as chlorine, is incinerated or co-incinerated, the temperature required to comply with the first and second subparagraphs shall be at least 1100 °C.</w:t>
      </w:r>
    </w:p>
    <w:p>
      <w:pPr>
        <w:pStyle w:val="0"/>
        <w:spacing w:before="200" w:line-rule="auto"/>
        <w:ind w:firstLine="540"/>
        <w:jc w:val="both"/>
      </w:pPr>
      <w:r>
        <w:rPr>
          <w:sz w:val="20"/>
        </w:rPr>
        <w:t xml:space="preserve">In waste incineration plants, the temperatures set out in the first and third subparagraphs shall be measured near the inner wall of the combustion chamber. The competent authority may authorise the measurements at another representative point of the combustion chamber.</w:t>
      </w:r>
    </w:p>
    <w:p>
      <w:pPr>
        <w:pStyle w:val="0"/>
        <w:spacing w:before="200" w:line-rule="auto"/>
        <w:ind w:firstLine="540"/>
        <w:jc w:val="both"/>
      </w:pPr>
      <w:r>
        <w:rPr>
          <w:sz w:val="20"/>
        </w:rPr>
        <w:t xml:space="preserve">3. Each combustion chamber of a waste incineration plant shall be equipped with at least one auxiliary burner. This burner shall be switched on automatically when the temperature of the combustion gases after the last injection of combustion air falls below the temperatures set out in paragraph 2. It shall also be used during plant start-up and shut-down operations in order to ensure that those temperatures are maintained at all times during these operations and as long as unburned waste is in the combustion chamber.</w:t>
      </w:r>
    </w:p>
    <w:p>
      <w:pPr>
        <w:pStyle w:val="0"/>
        <w:spacing w:before="200" w:line-rule="auto"/>
        <w:ind w:firstLine="540"/>
        <w:jc w:val="both"/>
      </w:pPr>
      <w:r>
        <w:rPr>
          <w:sz w:val="20"/>
        </w:rPr>
        <w:t xml:space="preserve">The auxiliary burner shall not be fed with fuels which can cause higher emissions than those resulting from the burning of gas oil as defined in Article 2 (2) of Council Directive 1999/32/EC of 26 April 1999 relating to a reduction in the sulphur content of certain liquid fuels &lt;*&gt;, liquefied gas or natural gas.</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L 121, 11.5.1999, p. 13.</w:t>
      </w:r>
    </w:p>
    <w:p>
      <w:pPr>
        <w:pStyle w:val="0"/>
        <w:ind w:firstLine="540"/>
        <w:jc w:val="both"/>
      </w:pPr>
      <w:r>
        <w:rPr>
          <w:sz w:val="20"/>
        </w:rPr>
      </w:r>
    </w:p>
    <w:p>
      <w:pPr>
        <w:pStyle w:val="0"/>
        <w:ind w:firstLine="540"/>
        <w:jc w:val="both"/>
      </w:pPr>
      <w:r>
        <w:rPr>
          <w:sz w:val="20"/>
        </w:rPr>
        <w:t xml:space="preserve">4. Waste incineration plants and waste co-incineration plants shall operate an automatic system to prevent waste feed in the following situations:</w:t>
      </w:r>
    </w:p>
    <w:p>
      <w:pPr>
        <w:pStyle w:val="0"/>
        <w:spacing w:before="200" w:line-rule="auto"/>
        <w:ind w:firstLine="540"/>
        <w:jc w:val="both"/>
      </w:pPr>
      <w:r>
        <w:rPr>
          <w:sz w:val="20"/>
        </w:rPr>
        <w:t xml:space="preserve">(a) at start-up, until the temperature set out in paragraph 2 of this Article or the temperature specified in accordance with Article 51 (1) has been reached;</w:t>
      </w:r>
    </w:p>
    <w:p>
      <w:pPr>
        <w:pStyle w:val="0"/>
        <w:spacing w:before="200" w:line-rule="auto"/>
        <w:ind w:firstLine="540"/>
        <w:jc w:val="both"/>
      </w:pPr>
      <w:r>
        <w:rPr>
          <w:sz w:val="20"/>
        </w:rPr>
        <w:t xml:space="preserve">(b) whenever the temperature set out in paragraph 2 of this Article or the temperature specified in accordance with Article 51 (1) is not maintained;</w:t>
      </w:r>
    </w:p>
    <w:p>
      <w:pPr>
        <w:pStyle w:val="0"/>
        <w:spacing w:before="200" w:line-rule="auto"/>
        <w:ind w:firstLine="540"/>
        <w:jc w:val="both"/>
      </w:pPr>
      <w:r>
        <w:rPr>
          <w:sz w:val="20"/>
        </w:rPr>
        <w:t xml:space="preserve">(c) whenever the continuous measurements show that any emission limit value is exceeded due to disturbances or failures of the waste gas cleaning devices.</w:t>
      </w:r>
    </w:p>
    <w:p>
      <w:pPr>
        <w:pStyle w:val="0"/>
        <w:spacing w:before="200" w:line-rule="auto"/>
        <w:ind w:firstLine="540"/>
        <w:jc w:val="both"/>
      </w:pPr>
      <w:r>
        <w:rPr>
          <w:sz w:val="20"/>
        </w:rPr>
        <w:t xml:space="preserve">5. Any heat generated by waste incineration plants or waste co-incineration plants shall be recovered as far as practicable.</w:t>
      </w:r>
    </w:p>
    <w:p>
      <w:pPr>
        <w:pStyle w:val="0"/>
        <w:spacing w:before="200" w:line-rule="auto"/>
        <w:ind w:firstLine="540"/>
        <w:jc w:val="both"/>
      </w:pPr>
      <w:r>
        <w:rPr>
          <w:sz w:val="20"/>
        </w:rPr>
        <w:t xml:space="preserve">6. Infectious clinical waste shall be placed straight in the furnace, without first being mixed with other categories of waste and without direct handling.</w:t>
      </w:r>
    </w:p>
    <w:p>
      <w:pPr>
        <w:pStyle w:val="0"/>
        <w:spacing w:before="200" w:line-rule="auto"/>
        <w:ind w:firstLine="540"/>
        <w:jc w:val="both"/>
      </w:pPr>
      <w:r>
        <w:rPr>
          <w:sz w:val="20"/>
        </w:rPr>
        <w:t xml:space="preserve">7. Member States shall ensure that the waste incineration plant or waste co-incineration plant is operated and controlled by a natural person who is competent to manage the plant.</w:t>
      </w:r>
    </w:p>
    <w:p>
      <w:pPr>
        <w:pStyle w:val="0"/>
        <w:jc w:val="center"/>
      </w:pPr>
      <w:r>
        <w:rPr>
          <w:sz w:val="20"/>
        </w:rPr>
      </w:r>
    </w:p>
    <w:p>
      <w:pPr>
        <w:pStyle w:val="0"/>
        <w:outlineLvl w:val="2"/>
        <w:jc w:val="center"/>
      </w:pPr>
      <w:r>
        <w:rPr>
          <w:sz w:val="20"/>
        </w:rPr>
        <w:t xml:space="preserve">Article 51</w:t>
      </w:r>
    </w:p>
    <w:p>
      <w:pPr>
        <w:pStyle w:val="0"/>
        <w:jc w:val="center"/>
      </w:pPr>
      <w:r>
        <w:rPr>
          <w:sz w:val="20"/>
        </w:rPr>
      </w:r>
    </w:p>
    <w:p>
      <w:pPr>
        <w:pStyle w:val="0"/>
        <w:jc w:val="center"/>
      </w:pPr>
      <w:r>
        <w:rPr>
          <w:sz w:val="20"/>
        </w:rPr>
        <w:t xml:space="preserve">Authorisation to change operating conditions</w:t>
      </w:r>
    </w:p>
    <w:p>
      <w:pPr>
        <w:pStyle w:val="0"/>
        <w:ind w:firstLine="540"/>
        <w:jc w:val="both"/>
      </w:pPr>
      <w:r>
        <w:rPr>
          <w:sz w:val="20"/>
        </w:rPr>
      </w:r>
    </w:p>
    <w:p>
      <w:pPr>
        <w:pStyle w:val="0"/>
        <w:ind w:firstLine="540"/>
        <w:jc w:val="both"/>
      </w:pPr>
      <w:r>
        <w:rPr>
          <w:sz w:val="20"/>
        </w:rPr>
        <w:t xml:space="preserve">1. Conditions different from those laid down in Article 50 (1), (2) and (3) and, as regards the temperature, paragraph 4 of that Article and specified in the permit for certain categories of waste or for certain thermal processes, may be authorised by the competent authority provided the other requirements of this Chapter are met. Member States may lay down rules governing these authorisations.</w:t>
      </w:r>
    </w:p>
    <w:p>
      <w:pPr>
        <w:pStyle w:val="0"/>
        <w:spacing w:before="200" w:line-rule="auto"/>
        <w:ind w:firstLine="540"/>
        <w:jc w:val="both"/>
      </w:pPr>
      <w:r>
        <w:rPr>
          <w:sz w:val="20"/>
        </w:rPr>
        <w:t xml:space="preserve">2. For waste incineration plants, the change of the operating conditions shall not cause more residues or residues with a higher content of organic polluting substances compared to those residues which could be expected under the conditions laid down in Article 50 (1), (2) and (3).</w:t>
      </w:r>
    </w:p>
    <w:p>
      <w:pPr>
        <w:pStyle w:val="0"/>
        <w:spacing w:before="200" w:line-rule="auto"/>
        <w:ind w:firstLine="540"/>
        <w:jc w:val="both"/>
      </w:pPr>
      <w:r>
        <w:rPr>
          <w:sz w:val="20"/>
        </w:rPr>
        <w:t xml:space="preserve">3. Emissions of total organic carbon and carbon monoxide from waste co-incineration plants, authorised to change operating conditions according to paragraph 1 shall also comply with the emission limit values set out in Part 3 of Annex VI.</w:t>
      </w:r>
    </w:p>
    <w:p>
      <w:pPr>
        <w:pStyle w:val="0"/>
        <w:spacing w:before="200" w:line-rule="auto"/>
        <w:ind w:firstLine="540"/>
        <w:jc w:val="both"/>
      </w:pPr>
      <w:r>
        <w:rPr>
          <w:sz w:val="20"/>
        </w:rPr>
        <w:t xml:space="preserve">Emissions of total organic carbon from bark boilers within the pulp and paper industry co-incinerating waste at the place of its production which were in operation and had a permit before 28 December 2002 and which are authorised to change operating conditions according to paragraph 1 shall also comply with the emission limit values set out in Part 3 of Annex VI.</w:t>
      </w:r>
    </w:p>
    <w:p>
      <w:pPr>
        <w:pStyle w:val="0"/>
        <w:spacing w:before="200" w:line-rule="auto"/>
        <w:ind w:firstLine="540"/>
        <w:jc w:val="both"/>
      </w:pPr>
      <w:r>
        <w:rPr>
          <w:sz w:val="20"/>
        </w:rPr>
        <w:t xml:space="preserve">4. Member States shall communicate to the Commission all operating conditions authorised under paragraphs 1, 2 and 3 and the results of verifications made as part of the information provided in accordance with the reporting requirements under Article 72.</w:t>
      </w:r>
    </w:p>
    <w:p>
      <w:pPr>
        <w:pStyle w:val="0"/>
        <w:jc w:val="center"/>
      </w:pPr>
      <w:r>
        <w:rPr>
          <w:sz w:val="20"/>
        </w:rPr>
      </w:r>
    </w:p>
    <w:p>
      <w:pPr>
        <w:pStyle w:val="0"/>
        <w:outlineLvl w:val="2"/>
        <w:jc w:val="center"/>
      </w:pPr>
      <w:r>
        <w:rPr>
          <w:sz w:val="20"/>
        </w:rPr>
        <w:t xml:space="preserve">Article 52</w:t>
      </w:r>
    </w:p>
    <w:p>
      <w:pPr>
        <w:pStyle w:val="0"/>
        <w:jc w:val="center"/>
      </w:pPr>
      <w:r>
        <w:rPr>
          <w:sz w:val="20"/>
        </w:rPr>
      </w:r>
    </w:p>
    <w:p>
      <w:pPr>
        <w:pStyle w:val="0"/>
        <w:jc w:val="center"/>
      </w:pPr>
      <w:r>
        <w:rPr>
          <w:sz w:val="20"/>
        </w:rPr>
        <w:t xml:space="preserve">Delivery and reception of waste</w:t>
      </w:r>
    </w:p>
    <w:p>
      <w:pPr>
        <w:pStyle w:val="0"/>
        <w:ind w:firstLine="540"/>
        <w:jc w:val="both"/>
      </w:pPr>
      <w:r>
        <w:rPr>
          <w:sz w:val="20"/>
        </w:rPr>
      </w:r>
    </w:p>
    <w:p>
      <w:pPr>
        <w:pStyle w:val="0"/>
        <w:ind w:firstLine="540"/>
        <w:jc w:val="both"/>
      </w:pPr>
      <w:r>
        <w:rPr>
          <w:sz w:val="20"/>
        </w:rPr>
        <w:t xml:space="preserve">1. The operator of the waste incineration plant or waste co-incineration plant shall take all necessary precautions concerning the delivery and reception of waste in order to prevent or to limit as far as practicable the pollution of air, soil, surface water and groundwater as well as other negative effects on the environment, odours and noise, and direct risks to human health.</w:t>
      </w:r>
    </w:p>
    <w:p>
      <w:pPr>
        <w:pStyle w:val="0"/>
        <w:spacing w:before="200" w:line-rule="auto"/>
        <w:ind w:firstLine="540"/>
        <w:jc w:val="both"/>
      </w:pPr>
      <w:r>
        <w:rPr>
          <w:sz w:val="20"/>
        </w:rPr>
        <w:t xml:space="preserve">2. The operator shall determine the mass of each type of waste, if possible according to the European Waste List established by Decision 2000/532/EC, prior to accepting the waste at the waste incineration plant or waste co-incineration plant.</w:t>
      </w:r>
    </w:p>
    <w:p>
      <w:pPr>
        <w:pStyle w:val="0"/>
        <w:spacing w:before="200" w:line-rule="auto"/>
        <w:ind w:firstLine="540"/>
        <w:jc w:val="both"/>
      </w:pPr>
      <w:r>
        <w:rPr>
          <w:sz w:val="20"/>
        </w:rPr>
        <w:t xml:space="preserve">3. Prior to accepting hazardous waste at the waste incineration plant or waste co-incineration plant, the operator shall collect available information about the waste for the purpose of verifying compliance with the permit requirements specified in Article 45 (2).</w:t>
      </w:r>
    </w:p>
    <w:p>
      <w:pPr>
        <w:pStyle w:val="0"/>
        <w:spacing w:before="200" w:line-rule="auto"/>
        <w:ind w:firstLine="540"/>
        <w:jc w:val="both"/>
      </w:pPr>
      <w:r>
        <w:rPr>
          <w:sz w:val="20"/>
        </w:rPr>
        <w:t xml:space="preserve">That information shall cover the following:</w:t>
      </w:r>
    </w:p>
    <w:p>
      <w:pPr>
        <w:pStyle w:val="0"/>
        <w:spacing w:before="200" w:line-rule="auto"/>
        <w:ind w:firstLine="540"/>
        <w:jc w:val="both"/>
      </w:pPr>
      <w:r>
        <w:rPr>
          <w:sz w:val="20"/>
        </w:rPr>
        <w:t xml:space="preserve">(a) all the administrative information on the generating process contained in the documents mentioned in paragraph 4 (a);</w:t>
      </w:r>
    </w:p>
    <w:p>
      <w:pPr>
        <w:pStyle w:val="0"/>
        <w:spacing w:before="200" w:line-rule="auto"/>
        <w:ind w:firstLine="540"/>
        <w:jc w:val="both"/>
      </w:pPr>
      <w:r>
        <w:rPr>
          <w:sz w:val="20"/>
        </w:rPr>
        <w:t xml:space="preserve">(b) the physical, and as far as practicable, chemical composition of the waste and all other information necessary to evaluate its suitability for the intended incineration process;</w:t>
      </w:r>
    </w:p>
    <w:p>
      <w:pPr>
        <w:pStyle w:val="0"/>
        <w:spacing w:before="200" w:line-rule="auto"/>
        <w:ind w:firstLine="540"/>
        <w:jc w:val="both"/>
      </w:pPr>
      <w:r>
        <w:rPr>
          <w:sz w:val="20"/>
        </w:rPr>
        <w:t xml:space="preserve">(c) the hazardous characteristics of the waste, the substances with which it cannot be mixed, and the precautions to be taken in handling the waste.</w:t>
      </w:r>
    </w:p>
    <w:p>
      <w:pPr>
        <w:pStyle w:val="0"/>
        <w:spacing w:before="200" w:line-rule="auto"/>
        <w:ind w:firstLine="540"/>
        <w:jc w:val="both"/>
      </w:pPr>
      <w:r>
        <w:rPr>
          <w:sz w:val="20"/>
        </w:rPr>
        <w:t xml:space="preserve">4. Prior to accepting hazardous waste at the waste incineration plant or waste co-incineration plant, at least the following procedures shall be carried out by the operator:</w:t>
      </w:r>
    </w:p>
    <w:p>
      <w:pPr>
        <w:pStyle w:val="0"/>
        <w:spacing w:before="200" w:line-rule="auto"/>
        <w:ind w:firstLine="540"/>
        <w:jc w:val="both"/>
      </w:pPr>
      <w:r>
        <w:rPr>
          <w:sz w:val="20"/>
        </w:rPr>
        <w:t xml:space="preserve">(a) the checking of the documents required by Directive 2008/98/EC and, where applicable, those required by Regulation (EC) No 1013/2006 of the European Parliament and of the Council of 14 June 2006 on shipments of waste &lt;*&gt; and by legislation on transport of dangerous goods;</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L 190, 12.7.2006, p. 1.</w:t>
      </w:r>
    </w:p>
    <w:p>
      <w:pPr>
        <w:pStyle w:val="0"/>
        <w:ind w:firstLine="540"/>
        <w:jc w:val="both"/>
      </w:pPr>
      <w:r>
        <w:rPr>
          <w:sz w:val="20"/>
        </w:rPr>
      </w:r>
    </w:p>
    <w:p>
      <w:pPr>
        <w:pStyle w:val="0"/>
        <w:ind w:firstLine="540"/>
        <w:jc w:val="both"/>
      </w:pPr>
      <w:r>
        <w:rPr>
          <w:sz w:val="20"/>
        </w:rPr>
        <w:t xml:space="preserve">(b) the taking of representative samples, unless inappropriate as far as possible before unloading, to verify conformity with the information provided for in paragraph 3 by carrying out controls and to enable the competent authorities to identify the nature of the wastes treated.</w:t>
      </w:r>
    </w:p>
    <w:p>
      <w:pPr>
        <w:pStyle w:val="0"/>
        <w:spacing w:before="200" w:line-rule="auto"/>
        <w:ind w:firstLine="540"/>
        <w:jc w:val="both"/>
      </w:pPr>
      <w:r>
        <w:rPr>
          <w:sz w:val="20"/>
        </w:rPr>
        <w:t xml:space="preserve">The samples referred to in point (b) shall be kept for at least 1 month after the incineration or co-incineration of the waste concerned.</w:t>
      </w:r>
    </w:p>
    <w:p>
      <w:pPr>
        <w:pStyle w:val="0"/>
        <w:spacing w:before="200" w:line-rule="auto"/>
        <w:ind w:firstLine="540"/>
        <w:jc w:val="both"/>
      </w:pPr>
      <w:r>
        <w:rPr>
          <w:sz w:val="20"/>
        </w:rPr>
        <w:t xml:space="preserve">5. The competent authority may grant exemptions from paragraphs 2, 3 and 4 to waste incineration plants or waste co-incineration plants which are a part of an installation covered by Chapter II and only incinerate or co-incinerate waste generated within that installation.</w:t>
      </w:r>
    </w:p>
    <w:p>
      <w:pPr>
        <w:pStyle w:val="0"/>
        <w:jc w:val="center"/>
      </w:pPr>
      <w:r>
        <w:rPr>
          <w:sz w:val="20"/>
        </w:rPr>
      </w:r>
    </w:p>
    <w:p>
      <w:pPr>
        <w:pStyle w:val="0"/>
        <w:outlineLvl w:val="2"/>
        <w:jc w:val="center"/>
      </w:pPr>
      <w:r>
        <w:rPr>
          <w:sz w:val="20"/>
        </w:rPr>
        <w:t xml:space="preserve">Article 53</w:t>
      </w:r>
    </w:p>
    <w:p>
      <w:pPr>
        <w:pStyle w:val="0"/>
        <w:jc w:val="center"/>
      </w:pPr>
      <w:r>
        <w:rPr>
          <w:sz w:val="20"/>
        </w:rPr>
      </w:r>
    </w:p>
    <w:p>
      <w:pPr>
        <w:pStyle w:val="0"/>
        <w:jc w:val="center"/>
      </w:pPr>
      <w:r>
        <w:rPr>
          <w:sz w:val="20"/>
        </w:rPr>
        <w:t xml:space="preserve">Residues</w:t>
      </w:r>
    </w:p>
    <w:p>
      <w:pPr>
        <w:pStyle w:val="0"/>
        <w:jc w:val="center"/>
      </w:pPr>
      <w:r>
        <w:rPr>
          <w:sz w:val="20"/>
        </w:rPr>
      </w:r>
    </w:p>
    <w:p>
      <w:pPr>
        <w:pStyle w:val="0"/>
        <w:ind w:firstLine="540"/>
        <w:jc w:val="both"/>
      </w:pPr>
      <w:r>
        <w:rPr>
          <w:sz w:val="20"/>
        </w:rPr>
        <w:t xml:space="preserve">1. Residues shall be minimised in their amount and harmfulness. Residues shall be recycled, where appropriate, directly in the plant or outside.</w:t>
      </w:r>
    </w:p>
    <w:p>
      <w:pPr>
        <w:pStyle w:val="0"/>
        <w:spacing w:before="200" w:line-rule="auto"/>
        <w:ind w:firstLine="540"/>
        <w:jc w:val="both"/>
      </w:pPr>
      <w:r>
        <w:rPr>
          <w:sz w:val="20"/>
        </w:rPr>
        <w:t xml:space="preserve">2. Transport and intermediate storage of dry residues in the form of dust shall take place in such a way as to prevent dispersal of those residues in the environment.</w:t>
      </w:r>
    </w:p>
    <w:p>
      <w:pPr>
        <w:pStyle w:val="0"/>
        <w:spacing w:before="200" w:line-rule="auto"/>
        <w:ind w:firstLine="540"/>
        <w:jc w:val="both"/>
      </w:pPr>
      <w:r>
        <w:rPr>
          <w:sz w:val="20"/>
        </w:rPr>
        <w:t xml:space="preserve">3. Prior to determining the routes for the disposal or recycling of the residues, appropriate tests shall be carried out to establish the physical and chemical characteristics and the polluting potential of the residues. Those tests shall concern the total soluble fraction and heavy metals soluble fraction.</w:t>
      </w:r>
    </w:p>
    <w:p>
      <w:pPr>
        <w:pStyle w:val="0"/>
        <w:jc w:val="center"/>
      </w:pPr>
      <w:r>
        <w:rPr>
          <w:sz w:val="20"/>
        </w:rPr>
      </w:r>
    </w:p>
    <w:p>
      <w:pPr>
        <w:pStyle w:val="0"/>
        <w:outlineLvl w:val="2"/>
        <w:jc w:val="center"/>
      </w:pPr>
      <w:r>
        <w:rPr>
          <w:sz w:val="20"/>
        </w:rPr>
        <w:t xml:space="preserve">Article 54</w:t>
      </w:r>
    </w:p>
    <w:p>
      <w:pPr>
        <w:pStyle w:val="0"/>
        <w:jc w:val="center"/>
      </w:pPr>
      <w:r>
        <w:rPr>
          <w:sz w:val="20"/>
        </w:rPr>
      </w:r>
    </w:p>
    <w:p>
      <w:pPr>
        <w:pStyle w:val="0"/>
        <w:jc w:val="center"/>
      </w:pPr>
      <w:r>
        <w:rPr>
          <w:sz w:val="20"/>
        </w:rPr>
        <w:t xml:space="preserve">Substantial change</w:t>
      </w:r>
    </w:p>
    <w:p>
      <w:pPr>
        <w:pStyle w:val="0"/>
        <w:jc w:val="center"/>
      </w:pPr>
      <w:r>
        <w:rPr>
          <w:sz w:val="20"/>
        </w:rPr>
      </w:r>
    </w:p>
    <w:p>
      <w:pPr>
        <w:pStyle w:val="0"/>
        <w:ind w:firstLine="540"/>
        <w:jc w:val="both"/>
      </w:pPr>
      <w:r>
        <w:rPr>
          <w:sz w:val="20"/>
        </w:rPr>
        <w:t xml:space="preserve">A change of operation of a waste incineration plant or a waste co-incineration plant treating only non-hazardous waste in an installation covered by Chapter II which involves the incineration or co-incineration of hazardous waste shall be regarded as a substantial change.</w:t>
      </w:r>
    </w:p>
    <w:p>
      <w:pPr>
        <w:pStyle w:val="0"/>
        <w:jc w:val="center"/>
      </w:pPr>
      <w:r>
        <w:rPr>
          <w:sz w:val="20"/>
        </w:rPr>
      </w:r>
    </w:p>
    <w:p>
      <w:pPr>
        <w:pStyle w:val="0"/>
        <w:outlineLvl w:val="2"/>
        <w:jc w:val="center"/>
      </w:pPr>
      <w:r>
        <w:rPr>
          <w:sz w:val="20"/>
        </w:rPr>
        <w:t xml:space="preserve">Article 55</w:t>
      </w:r>
    </w:p>
    <w:p>
      <w:pPr>
        <w:pStyle w:val="0"/>
        <w:jc w:val="center"/>
      </w:pPr>
      <w:r>
        <w:rPr>
          <w:sz w:val="20"/>
        </w:rPr>
      </w:r>
    </w:p>
    <w:p>
      <w:pPr>
        <w:pStyle w:val="0"/>
        <w:jc w:val="center"/>
      </w:pPr>
      <w:r>
        <w:rPr>
          <w:sz w:val="20"/>
        </w:rPr>
        <w:t xml:space="preserve">Reporting and public information on waste incineration</w:t>
      </w:r>
    </w:p>
    <w:p>
      <w:pPr>
        <w:pStyle w:val="0"/>
        <w:jc w:val="center"/>
      </w:pPr>
      <w:r>
        <w:rPr>
          <w:sz w:val="20"/>
        </w:rPr>
        <w:t xml:space="preserve">plants and waste co-incineration plants</w:t>
      </w:r>
    </w:p>
    <w:p>
      <w:pPr>
        <w:pStyle w:val="0"/>
        <w:ind w:firstLine="540"/>
        <w:jc w:val="both"/>
      </w:pPr>
      <w:r>
        <w:rPr>
          <w:sz w:val="20"/>
        </w:rPr>
      </w:r>
    </w:p>
    <w:p>
      <w:pPr>
        <w:pStyle w:val="0"/>
        <w:ind w:firstLine="540"/>
        <w:jc w:val="both"/>
      </w:pPr>
      <w:r>
        <w:rPr>
          <w:sz w:val="20"/>
        </w:rPr>
        <w:t xml:space="preserve">1. Applications for new permits for waste incineration plants and waste co-incineration plants shall be made available to the public at one or more locations for an appropriate period to enable the public to comment on the applications before the competent authority reaches a decision. That decision, including at least a copy of the permit, and any subsequent updates, shall also be made available to the public.</w:t>
      </w:r>
    </w:p>
    <w:p>
      <w:pPr>
        <w:pStyle w:val="0"/>
        <w:spacing w:before="200" w:line-rule="auto"/>
        <w:ind w:firstLine="540"/>
        <w:jc w:val="both"/>
      </w:pPr>
      <w:r>
        <w:rPr>
          <w:sz w:val="20"/>
        </w:rPr>
        <w:t xml:space="preserve">2. For waste incineration plants or waste co-incineration plants with a nominal capacity of 2 tonnes or more per hour, the report referred to in Article 72 shall include information on the functioning and monitoring of the plant and give account of the running of the incineration or co-incineration process and the level of emissions into air and water in comparison with the emission limit values. That information shall be made available to the public.</w:t>
      </w:r>
    </w:p>
    <w:p>
      <w:pPr>
        <w:pStyle w:val="0"/>
        <w:spacing w:before="200" w:line-rule="auto"/>
        <w:ind w:firstLine="540"/>
        <w:jc w:val="both"/>
      </w:pPr>
      <w:r>
        <w:rPr>
          <w:sz w:val="20"/>
        </w:rPr>
        <w:t xml:space="preserve">3. A list of waste incineration plants or waste co-incineration plants with a nominal capacity of less than 2 tonnes per hour shall be drawn up by the competent authority and shall be made available to the public.</w:t>
      </w:r>
    </w:p>
    <w:p>
      <w:pPr>
        <w:pStyle w:val="0"/>
        <w:jc w:val="center"/>
      </w:pPr>
      <w:r>
        <w:rPr>
          <w:sz w:val="20"/>
        </w:rPr>
      </w:r>
    </w:p>
    <w:p>
      <w:pPr>
        <w:pStyle w:val="0"/>
        <w:outlineLvl w:val="1"/>
        <w:jc w:val="center"/>
      </w:pPr>
      <w:r>
        <w:rPr>
          <w:sz w:val="20"/>
        </w:rPr>
        <w:t xml:space="preserve">Chapter V. SPECIAL PROVISIONS FOR INSTALLATIONS</w:t>
      </w:r>
    </w:p>
    <w:p>
      <w:pPr>
        <w:pStyle w:val="0"/>
        <w:jc w:val="center"/>
      </w:pPr>
      <w:r>
        <w:rPr>
          <w:sz w:val="20"/>
        </w:rPr>
        <w:t xml:space="preserve">AND ACTIVITIES USING ORGANIC SOLVENTS</w:t>
      </w:r>
    </w:p>
    <w:p>
      <w:pPr>
        <w:pStyle w:val="0"/>
        <w:jc w:val="center"/>
      </w:pPr>
      <w:r>
        <w:rPr>
          <w:sz w:val="20"/>
        </w:rPr>
      </w:r>
    </w:p>
    <w:p>
      <w:pPr>
        <w:pStyle w:val="0"/>
        <w:outlineLvl w:val="2"/>
        <w:jc w:val="center"/>
      </w:pPr>
      <w:r>
        <w:rPr>
          <w:sz w:val="20"/>
        </w:rPr>
        <w:t xml:space="preserve">Article 56</w:t>
      </w:r>
    </w:p>
    <w:p>
      <w:pPr>
        <w:pStyle w:val="0"/>
        <w:jc w:val="center"/>
      </w:pPr>
      <w:r>
        <w:rPr>
          <w:sz w:val="20"/>
        </w:rPr>
      </w:r>
    </w:p>
    <w:p>
      <w:pPr>
        <w:pStyle w:val="0"/>
        <w:jc w:val="center"/>
      </w:pPr>
      <w:r>
        <w:rPr>
          <w:sz w:val="20"/>
        </w:rPr>
        <w:t xml:space="preserve">Scope</w:t>
      </w:r>
    </w:p>
    <w:p>
      <w:pPr>
        <w:pStyle w:val="0"/>
        <w:jc w:val="center"/>
      </w:pPr>
      <w:r>
        <w:rPr>
          <w:sz w:val="20"/>
        </w:rPr>
      </w:r>
    </w:p>
    <w:p>
      <w:pPr>
        <w:pStyle w:val="0"/>
        <w:ind w:firstLine="540"/>
        <w:jc w:val="both"/>
      </w:pPr>
      <w:r>
        <w:rPr>
          <w:sz w:val="20"/>
        </w:rPr>
        <w:t xml:space="preserve">This chapter shall apply to activities listed in Part 1 of Annex VII and, where applicable, reaching the consumption thresholds set out in Part 2 of that Annex.</w:t>
      </w:r>
    </w:p>
    <w:p>
      <w:pPr>
        <w:pStyle w:val="0"/>
        <w:jc w:val="center"/>
      </w:pPr>
      <w:r>
        <w:rPr>
          <w:sz w:val="20"/>
        </w:rPr>
      </w:r>
    </w:p>
    <w:p>
      <w:pPr>
        <w:pStyle w:val="0"/>
        <w:outlineLvl w:val="2"/>
        <w:jc w:val="center"/>
      </w:pPr>
      <w:r>
        <w:rPr>
          <w:sz w:val="20"/>
        </w:rPr>
        <w:t xml:space="preserve">Article 57</w:t>
      </w:r>
    </w:p>
    <w:p>
      <w:pPr>
        <w:pStyle w:val="0"/>
        <w:jc w:val="center"/>
      </w:pPr>
      <w:r>
        <w:rPr>
          <w:sz w:val="20"/>
        </w:rPr>
      </w:r>
    </w:p>
    <w:p>
      <w:pPr>
        <w:pStyle w:val="0"/>
        <w:jc w:val="center"/>
      </w:pPr>
      <w:r>
        <w:rPr>
          <w:sz w:val="20"/>
        </w:rPr>
        <w:t xml:space="preserve">Definitions</w:t>
      </w:r>
    </w:p>
    <w:p>
      <w:pPr>
        <w:pStyle w:val="0"/>
        <w:jc w:val="center"/>
      </w:pPr>
      <w:r>
        <w:rPr>
          <w:sz w:val="20"/>
        </w:rPr>
      </w:r>
    </w:p>
    <w:p>
      <w:pPr>
        <w:pStyle w:val="0"/>
        <w:ind w:firstLine="540"/>
        <w:jc w:val="both"/>
      </w:pPr>
      <w:r>
        <w:rPr>
          <w:sz w:val="20"/>
        </w:rPr>
        <w:t xml:space="preserve">For the purposes of this Chapter, the following definitions shall apply:</w:t>
      </w:r>
    </w:p>
    <w:p>
      <w:pPr>
        <w:pStyle w:val="0"/>
        <w:spacing w:before="200" w:line-rule="auto"/>
        <w:ind w:firstLine="540"/>
        <w:jc w:val="both"/>
      </w:pPr>
      <w:r>
        <w:rPr>
          <w:sz w:val="20"/>
        </w:rPr>
        <w:t xml:space="preserve">(1) "existing installation" means an installation in operation on 29 March 1999 or which was granted a permit or registered before 1 April 2001 or the operator of which submitted a complete application for a permit before 1 April 2001, provided that that installation was put in operation no later than 1 April 2002;</w:t>
      </w:r>
    </w:p>
    <w:p>
      <w:pPr>
        <w:pStyle w:val="0"/>
        <w:spacing w:before="200" w:line-rule="auto"/>
        <w:ind w:firstLine="540"/>
        <w:jc w:val="both"/>
      </w:pPr>
      <w:r>
        <w:rPr>
          <w:sz w:val="20"/>
        </w:rPr>
        <w:t xml:space="preserve">(2) "waste gases" means the final gaseous discharge containing volatile organic compounds or other pollutants from a stack or abatement equipment into air;</w:t>
      </w:r>
    </w:p>
    <w:p>
      <w:pPr>
        <w:pStyle w:val="0"/>
        <w:spacing w:before="200" w:line-rule="auto"/>
        <w:ind w:firstLine="540"/>
        <w:jc w:val="both"/>
      </w:pPr>
      <w:r>
        <w:rPr>
          <w:sz w:val="20"/>
        </w:rPr>
        <w:t xml:space="preserve">(3) "fugitive emissions" means any emissions not in waste gases of volatile organic compounds into air, soil and water as well as solvents contained in any products, unless otherwise stated in Part 2 of Annex VII;</w:t>
      </w:r>
    </w:p>
    <w:p>
      <w:pPr>
        <w:pStyle w:val="0"/>
        <w:spacing w:before="200" w:line-rule="auto"/>
        <w:ind w:firstLine="540"/>
        <w:jc w:val="both"/>
      </w:pPr>
      <w:r>
        <w:rPr>
          <w:sz w:val="20"/>
        </w:rPr>
        <w:t xml:space="preserve">(4) "total emissions" means the sum of fugitive emissions and emissions in waste gases;</w:t>
      </w:r>
    </w:p>
    <w:p>
      <w:pPr>
        <w:pStyle w:val="0"/>
        <w:spacing w:before="200" w:line-rule="auto"/>
        <w:ind w:firstLine="540"/>
        <w:jc w:val="both"/>
      </w:pPr>
      <w:r>
        <w:rPr>
          <w:sz w:val="20"/>
        </w:rPr>
        <w:t xml:space="preserve">(5) "mixture" means mixture as defined in Article 3 (2) of Regulation (EC) No 1907/2006 of the European Parliament and of the Council of 18 December 2006 concerning the Registration, Evaluation, Authorisation and Restriction of Chemicals (REACH) and establishing a European Chemicals Agency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L 396, 30.12.2006, p. 1.</w:t>
      </w:r>
    </w:p>
    <w:p>
      <w:pPr>
        <w:pStyle w:val="0"/>
        <w:ind w:firstLine="540"/>
        <w:jc w:val="both"/>
      </w:pPr>
      <w:r>
        <w:rPr>
          <w:sz w:val="20"/>
        </w:rPr>
      </w:r>
    </w:p>
    <w:p>
      <w:pPr>
        <w:pStyle w:val="0"/>
        <w:ind w:firstLine="540"/>
        <w:jc w:val="both"/>
      </w:pPr>
      <w:r>
        <w:rPr>
          <w:sz w:val="20"/>
        </w:rPr>
        <w:t xml:space="preserve">(6) "adhesive" means any mixture, including all the organic solvents or mixtures containing organic solvents necessary for its proper application, which is used to adhere separate parts of a product;</w:t>
      </w:r>
    </w:p>
    <w:p>
      <w:pPr>
        <w:pStyle w:val="0"/>
        <w:spacing w:before="200" w:line-rule="auto"/>
        <w:ind w:firstLine="540"/>
        <w:jc w:val="both"/>
      </w:pPr>
      <w:r>
        <w:rPr>
          <w:sz w:val="20"/>
        </w:rPr>
        <w:t xml:space="preserve">(7) "ink" means a mixture, including all the organic solvents or mixtures containing organic solvents necessary for its proper application, which is used in a printing activity to impress text or images on to a surface;</w:t>
      </w:r>
    </w:p>
    <w:p>
      <w:pPr>
        <w:pStyle w:val="0"/>
        <w:spacing w:before="200" w:line-rule="auto"/>
        <w:ind w:firstLine="540"/>
        <w:jc w:val="both"/>
      </w:pPr>
      <w:r>
        <w:rPr>
          <w:sz w:val="20"/>
        </w:rPr>
        <w:t xml:space="preserve">(8) "varnish" means a transparent coating;</w:t>
      </w:r>
    </w:p>
    <w:p>
      <w:pPr>
        <w:pStyle w:val="0"/>
        <w:spacing w:before="200" w:line-rule="auto"/>
        <w:ind w:firstLine="540"/>
        <w:jc w:val="both"/>
      </w:pPr>
      <w:r>
        <w:rPr>
          <w:sz w:val="20"/>
        </w:rPr>
        <w:t xml:space="preserve">(9) "consumption" means the total input of organic solvents into an installation per calendar year, or any other 12-month period, less any volatile organic compounds that are recovered for re-use;</w:t>
      </w:r>
    </w:p>
    <w:p>
      <w:pPr>
        <w:pStyle w:val="0"/>
        <w:spacing w:before="200" w:line-rule="auto"/>
        <w:ind w:firstLine="540"/>
        <w:jc w:val="both"/>
      </w:pPr>
      <w:r>
        <w:rPr>
          <w:sz w:val="20"/>
        </w:rPr>
        <w:t xml:space="preserve">(10) "input" means the quantity of organic solvents and their quantity in mixtures used when carrying out an activity, including the solvents recycled inside and outside the installation, and which are counted every time they are used to carry out the activity;</w:t>
      </w:r>
    </w:p>
    <w:p>
      <w:pPr>
        <w:pStyle w:val="0"/>
        <w:spacing w:before="200" w:line-rule="auto"/>
        <w:ind w:firstLine="540"/>
        <w:jc w:val="both"/>
      </w:pPr>
      <w:r>
        <w:rPr>
          <w:sz w:val="20"/>
        </w:rPr>
        <w:t xml:space="preserve">(11) "re-use" means the use of organic solvents recovered from an installation for any technical or commercial purpose and including use as a fuel but excluding the final disposal of such recovered organic solvent as waste;</w:t>
      </w:r>
    </w:p>
    <w:p>
      <w:pPr>
        <w:pStyle w:val="0"/>
        <w:spacing w:before="200" w:line-rule="auto"/>
        <w:ind w:firstLine="540"/>
        <w:jc w:val="both"/>
      </w:pPr>
      <w:r>
        <w:rPr>
          <w:sz w:val="20"/>
        </w:rPr>
        <w:t xml:space="preserve">(12) "contained conditions" means conditions under which an installation is operated so that the volatile organic compounds released from the activity are collected and discharged in a controlled way either via a stack or abatement equipment and are, therefore, not entirely fugitive;</w:t>
      </w:r>
    </w:p>
    <w:p>
      <w:pPr>
        <w:pStyle w:val="0"/>
        <w:spacing w:before="200" w:line-rule="auto"/>
        <w:ind w:firstLine="540"/>
        <w:jc w:val="both"/>
      </w:pPr>
      <w:r>
        <w:rPr>
          <w:sz w:val="20"/>
        </w:rPr>
        <w:t xml:space="preserve">(13) "start-up and shut-down operations" means operations excluding regularly oscillating activity phases whilst bringing an activity, an equipment item or a tank into or out of service or into or out of an idling state.</w:t>
      </w:r>
    </w:p>
    <w:p>
      <w:pPr>
        <w:pStyle w:val="0"/>
        <w:jc w:val="center"/>
      </w:pPr>
      <w:r>
        <w:rPr>
          <w:sz w:val="20"/>
        </w:rPr>
      </w:r>
    </w:p>
    <w:p>
      <w:pPr>
        <w:pStyle w:val="0"/>
        <w:outlineLvl w:val="2"/>
        <w:jc w:val="center"/>
      </w:pPr>
      <w:r>
        <w:rPr>
          <w:sz w:val="20"/>
        </w:rPr>
        <w:t xml:space="preserve">Article 58</w:t>
      </w:r>
    </w:p>
    <w:p>
      <w:pPr>
        <w:pStyle w:val="0"/>
        <w:jc w:val="center"/>
      </w:pPr>
      <w:r>
        <w:rPr>
          <w:sz w:val="20"/>
        </w:rPr>
      </w:r>
    </w:p>
    <w:p>
      <w:pPr>
        <w:pStyle w:val="0"/>
        <w:jc w:val="center"/>
      </w:pPr>
      <w:r>
        <w:rPr>
          <w:sz w:val="20"/>
        </w:rPr>
        <w:t xml:space="preserve">Substitution of hazardous substances</w:t>
      </w:r>
    </w:p>
    <w:p>
      <w:pPr>
        <w:pStyle w:val="0"/>
        <w:ind w:firstLine="540"/>
        <w:jc w:val="both"/>
      </w:pPr>
      <w:r>
        <w:rPr>
          <w:sz w:val="20"/>
        </w:rPr>
      </w:r>
    </w:p>
    <w:p>
      <w:pPr>
        <w:pStyle w:val="0"/>
        <w:ind w:firstLine="540"/>
        <w:jc w:val="both"/>
      </w:pPr>
      <w:r>
        <w:rPr>
          <w:sz w:val="20"/>
        </w:rPr>
        <w:t xml:space="preserve">Substances or mixtures which, because of their content of volatile organic compounds classified as carcinogens, mutagens, or toxic to reproduction under Regulation (EC) No 1272/2008, are assigned or need to carry the hazard statements H340, H350, H350i, H360D or H360F, shall be replaced, as far as possible by less harmful substances or mixtures within the shortest possible time.</w:t>
      </w:r>
    </w:p>
    <w:p>
      <w:pPr>
        <w:pStyle w:val="0"/>
        <w:jc w:val="center"/>
      </w:pPr>
      <w:r>
        <w:rPr>
          <w:sz w:val="20"/>
        </w:rPr>
      </w:r>
    </w:p>
    <w:p>
      <w:pPr>
        <w:pStyle w:val="0"/>
        <w:outlineLvl w:val="2"/>
        <w:jc w:val="center"/>
      </w:pPr>
      <w:r>
        <w:rPr>
          <w:sz w:val="20"/>
        </w:rPr>
        <w:t xml:space="preserve">Article 59</w:t>
      </w:r>
    </w:p>
    <w:p>
      <w:pPr>
        <w:pStyle w:val="0"/>
        <w:jc w:val="center"/>
      </w:pPr>
      <w:r>
        <w:rPr>
          <w:sz w:val="20"/>
        </w:rPr>
      </w:r>
    </w:p>
    <w:p>
      <w:pPr>
        <w:pStyle w:val="0"/>
        <w:jc w:val="center"/>
      </w:pPr>
      <w:r>
        <w:rPr>
          <w:sz w:val="20"/>
        </w:rPr>
        <w:t xml:space="preserve">Control of emissions</w:t>
      </w:r>
    </w:p>
    <w:p>
      <w:pPr>
        <w:pStyle w:val="0"/>
        <w:jc w:val="center"/>
      </w:pPr>
      <w:r>
        <w:rPr>
          <w:sz w:val="20"/>
        </w:rPr>
      </w:r>
    </w:p>
    <w:p>
      <w:pPr>
        <w:pStyle w:val="0"/>
        <w:ind w:firstLine="540"/>
        <w:jc w:val="both"/>
      </w:pPr>
      <w:r>
        <w:rPr>
          <w:sz w:val="20"/>
        </w:rPr>
        <w:t xml:space="preserve">1. Member States shall take the necessary measures to ensure that each installation complies with either of the following:</w:t>
      </w:r>
    </w:p>
    <w:p>
      <w:pPr>
        <w:pStyle w:val="0"/>
        <w:spacing w:before="200" w:line-rule="auto"/>
        <w:ind w:firstLine="540"/>
        <w:jc w:val="both"/>
      </w:pPr>
      <w:r>
        <w:rPr>
          <w:sz w:val="20"/>
        </w:rPr>
        <w:t xml:space="preserve">(a) the emission of volatile organic compounds from installations shall not exceed the emission limit values in waste gases and the fugitive emission limit values, or the total emission limit values, and other requirements laid down in Parts 2 and 3 of Annex VII are complied with;</w:t>
      </w:r>
    </w:p>
    <w:p>
      <w:pPr>
        <w:pStyle w:val="0"/>
        <w:spacing w:before="200" w:line-rule="auto"/>
        <w:ind w:firstLine="540"/>
        <w:jc w:val="both"/>
      </w:pPr>
      <w:r>
        <w:rPr>
          <w:sz w:val="20"/>
        </w:rPr>
        <w:t xml:space="preserve">(b) the requirements of the reduction scheme set out in Part 5 of Annex VII provided that an equivalent emission reduction is achieved compared to that achieved through the application of the emission limit values referred to in point (a).</w:t>
      </w:r>
    </w:p>
    <w:p>
      <w:pPr>
        <w:pStyle w:val="0"/>
        <w:spacing w:before="200" w:line-rule="auto"/>
        <w:ind w:firstLine="540"/>
        <w:jc w:val="both"/>
      </w:pPr>
      <w:r>
        <w:rPr>
          <w:sz w:val="20"/>
        </w:rPr>
        <w:t xml:space="preserve">Member States shall report to the Commission in accordance with Article 72 (1) on the progress in achieving the equivalent emission reduction referred to in point (b).</w:t>
      </w:r>
    </w:p>
    <w:p>
      <w:pPr>
        <w:pStyle w:val="0"/>
        <w:spacing w:before="200" w:line-rule="auto"/>
        <w:ind w:firstLine="540"/>
        <w:jc w:val="both"/>
      </w:pPr>
      <w:r>
        <w:rPr>
          <w:sz w:val="20"/>
        </w:rPr>
        <w:t xml:space="preserve">2. By way of derogation from paragraph 1 (a), where the operator demonstrates to the competent authority that for an individual installation the emission limit value for fugitive emissions is not technically and economically feasible, the competent authority may allow emissions to exceed that emission limit value provided that significant risks to human health or the environment are not to be expected and that the operator demonstrates to the competent authority that the best available techniques are being used.</w:t>
      </w:r>
    </w:p>
    <w:p>
      <w:pPr>
        <w:pStyle w:val="0"/>
        <w:spacing w:before="200" w:line-rule="auto"/>
        <w:ind w:firstLine="540"/>
        <w:jc w:val="both"/>
      </w:pPr>
      <w:r>
        <w:rPr>
          <w:sz w:val="20"/>
        </w:rPr>
        <w:t xml:space="preserve">3. By way of derogation from paragraph 1, for coating activities covered by item 8 of the table in Part 2 of Annex VII which cannot be carried out under contained conditions, the competent authority may allow the emissions of the installation not to comply with the requirements set out in that paragraph if the operator demonstrates to the competent authority that such compliance is not technically and economically feasible and that the best available techniques are being used.</w:t>
      </w:r>
    </w:p>
    <w:p>
      <w:pPr>
        <w:pStyle w:val="0"/>
        <w:spacing w:before="200" w:line-rule="auto"/>
        <w:ind w:firstLine="540"/>
        <w:jc w:val="both"/>
      </w:pPr>
      <w:r>
        <w:rPr>
          <w:sz w:val="20"/>
        </w:rPr>
        <w:t xml:space="preserve">4. Member States shall report to the Commission on the derogations referred to in paragraphs 2 and 3 of this Article in accordance with Article 72 (2).</w:t>
      </w:r>
    </w:p>
    <w:p>
      <w:pPr>
        <w:pStyle w:val="0"/>
        <w:spacing w:before="200" w:line-rule="auto"/>
        <w:ind w:firstLine="540"/>
        <w:jc w:val="both"/>
      </w:pPr>
      <w:r>
        <w:rPr>
          <w:sz w:val="20"/>
        </w:rPr>
        <w:t xml:space="preserve">5. The emissions of either volatile organic compounds which are assigned or need to carry the hazard statements H340, H350, H350i, H360D or H360F or halogenated volatile organic compounds which are assigned or need to carry the hazard statements H341 or H351, shall be controlled under contained conditions as far as technically and economically feasible to safeguard public health and the environment and shall not exceed the relevant emission limit values set out in Part 4 of Annex VII.</w:t>
      </w:r>
    </w:p>
    <w:p>
      <w:pPr>
        <w:pStyle w:val="0"/>
        <w:spacing w:before="200" w:line-rule="auto"/>
        <w:ind w:firstLine="540"/>
        <w:jc w:val="both"/>
      </w:pPr>
      <w:r>
        <w:rPr>
          <w:sz w:val="20"/>
        </w:rPr>
        <w:t xml:space="preserve">6. Installations where two or more activities are carried out, each of which exceeds the thresholds in Part 2 of Annex VII shall:</w:t>
      </w:r>
    </w:p>
    <w:p>
      <w:pPr>
        <w:pStyle w:val="0"/>
        <w:spacing w:before="200" w:line-rule="auto"/>
        <w:ind w:firstLine="540"/>
        <w:jc w:val="both"/>
      </w:pPr>
      <w:r>
        <w:rPr>
          <w:sz w:val="20"/>
        </w:rPr>
        <w:t xml:space="preserve">(a) as regards the substances specified in paragraph 5, meet the requirements of that paragraph for each activity individually;</w:t>
      </w:r>
    </w:p>
    <w:p>
      <w:pPr>
        <w:pStyle w:val="0"/>
        <w:spacing w:before="200" w:line-rule="auto"/>
        <w:ind w:firstLine="540"/>
        <w:jc w:val="both"/>
      </w:pPr>
      <w:r>
        <w:rPr>
          <w:sz w:val="20"/>
        </w:rPr>
        <w:t xml:space="preserve">(b) as regards all other substances, either:</w:t>
      </w:r>
    </w:p>
    <w:p>
      <w:pPr>
        <w:pStyle w:val="0"/>
        <w:spacing w:before="200" w:line-rule="auto"/>
        <w:ind w:firstLine="540"/>
        <w:jc w:val="both"/>
      </w:pPr>
      <w:r>
        <w:rPr>
          <w:sz w:val="20"/>
        </w:rPr>
        <w:t xml:space="preserve">(i) meet the requirements of paragraph 1 for each activity individually; or</w:t>
      </w:r>
    </w:p>
    <w:p>
      <w:pPr>
        <w:pStyle w:val="0"/>
        <w:spacing w:before="200" w:line-rule="auto"/>
        <w:ind w:firstLine="540"/>
        <w:jc w:val="both"/>
      </w:pPr>
      <w:r>
        <w:rPr>
          <w:sz w:val="20"/>
        </w:rPr>
        <w:t xml:space="preserve">(ii) have total emissions of volatile organic compounds not exceeding those which would have resulted had point (i) been applied.</w:t>
      </w:r>
    </w:p>
    <w:p>
      <w:pPr>
        <w:pStyle w:val="0"/>
        <w:spacing w:before="200" w:line-rule="auto"/>
        <w:ind w:firstLine="540"/>
        <w:jc w:val="both"/>
      </w:pPr>
      <w:r>
        <w:rPr>
          <w:sz w:val="20"/>
        </w:rPr>
        <w:t xml:space="preserve">7. All appropriate precautions shall be taken to minimise emissions of volatile organic compounds during start-up and shutdown operations.</w:t>
      </w:r>
    </w:p>
    <w:p>
      <w:pPr>
        <w:pStyle w:val="0"/>
        <w:jc w:val="center"/>
      </w:pPr>
      <w:r>
        <w:rPr>
          <w:sz w:val="20"/>
        </w:rPr>
      </w:r>
    </w:p>
    <w:p>
      <w:pPr>
        <w:pStyle w:val="0"/>
        <w:outlineLvl w:val="2"/>
        <w:jc w:val="center"/>
      </w:pPr>
      <w:r>
        <w:rPr>
          <w:sz w:val="20"/>
        </w:rPr>
        <w:t xml:space="preserve">Article 60</w:t>
      </w:r>
    </w:p>
    <w:p>
      <w:pPr>
        <w:pStyle w:val="0"/>
        <w:jc w:val="center"/>
      </w:pPr>
      <w:r>
        <w:rPr>
          <w:sz w:val="20"/>
        </w:rPr>
      </w:r>
    </w:p>
    <w:p>
      <w:pPr>
        <w:pStyle w:val="0"/>
        <w:jc w:val="center"/>
      </w:pPr>
      <w:r>
        <w:rPr>
          <w:sz w:val="20"/>
        </w:rPr>
        <w:t xml:space="preserve">Monitoring of emissions</w:t>
      </w:r>
    </w:p>
    <w:p>
      <w:pPr>
        <w:pStyle w:val="0"/>
        <w:ind w:firstLine="540"/>
        <w:jc w:val="both"/>
      </w:pPr>
      <w:r>
        <w:rPr>
          <w:sz w:val="20"/>
        </w:rPr>
      </w:r>
    </w:p>
    <w:p>
      <w:pPr>
        <w:pStyle w:val="0"/>
        <w:ind w:firstLine="540"/>
        <w:jc w:val="both"/>
      </w:pPr>
      <w:r>
        <w:rPr>
          <w:sz w:val="20"/>
        </w:rPr>
        <w:t xml:space="preserve">Member States shall, either by specification in the permit conditions or by general binding rules, ensure that measurements of emissions are carried out in accordance with Part 6 of Annex VII.</w:t>
      </w:r>
    </w:p>
    <w:p>
      <w:pPr>
        <w:pStyle w:val="0"/>
        <w:jc w:val="center"/>
      </w:pPr>
      <w:r>
        <w:rPr>
          <w:sz w:val="20"/>
        </w:rPr>
      </w:r>
    </w:p>
    <w:p>
      <w:pPr>
        <w:pStyle w:val="0"/>
        <w:outlineLvl w:val="2"/>
        <w:jc w:val="center"/>
      </w:pPr>
      <w:r>
        <w:rPr>
          <w:sz w:val="20"/>
        </w:rPr>
        <w:t xml:space="preserve">Article 61</w:t>
      </w:r>
    </w:p>
    <w:p>
      <w:pPr>
        <w:pStyle w:val="0"/>
        <w:jc w:val="center"/>
      </w:pPr>
      <w:r>
        <w:rPr>
          <w:sz w:val="20"/>
        </w:rPr>
      </w:r>
    </w:p>
    <w:p>
      <w:pPr>
        <w:pStyle w:val="0"/>
        <w:jc w:val="center"/>
      </w:pPr>
      <w:r>
        <w:rPr>
          <w:sz w:val="20"/>
        </w:rPr>
        <w:t xml:space="preserve">Compliance with emission limit values</w:t>
      </w:r>
    </w:p>
    <w:p>
      <w:pPr>
        <w:pStyle w:val="0"/>
        <w:ind w:firstLine="540"/>
        <w:jc w:val="both"/>
      </w:pPr>
      <w:r>
        <w:rPr>
          <w:sz w:val="20"/>
        </w:rPr>
      </w:r>
    </w:p>
    <w:p>
      <w:pPr>
        <w:pStyle w:val="0"/>
        <w:ind w:firstLine="540"/>
        <w:jc w:val="both"/>
      </w:pPr>
      <w:r>
        <w:rPr>
          <w:sz w:val="20"/>
        </w:rPr>
        <w:t xml:space="preserve">The emission limit values in waste gases shall be regarded as being complied with if the conditions set out in Part 8 of Annex VII are fulfilled.</w:t>
      </w:r>
    </w:p>
    <w:p>
      <w:pPr>
        <w:pStyle w:val="0"/>
        <w:jc w:val="center"/>
      </w:pPr>
      <w:r>
        <w:rPr>
          <w:sz w:val="20"/>
        </w:rPr>
      </w:r>
    </w:p>
    <w:p>
      <w:pPr>
        <w:pStyle w:val="0"/>
        <w:outlineLvl w:val="2"/>
        <w:jc w:val="center"/>
      </w:pPr>
      <w:r>
        <w:rPr>
          <w:sz w:val="20"/>
        </w:rPr>
        <w:t xml:space="preserve">Article 62</w:t>
      </w:r>
    </w:p>
    <w:p>
      <w:pPr>
        <w:pStyle w:val="0"/>
        <w:jc w:val="center"/>
      </w:pPr>
      <w:r>
        <w:rPr>
          <w:sz w:val="20"/>
        </w:rPr>
      </w:r>
    </w:p>
    <w:p>
      <w:pPr>
        <w:pStyle w:val="0"/>
        <w:jc w:val="center"/>
      </w:pPr>
      <w:r>
        <w:rPr>
          <w:sz w:val="20"/>
        </w:rPr>
        <w:t xml:space="preserve">Reporting on compliance</w:t>
      </w:r>
    </w:p>
    <w:p>
      <w:pPr>
        <w:pStyle w:val="0"/>
        <w:ind w:firstLine="540"/>
        <w:jc w:val="both"/>
      </w:pPr>
      <w:r>
        <w:rPr>
          <w:sz w:val="20"/>
        </w:rPr>
      </w:r>
    </w:p>
    <w:p>
      <w:pPr>
        <w:pStyle w:val="0"/>
        <w:ind w:firstLine="540"/>
        <w:jc w:val="both"/>
      </w:pPr>
      <w:r>
        <w:rPr>
          <w:sz w:val="20"/>
        </w:rPr>
        <w:t xml:space="preserve">The operator shall supply the competent authority, on request, with data enabling the competent authority to verify compliance with either of the following:</w:t>
      </w:r>
    </w:p>
    <w:p>
      <w:pPr>
        <w:pStyle w:val="0"/>
        <w:spacing w:before="200" w:line-rule="auto"/>
        <w:ind w:firstLine="540"/>
        <w:jc w:val="both"/>
      </w:pPr>
      <w:r>
        <w:rPr>
          <w:sz w:val="20"/>
        </w:rPr>
        <w:t xml:space="preserve">(a) emission limit values in waste gases, fugitive emission limit values and total emission limit values;</w:t>
      </w:r>
    </w:p>
    <w:p>
      <w:pPr>
        <w:pStyle w:val="0"/>
        <w:spacing w:before="200" w:line-rule="auto"/>
        <w:ind w:firstLine="540"/>
        <w:jc w:val="both"/>
      </w:pPr>
      <w:r>
        <w:rPr>
          <w:sz w:val="20"/>
        </w:rPr>
        <w:t xml:space="preserve">(b) the requirements of the reduction scheme under Part 5 of Annex VII;</w:t>
      </w:r>
    </w:p>
    <w:p>
      <w:pPr>
        <w:pStyle w:val="0"/>
        <w:spacing w:before="200" w:line-rule="auto"/>
        <w:ind w:firstLine="540"/>
        <w:jc w:val="both"/>
      </w:pPr>
      <w:r>
        <w:rPr>
          <w:sz w:val="20"/>
        </w:rPr>
        <w:t xml:space="preserve">(c) the derogations granted in accordance with Article 59 (2) and (3).</w:t>
      </w:r>
    </w:p>
    <w:p>
      <w:pPr>
        <w:pStyle w:val="0"/>
        <w:spacing w:before="200" w:line-rule="auto"/>
        <w:ind w:firstLine="540"/>
        <w:jc w:val="both"/>
      </w:pPr>
      <w:r>
        <w:rPr>
          <w:sz w:val="20"/>
        </w:rPr>
        <w:t xml:space="preserve">This may include a solvent management plan prepared in accordance with Part 7 of Annex VII.</w:t>
      </w:r>
    </w:p>
    <w:p>
      <w:pPr>
        <w:pStyle w:val="0"/>
        <w:jc w:val="center"/>
      </w:pPr>
      <w:r>
        <w:rPr>
          <w:sz w:val="20"/>
        </w:rPr>
      </w:r>
    </w:p>
    <w:p>
      <w:pPr>
        <w:pStyle w:val="0"/>
        <w:outlineLvl w:val="2"/>
        <w:jc w:val="center"/>
      </w:pPr>
      <w:r>
        <w:rPr>
          <w:sz w:val="20"/>
        </w:rPr>
        <w:t xml:space="preserve">Article 63</w:t>
      </w:r>
    </w:p>
    <w:p>
      <w:pPr>
        <w:pStyle w:val="0"/>
        <w:jc w:val="center"/>
      </w:pPr>
      <w:r>
        <w:rPr>
          <w:sz w:val="20"/>
        </w:rPr>
      </w:r>
    </w:p>
    <w:p>
      <w:pPr>
        <w:pStyle w:val="0"/>
        <w:jc w:val="center"/>
      </w:pPr>
      <w:r>
        <w:rPr>
          <w:sz w:val="20"/>
        </w:rPr>
        <w:t xml:space="preserve">Substantial change to existing installations</w:t>
      </w:r>
    </w:p>
    <w:p>
      <w:pPr>
        <w:pStyle w:val="0"/>
        <w:ind w:firstLine="540"/>
        <w:jc w:val="both"/>
      </w:pPr>
      <w:r>
        <w:rPr>
          <w:sz w:val="20"/>
        </w:rPr>
      </w:r>
    </w:p>
    <w:p>
      <w:pPr>
        <w:pStyle w:val="0"/>
        <w:ind w:firstLine="540"/>
        <w:jc w:val="both"/>
      </w:pPr>
      <w:r>
        <w:rPr>
          <w:sz w:val="20"/>
        </w:rPr>
        <w:t xml:space="preserve">1. A change of the maximum mass input of organic solvents by an existing installation averaged over 1 day, where the installation is operated at its design output under conditions other than start-up and shut-down operations and maintenance of equipment, shall be considered as substantial if it leads to an increase of emissions of volatile organic compounds of more than:</w:t>
      </w:r>
    </w:p>
    <w:p>
      <w:pPr>
        <w:pStyle w:val="0"/>
        <w:spacing w:before="200" w:line-rule="auto"/>
        <w:ind w:firstLine="540"/>
        <w:jc w:val="both"/>
      </w:pPr>
      <w:r>
        <w:rPr>
          <w:sz w:val="20"/>
        </w:rPr>
        <w:t xml:space="preserve">(a) 25% for an installation carrying out either activities which fall within the lower threshold band of items 1, 3, 4, 5, 8, 10, 13, 16 or 17 of the table in Part 2 of Annex VII or, activities which fall under one of the other items of Part 2 of Annex VII, and with a solvent consumption of less than 10 tonnes per year;</w:t>
      </w:r>
    </w:p>
    <w:p>
      <w:pPr>
        <w:pStyle w:val="0"/>
        <w:spacing w:before="200" w:line-rule="auto"/>
        <w:ind w:firstLine="540"/>
        <w:jc w:val="both"/>
      </w:pPr>
      <w:r>
        <w:rPr>
          <w:sz w:val="20"/>
        </w:rPr>
        <w:t xml:space="preserve">(b) 10% for all other installations.</w:t>
      </w:r>
    </w:p>
    <w:p>
      <w:pPr>
        <w:pStyle w:val="0"/>
        <w:spacing w:before="200" w:line-rule="auto"/>
        <w:ind w:firstLine="540"/>
        <w:jc w:val="both"/>
      </w:pPr>
      <w:r>
        <w:rPr>
          <w:sz w:val="20"/>
        </w:rPr>
        <w:t xml:space="preserve">2. Where an existing installation undergoes a substantial change, or falls within the scope of this Directive for the first time following a substantial change, that part of the installation which undergoes the substantial change shall be treated either as a new installation or as an existing installation, provided that the total emissions of the whole installation do not exceed those that would have resulted had the substantially changed part been treated as a new installation.</w:t>
      </w:r>
    </w:p>
    <w:p>
      <w:pPr>
        <w:pStyle w:val="0"/>
        <w:spacing w:before="200" w:line-rule="auto"/>
        <w:ind w:firstLine="540"/>
        <w:jc w:val="both"/>
      </w:pPr>
      <w:r>
        <w:rPr>
          <w:sz w:val="20"/>
        </w:rPr>
        <w:t xml:space="preserve">3. In case of a substantial change, the competent authority shall check compliance of the installation with the requirements of this Directive.</w:t>
      </w:r>
    </w:p>
    <w:p>
      <w:pPr>
        <w:pStyle w:val="0"/>
        <w:jc w:val="center"/>
      </w:pPr>
      <w:r>
        <w:rPr>
          <w:sz w:val="20"/>
        </w:rPr>
      </w:r>
    </w:p>
    <w:p>
      <w:pPr>
        <w:pStyle w:val="0"/>
        <w:outlineLvl w:val="2"/>
        <w:jc w:val="center"/>
      </w:pPr>
      <w:r>
        <w:rPr>
          <w:sz w:val="20"/>
        </w:rPr>
        <w:t xml:space="preserve">Article 64</w:t>
      </w:r>
    </w:p>
    <w:p>
      <w:pPr>
        <w:pStyle w:val="0"/>
        <w:jc w:val="center"/>
      </w:pPr>
      <w:r>
        <w:rPr>
          <w:sz w:val="20"/>
        </w:rPr>
      </w:r>
    </w:p>
    <w:p>
      <w:pPr>
        <w:pStyle w:val="0"/>
        <w:jc w:val="center"/>
      </w:pPr>
      <w:r>
        <w:rPr>
          <w:sz w:val="20"/>
        </w:rPr>
        <w:t xml:space="preserve">Exchange of information on substitution</w:t>
      </w:r>
    </w:p>
    <w:p>
      <w:pPr>
        <w:pStyle w:val="0"/>
        <w:jc w:val="center"/>
      </w:pPr>
      <w:r>
        <w:rPr>
          <w:sz w:val="20"/>
        </w:rPr>
        <w:t xml:space="preserve">of organic solvents</w:t>
      </w:r>
    </w:p>
    <w:p>
      <w:pPr>
        <w:pStyle w:val="0"/>
        <w:ind w:firstLine="540"/>
        <w:jc w:val="both"/>
      </w:pPr>
      <w:r>
        <w:rPr>
          <w:sz w:val="20"/>
        </w:rPr>
      </w:r>
    </w:p>
    <w:p>
      <w:pPr>
        <w:pStyle w:val="0"/>
        <w:ind w:firstLine="540"/>
        <w:jc w:val="both"/>
      </w:pPr>
      <w:r>
        <w:rPr>
          <w:sz w:val="20"/>
        </w:rPr>
        <w:t xml:space="preserve">The Commission shall organise an exchange of information with the Member States, the industry concerned and non-governmental organisations promoting environmental protection on the use of organic solvents and their potential substitutes and techniques which have the least potential effects on air, water, soil, ecosystems and human health.</w:t>
      </w:r>
    </w:p>
    <w:p>
      <w:pPr>
        <w:pStyle w:val="0"/>
        <w:spacing w:before="200" w:line-rule="auto"/>
        <w:ind w:firstLine="540"/>
        <w:jc w:val="both"/>
      </w:pPr>
      <w:r>
        <w:rPr>
          <w:sz w:val="20"/>
        </w:rPr>
        <w:t xml:space="preserve">The exchange of information shall be organised on all of the following:</w:t>
      </w:r>
    </w:p>
    <w:p>
      <w:pPr>
        <w:pStyle w:val="0"/>
        <w:spacing w:before="200" w:line-rule="auto"/>
        <w:ind w:firstLine="540"/>
        <w:jc w:val="both"/>
      </w:pPr>
      <w:r>
        <w:rPr>
          <w:sz w:val="20"/>
        </w:rPr>
        <w:t xml:space="preserve">(a) fitness for use;</w:t>
      </w:r>
    </w:p>
    <w:p>
      <w:pPr>
        <w:pStyle w:val="0"/>
        <w:spacing w:before="200" w:line-rule="auto"/>
        <w:ind w:firstLine="540"/>
        <w:jc w:val="both"/>
      </w:pPr>
      <w:r>
        <w:rPr>
          <w:sz w:val="20"/>
        </w:rPr>
        <w:t xml:space="preserve">(b) potential effects on human health and occupational exposure in particular;</w:t>
      </w:r>
    </w:p>
    <w:p>
      <w:pPr>
        <w:pStyle w:val="0"/>
        <w:spacing w:before="200" w:line-rule="auto"/>
        <w:ind w:firstLine="540"/>
        <w:jc w:val="both"/>
      </w:pPr>
      <w:r>
        <w:rPr>
          <w:sz w:val="20"/>
        </w:rPr>
        <w:t xml:space="preserve">(c) potential effects on the environment;</w:t>
      </w:r>
    </w:p>
    <w:p>
      <w:pPr>
        <w:pStyle w:val="0"/>
        <w:spacing w:before="200" w:line-rule="auto"/>
        <w:ind w:firstLine="540"/>
        <w:jc w:val="both"/>
      </w:pPr>
      <w:r>
        <w:rPr>
          <w:sz w:val="20"/>
        </w:rPr>
        <w:t xml:space="preserve">(d) the economic consequences, in particular the costs and benefits of the options available.</w:t>
      </w:r>
    </w:p>
    <w:p>
      <w:pPr>
        <w:pStyle w:val="0"/>
        <w:jc w:val="center"/>
      </w:pPr>
      <w:r>
        <w:rPr>
          <w:sz w:val="20"/>
        </w:rPr>
      </w:r>
    </w:p>
    <w:p>
      <w:pPr>
        <w:pStyle w:val="0"/>
        <w:outlineLvl w:val="2"/>
        <w:jc w:val="center"/>
      </w:pPr>
      <w:r>
        <w:rPr>
          <w:sz w:val="20"/>
        </w:rPr>
        <w:t xml:space="preserve">Article 65</w:t>
      </w:r>
    </w:p>
    <w:p>
      <w:pPr>
        <w:pStyle w:val="0"/>
        <w:jc w:val="center"/>
      </w:pPr>
      <w:r>
        <w:rPr>
          <w:sz w:val="20"/>
        </w:rPr>
      </w:r>
    </w:p>
    <w:p>
      <w:pPr>
        <w:pStyle w:val="0"/>
        <w:jc w:val="center"/>
      </w:pPr>
      <w:r>
        <w:rPr>
          <w:sz w:val="20"/>
        </w:rPr>
        <w:t xml:space="preserve">Access to information</w:t>
      </w:r>
    </w:p>
    <w:p>
      <w:pPr>
        <w:pStyle w:val="0"/>
        <w:jc w:val="center"/>
      </w:pPr>
      <w:r>
        <w:rPr>
          <w:sz w:val="20"/>
        </w:rPr>
      </w:r>
    </w:p>
    <w:p>
      <w:pPr>
        <w:pStyle w:val="0"/>
        <w:ind w:firstLine="540"/>
        <w:jc w:val="both"/>
      </w:pPr>
      <w:r>
        <w:rPr>
          <w:sz w:val="20"/>
        </w:rPr>
        <w:t xml:space="preserve">1. The decision of the competent authority, including at least a copy of the permit, and any subsequent updates, shall be made available to the public.</w:t>
      </w:r>
    </w:p>
    <w:p>
      <w:pPr>
        <w:pStyle w:val="0"/>
        <w:spacing w:before="200" w:line-rule="auto"/>
        <w:ind w:firstLine="540"/>
        <w:jc w:val="both"/>
      </w:pPr>
      <w:r>
        <w:rPr>
          <w:sz w:val="20"/>
        </w:rPr>
        <w:t xml:space="preserve">The general binding rules applicable for installations and the list of installations subject to permitting and registration shall be made available to the public.</w:t>
      </w:r>
    </w:p>
    <w:p>
      <w:pPr>
        <w:pStyle w:val="0"/>
        <w:spacing w:before="200" w:line-rule="auto"/>
        <w:ind w:firstLine="540"/>
        <w:jc w:val="both"/>
      </w:pPr>
      <w:r>
        <w:rPr>
          <w:sz w:val="20"/>
        </w:rPr>
        <w:t xml:space="preserve">2. The results of the monitoring of emissions as required under Article 60 and held by the competent authority shall be made available to the public.</w:t>
      </w:r>
    </w:p>
    <w:p>
      <w:pPr>
        <w:pStyle w:val="0"/>
        <w:spacing w:before="200" w:line-rule="auto"/>
        <w:ind w:firstLine="540"/>
        <w:jc w:val="both"/>
      </w:pPr>
      <w:r>
        <w:rPr>
          <w:sz w:val="20"/>
        </w:rPr>
        <w:t xml:space="preserve">3. Paragraphs 1 and 2 of this Article shall apply, subject to the restrictions laid down in Article 4 (1) and (2) of Directive 2003/4/EC.</w:t>
      </w:r>
    </w:p>
    <w:p>
      <w:pPr>
        <w:pStyle w:val="0"/>
        <w:jc w:val="center"/>
      </w:pPr>
      <w:r>
        <w:rPr>
          <w:sz w:val="20"/>
        </w:rPr>
      </w:r>
    </w:p>
    <w:p>
      <w:pPr>
        <w:pStyle w:val="0"/>
        <w:outlineLvl w:val="1"/>
        <w:jc w:val="center"/>
      </w:pPr>
      <w:r>
        <w:rPr>
          <w:sz w:val="20"/>
        </w:rPr>
        <w:t xml:space="preserve">Chapter VI. SPECIAL PROVISIONS FOR INSTALLATIONS</w:t>
      </w:r>
    </w:p>
    <w:p>
      <w:pPr>
        <w:pStyle w:val="0"/>
        <w:jc w:val="center"/>
      </w:pPr>
      <w:r>
        <w:rPr>
          <w:sz w:val="20"/>
        </w:rPr>
        <w:t xml:space="preserve">PRODUCING TITANIUM DIOXIDE</w:t>
      </w:r>
    </w:p>
    <w:p>
      <w:pPr>
        <w:pStyle w:val="0"/>
        <w:jc w:val="center"/>
      </w:pPr>
      <w:r>
        <w:rPr>
          <w:sz w:val="20"/>
        </w:rPr>
      </w:r>
    </w:p>
    <w:p>
      <w:pPr>
        <w:pStyle w:val="0"/>
        <w:outlineLvl w:val="2"/>
        <w:jc w:val="center"/>
      </w:pPr>
      <w:r>
        <w:rPr>
          <w:sz w:val="20"/>
        </w:rPr>
        <w:t xml:space="preserve">Article 66</w:t>
      </w:r>
    </w:p>
    <w:p>
      <w:pPr>
        <w:pStyle w:val="0"/>
        <w:jc w:val="center"/>
      </w:pPr>
      <w:r>
        <w:rPr>
          <w:sz w:val="20"/>
        </w:rPr>
      </w:r>
    </w:p>
    <w:p>
      <w:pPr>
        <w:pStyle w:val="0"/>
        <w:jc w:val="center"/>
      </w:pPr>
      <w:r>
        <w:rPr>
          <w:sz w:val="20"/>
        </w:rPr>
        <w:t xml:space="preserve">Scope</w:t>
      </w:r>
    </w:p>
    <w:p>
      <w:pPr>
        <w:pStyle w:val="0"/>
        <w:jc w:val="center"/>
      </w:pPr>
      <w:r>
        <w:rPr>
          <w:sz w:val="20"/>
        </w:rPr>
      </w:r>
    </w:p>
    <w:p>
      <w:pPr>
        <w:pStyle w:val="0"/>
        <w:ind w:firstLine="540"/>
        <w:jc w:val="both"/>
      </w:pPr>
      <w:r>
        <w:rPr>
          <w:sz w:val="20"/>
        </w:rPr>
        <w:t xml:space="preserve">This Chapter shall apply to installations producing titanium dioxide.</w:t>
      </w:r>
    </w:p>
    <w:p>
      <w:pPr>
        <w:pStyle w:val="0"/>
        <w:jc w:val="center"/>
      </w:pPr>
      <w:r>
        <w:rPr>
          <w:sz w:val="20"/>
        </w:rPr>
      </w:r>
    </w:p>
    <w:p>
      <w:pPr>
        <w:pStyle w:val="0"/>
        <w:outlineLvl w:val="2"/>
        <w:jc w:val="center"/>
      </w:pPr>
      <w:r>
        <w:rPr>
          <w:sz w:val="20"/>
        </w:rPr>
        <w:t xml:space="preserve">Article 67</w:t>
      </w:r>
    </w:p>
    <w:p>
      <w:pPr>
        <w:pStyle w:val="0"/>
        <w:jc w:val="center"/>
      </w:pPr>
      <w:r>
        <w:rPr>
          <w:sz w:val="20"/>
        </w:rPr>
      </w:r>
    </w:p>
    <w:p>
      <w:pPr>
        <w:pStyle w:val="0"/>
        <w:jc w:val="center"/>
      </w:pPr>
      <w:r>
        <w:rPr>
          <w:sz w:val="20"/>
        </w:rPr>
        <w:t xml:space="preserve">Prohibition of the disposal of waste</w:t>
      </w:r>
    </w:p>
    <w:p>
      <w:pPr>
        <w:pStyle w:val="0"/>
        <w:ind w:firstLine="540"/>
        <w:jc w:val="both"/>
      </w:pPr>
      <w:r>
        <w:rPr>
          <w:sz w:val="20"/>
        </w:rPr>
      </w:r>
    </w:p>
    <w:p>
      <w:pPr>
        <w:pStyle w:val="0"/>
        <w:ind w:firstLine="540"/>
        <w:jc w:val="both"/>
      </w:pPr>
      <w:r>
        <w:rPr>
          <w:sz w:val="20"/>
        </w:rPr>
        <w:t xml:space="preserve">Member States shall prohibit the disposal of the following waste into any water body, sea or ocean:</w:t>
      </w:r>
    </w:p>
    <w:p>
      <w:pPr>
        <w:pStyle w:val="0"/>
        <w:spacing w:before="200" w:line-rule="auto"/>
        <w:ind w:firstLine="540"/>
        <w:jc w:val="both"/>
      </w:pPr>
      <w:r>
        <w:rPr>
          <w:sz w:val="20"/>
        </w:rPr>
        <w:t xml:space="preserve">(a) solid waste;</w:t>
      </w:r>
    </w:p>
    <w:p>
      <w:pPr>
        <w:pStyle w:val="0"/>
        <w:spacing w:before="200" w:line-rule="auto"/>
        <w:ind w:firstLine="540"/>
        <w:jc w:val="both"/>
      </w:pPr>
      <w:r>
        <w:rPr>
          <w:sz w:val="20"/>
        </w:rPr>
        <w:t xml:space="preserve">(b) the mother liquors arising from the filtration phase following hydrolysis of the titanyl sulphate solution from installations applying the sulphate process; including the acid waste associated with such liquors, containing overall more than 0,5% free sulphuric acid and various heavy metals and including such mother liquors which have been diluted until they contain 0,5% or less free sulphuric acid;</w:t>
      </w:r>
    </w:p>
    <w:p>
      <w:pPr>
        <w:pStyle w:val="0"/>
        <w:spacing w:before="200" w:line-rule="auto"/>
        <w:ind w:firstLine="540"/>
        <w:jc w:val="both"/>
      </w:pPr>
      <w:r>
        <w:rPr>
          <w:sz w:val="20"/>
        </w:rPr>
        <w:t xml:space="preserve">(c) waste from installations applying the chloride process containing more than 0,5% free hydrochloric acid and various heavy metals, including such waste which has been diluted until it contains 0,5% or less free hydrochloric acid;</w:t>
      </w:r>
    </w:p>
    <w:p>
      <w:pPr>
        <w:pStyle w:val="0"/>
        <w:spacing w:before="200" w:line-rule="auto"/>
        <w:ind w:firstLine="540"/>
        <w:jc w:val="both"/>
      </w:pPr>
      <w:r>
        <w:rPr>
          <w:sz w:val="20"/>
        </w:rPr>
        <w:t xml:space="preserve">(d) filtration salts, sludges and liquid waste arising from the treatment (concentration or neutralisation) of the waste mentioned under points (b) and (c) and containing various heavy metals, but not including neutralised and filtered or decanted waste containing only traces of heavy metals and which, before any dilution, has a pH value above 5,5.</w:t>
      </w:r>
    </w:p>
    <w:p>
      <w:pPr>
        <w:pStyle w:val="0"/>
        <w:jc w:val="center"/>
      </w:pPr>
      <w:r>
        <w:rPr>
          <w:sz w:val="20"/>
        </w:rPr>
      </w:r>
    </w:p>
    <w:p>
      <w:pPr>
        <w:pStyle w:val="0"/>
        <w:outlineLvl w:val="2"/>
        <w:jc w:val="center"/>
      </w:pPr>
      <w:r>
        <w:rPr>
          <w:sz w:val="20"/>
        </w:rPr>
        <w:t xml:space="preserve">Article 68</w:t>
      </w:r>
    </w:p>
    <w:p>
      <w:pPr>
        <w:pStyle w:val="0"/>
        <w:jc w:val="center"/>
      </w:pPr>
      <w:r>
        <w:rPr>
          <w:sz w:val="20"/>
        </w:rPr>
      </w:r>
    </w:p>
    <w:p>
      <w:pPr>
        <w:pStyle w:val="0"/>
        <w:jc w:val="center"/>
      </w:pPr>
      <w:r>
        <w:rPr>
          <w:sz w:val="20"/>
        </w:rPr>
        <w:t xml:space="preserve">Control of emissions into water</w:t>
      </w:r>
    </w:p>
    <w:p>
      <w:pPr>
        <w:pStyle w:val="0"/>
        <w:ind w:firstLine="540"/>
        <w:jc w:val="both"/>
      </w:pPr>
      <w:r>
        <w:rPr>
          <w:sz w:val="20"/>
        </w:rPr>
      </w:r>
    </w:p>
    <w:p>
      <w:pPr>
        <w:pStyle w:val="0"/>
        <w:ind w:firstLine="540"/>
        <w:jc w:val="both"/>
      </w:pPr>
      <w:r>
        <w:rPr>
          <w:sz w:val="20"/>
        </w:rPr>
        <w:t xml:space="preserve">Emissions from installations into water shall not exceed the emission limit values set out in Part 1 of Annex VIII.</w:t>
      </w:r>
    </w:p>
    <w:p>
      <w:pPr>
        <w:pStyle w:val="0"/>
        <w:jc w:val="center"/>
      </w:pPr>
      <w:r>
        <w:rPr>
          <w:sz w:val="20"/>
        </w:rPr>
      </w:r>
    </w:p>
    <w:p>
      <w:pPr>
        <w:pStyle w:val="0"/>
        <w:outlineLvl w:val="2"/>
        <w:jc w:val="center"/>
      </w:pPr>
      <w:r>
        <w:rPr>
          <w:sz w:val="20"/>
        </w:rPr>
        <w:t xml:space="preserve">Article 69</w:t>
      </w:r>
    </w:p>
    <w:p>
      <w:pPr>
        <w:pStyle w:val="0"/>
        <w:jc w:val="center"/>
      </w:pPr>
      <w:r>
        <w:rPr>
          <w:sz w:val="20"/>
        </w:rPr>
      </w:r>
    </w:p>
    <w:p>
      <w:pPr>
        <w:pStyle w:val="0"/>
        <w:jc w:val="center"/>
      </w:pPr>
      <w:r>
        <w:rPr>
          <w:sz w:val="20"/>
        </w:rPr>
        <w:t xml:space="preserve">Prevention and control of emissions into air</w:t>
      </w:r>
    </w:p>
    <w:p>
      <w:pPr>
        <w:pStyle w:val="0"/>
        <w:ind w:firstLine="540"/>
        <w:jc w:val="both"/>
      </w:pPr>
      <w:r>
        <w:rPr>
          <w:sz w:val="20"/>
        </w:rPr>
      </w:r>
    </w:p>
    <w:p>
      <w:pPr>
        <w:pStyle w:val="0"/>
        <w:ind w:firstLine="540"/>
        <w:jc w:val="both"/>
      </w:pPr>
      <w:r>
        <w:rPr>
          <w:sz w:val="20"/>
        </w:rPr>
        <w:t xml:space="preserve">1. The emission of acid droplets from installations shall be prevented.</w:t>
      </w:r>
    </w:p>
    <w:p>
      <w:pPr>
        <w:pStyle w:val="0"/>
        <w:spacing w:before="200" w:line-rule="auto"/>
        <w:ind w:firstLine="540"/>
        <w:jc w:val="both"/>
      </w:pPr>
      <w:r>
        <w:rPr>
          <w:sz w:val="20"/>
        </w:rPr>
        <w:t xml:space="preserve">2. Emissions into air from installations shall not exceed the emission limit values set out in Part 2 of Annex VIII.</w:t>
      </w:r>
    </w:p>
    <w:p>
      <w:pPr>
        <w:pStyle w:val="0"/>
        <w:jc w:val="center"/>
      </w:pPr>
      <w:r>
        <w:rPr>
          <w:sz w:val="20"/>
        </w:rPr>
      </w:r>
    </w:p>
    <w:p>
      <w:pPr>
        <w:pStyle w:val="0"/>
        <w:outlineLvl w:val="2"/>
        <w:jc w:val="center"/>
      </w:pPr>
      <w:r>
        <w:rPr>
          <w:sz w:val="20"/>
        </w:rPr>
        <w:t xml:space="preserve">Article 70</w:t>
      </w:r>
    </w:p>
    <w:p>
      <w:pPr>
        <w:pStyle w:val="0"/>
        <w:jc w:val="center"/>
      </w:pPr>
      <w:r>
        <w:rPr>
          <w:sz w:val="20"/>
        </w:rPr>
      </w:r>
    </w:p>
    <w:p>
      <w:pPr>
        <w:pStyle w:val="0"/>
        <w:jc w:val="center"/>
      </w:pPr>
      <w:r>
        <w:rPr>
          <w:sz w:val="20"/>
        </w:rPr>
        <w:t xml:space="preserve">Monitoring of emissions</w:t>
      </w:r>
    </w:p>
    <w:p>
      <w:pPr>
        <w:pStyle w:val="0"/>
        <w:ind w:firstLine="540"/>
        <w:jc w:val="both"/>
      </w:pPr>
      <w:r>
        <w:rPr>
          <w:sz w:val="20"/>
        </w:rPr>
      </w:r>
    </w:p>
    <w:p>
      <w:pPr>
        <w:pStyle w:val="0"/>
        <w:ind w:firstLine="540"/>
        <w:jc w:val="both"/>
      </w:pPr>
      <w:r>
        <w:rPr>
          <w:sz w:val="20"/>
        </w:rPr>
        <w:t xml:space="preserve">1. Member States shall ensure the monitoring of emissions into water in order to enable the competent authority to verify compliance with the permit conditions and Article 68.</w:t>
      </w:r>
    </w:p>
    <w:p>
      <w:pPr>
        <w:pStyle w:val="0"/>
        <w:spacing w:before="200" w:line-rule="auto"/>
        <w:ind w:firstLine="540"/>
        <w:jc w:val="both"/>
      </w:pPr>
      <w:r>
        <w:rPr>
          <w:sz w:val="20"/>
        </w:rPr>
        <w:t xml:space="preserve">2. Member States shall ensure the monitoring of emissions into air in order to enable the competent authority to verify compliance with the permit conditions and Article 69. Such monitoring shall include at least monitoring of emissions as set out in Part 3 of Annex VIII.</w:t>
      </w:r>
    </w:p>
    <w:p>
      <w:pPr>
        <w:pStyle w:val="0"/>
        <w:spacing w:before="200" w:line-rule="auto"/>
        <w:ind w:firstLine="540"/>
        <w:jc w:val="both"/>
      </w:pPr>
      <w:r>
        <w:rPr>
          <w:sz w:val="20"/>
        </w:rPr>
        <w:t xml:space="preserve">3. Monitoring shall be carried out in accordance with CEN standards or, if CEN standards are not available, ISO, national or other international standards which ensure the provision of data of an equivalent scientific quality.</w:t>
      </w:r>
    </w:p>
    <w:p>
      <w:pPr>
        <w:pStyle w:val="0"/>
        <w:jc w:val="center"/>
      </w:pPr>
      <w:r>
        <w:rPr>
          <w:sz w:val="20"/>
        </w:rPr>
      </w:r>
    </w:p>
    <w:p>
      <w:pPr>
        <w:pStyle w:val="0"/>
        <w:outlineLvl w:val="1"/>
        <w:jc w:val="center"/>
      </w:pPr>
      <w:r>
        <w:rPr>
          <w:sz w:val="20"/>
        </w:rPr>
        <w:t xml:space="preserve">Chapter VII. COMMITTEE, TRANSITIONAL</w:t>
      </w:r>
    </w:p>
    <w:p>
      <w:pPr>
        <w:pStyle w:val="0"/>
        <w:jc w:val="center"/>
      </w:pPr>
      <w:r>
        <w:rPr>
          <w:sz w:val="20"/>
        </w:rPr>
        <w:t xml:space="preserve">AND FINAL PROVISIONS</w:t>
      </w:r>
    </w:p>
    <w:p>
      <w:pPr>
        <w:pStyle w:val="0"/>
        <w:jc w:val="center"/>
      </w:pPr>
      <w:r>
        <w:rPr>
          <w:sz w:val="20"/>
        </w:rPr>
      </w:r>
    </w:p>
    <w:p>
      <w:pPr>
        <w:pStyle w:val="0"/>
        <w:outlineLvl w:val="2"/>
        <w:jc w:val="center"/>
      </w:pPr>
      <w:r>
        <w:rPr>
          <w:sz w:val="20"/>
        </w:rPr>
        <w:t xml:space="preserve">Article 71</w:t>
      </w:r>
    </w:p>
    <w:p>
      <w:pPr>
        <w:pStyle w:val="0"/>
        <w:jc w:val="center"/>
      </w:pPr>
      <w:r>
        <w:rPr>
          <w:sz w:val="20"/>
        </w:rPr>
      </w:r>
    </w:p>
    <w:p>
      <w:pPr>
        <w:pStyle w:val="0"/>
        <w:jc w:val="center"/>
      </w:pPr>
      <w:r>
        <w:rPr>
          <w:sz w:val="20"/>
        </w:rPr>
        <w:t xml:space="preserve">Competent authorities</w:t>
      </w:r>
    </w:p>
    <w:p>
      <w:pPr>
        <w:pStyle w:val="0"/>
        <w:jc w:val="center"/>
      </w:pPr>
      <w:r>
        <w:rPr>
          <w:sz w:val="20"/>
        </w:rPr>
      </w:r>
    </w:p>
    <w:p>
      <w:pPr>
        <w:pStyle w:val="0"/>
        <w:ind w:firstLine="540"/>
        <w:jc w:val="both"/>
      </w:pPr>
      <w:r>
        <w:rPr>
          <w:sz w:val="20"/>
        </w:rPr>
        <w:t xml:space="preserve">Member States shall designate the competent authorities responsible for carrying out the obligations arising from this Directive.</w:t>
      </w:r>
    </w:p>
    <w:p>
      <w:pPr>
        <w:pStyle w:val="0"/>
        <w:jc w:val="center"/>
      </w:pPr>
      <w:r>
        <w:rPr>
          <w:sz w:val="20"/>
        </w:rPr>
      </w:r>
    </w:p>
    <w:p>
      <w:pPr>
        <w:pStyle w:val="0"/>
        <w:outlineLvl w:val="2"/>
        <w:jc w:val="center"/>
      </w:pPr>
      <w:r>
        <w:rPr>
          <w:sz w:val="20"/>
        </w:rPr>
        <w:t xml:space="preserve">Article 72</w:t>
      </w:r>
    </w:p>
    <w:p>
      <w:pPr>
        <w:pStyle w:val="0"/>
        <w:jc w:val="center"/>
      </w:pPr>
      <w:r>
        <w:rPr>
          <w:sz w:val="20"/>
        </w:rPr>
      </w:r>
    </w:p>
    <w:p>
      <w:pPr>
        <w:pStyle w:val="0"/>
        <w:jc w:val="center"/>
      </w:pPr>
      <w:r>
        <w:rPr>
          <w:sz w:val="20"/>
        </w:rPr>
        <w:t xml:space="preserve">Reporting by Member States</w:t>
      </w:r>
    </w:p>
    <w:p>
      <w:pPr>
        <w:pStyle w:val="0"/>
        <w:ind w:firstLine="540"/>
        <w:jc w:val="both"/>
      </w:pPr>
      <w:r>
        <w:rPr>
          <w:sz w:val="20"/>
        </w:rPr>
      </w:r>
    </w:p>
    <w:p>
      <w:pPr>
        <w:pStyle w:val="0"/>
        <w:ind w:firstLine="540"/>
        <w:jc w:val="both"/>
      </w:pPr>
      <w:r>
        <w:rPr>
          <w:sz w:val="20"/>
        </w:rPr>
        <w:t xml:space="preserve">1. Member States shall ensure that information is made available to the Commission on the implementation of this Directive, on representative data on emissions and other forms of pollution, on emission limit values, on the application of best available techniques in accordance with Articles 14 and 15, in particular on the granting of exemptions in accordance with Article 15 (4), and on progress made concerning the development and application of emerging techniques in accordance with Article 27. Member States shall make the information available in an electronic format.</w:t>
      </w:r>
    </w:p>
    <w:p>
      <w:pPr>
        <w:pStyle w:val="0"/>
        <w:spacing w:before="200" w:line-rule="auto"/>
        <w:ind w:firstLine="540"/>
        <w:jc w:val="both"/>
      </w:pPr>
      <w:r>
        <w:rPr>
          <w:sz w:val="20"/>
        </w:rPr>
        <w:t xml:space="preserve">2. The type, format and frequency of information to be made available pursuant to paragraph 1 shall be established in accordance with the regulatory procedure referred to in Article 75 (2). This shall include the determination of the specific activities and pollutants for which data referred to in paragraph 1 shall be made available.</w:t>
      </w:r>
    </w:p>
    <w:p>
      <w:pPr>
        <w:pStyle w:val="0"/>
        <w:spacing w:before="200" w:line-rule="auto"/>
        <w:ind w:firstLine="540"/>
        <w:jc w:val="both"/>
      </w:pPr>
      <w:r>
        <w:rPr>
          <w:sz w:val="20"/>
        </w:rPr>
        <w:t xml:space="preserve">3. For all combustion plants covered by Chapter III of this Directive, Member States shall, from 1 January 2016, establish an annual inventory of the sulphur dioxide, nitrogen oxides and dust emissions and energy input.</w:t>
      </w:r>
    </w:p>
    <w:p>
      <w:pPr>
        <w:pStyle w:val="0"/>
        <w:spacing w:before="200" w:line-rule="auto"/>
        <w:ind w:firstLine="540"/>
        <w:jc w:val="both"/>
      </w:pPr>
      <w:r>
        <w:rPr>
          <w:sz w:val="20"/>
        </w:rPr>
        <w:t xml:space="preserve">Taking into account the aggregation rules set out in Article 29, the competent authority shall obtain the following data for each combustion plant:</w:t>
      </w:r>
    </w:p>
    <w:p>
      <w:pPr>
        <w:pStyle w:val="0"/>
        <w:spacing w:before="200" w:line-rule="auto"/>
        <w:ind w:firstLine="540"/>
        <w:jc w:val="both"/>
      </w:pPr>
      <w:r>
        <w:rPr>
          <w:sz w:val="20"/>
        </w:rPr>
        <w:t xml:space="preserve">(a) the total rated thermal input (MW) of the combustion plant;</w:t>
      </w:r>
    </w:p>
    <w:p>
      <w:pPr>
        <w:pStyle w:val="0"/>
        <w:spacing w:before="200" w:line-rule="auto"/>
        <w:ind w:firstLine="540"/>
        <w:jc w:val="both"/>
      </w:pPr>
      <w:r>
        <w:rPr>
          <w:sz w:val="20"/>
        </w:rPr>
        <w:t xml:space="preserve">(b) the type of combustion plant: boiler, gas turbine, gas engine, diesel engine, other (specifying the type);</w:t>
      </w:r>
    </w:p>
    <w:p>
      <w:pPr>
        <w:pStyle w:val="0"/>
        <w:spacing w:before="200" w:line-rule="auto"/>
        <w:ind w:firstLine="540"/>
        <w:jc w:val="both"/>
      </w:pPr>
      <w:r>
        <w:rPr>
          <w:sz w:val="20"/>
        </w:rPr>
        <w:t xml:space="preserve">(c) the date of the start of operation of the combustion plant;</w:t>
      </w:r>
    </w:p>
    <w:p>
      <w:pPr>
        <w:pStyle w:val="0"/>
        <w:spacing w:before="200" w:line-rule="auto"/>
        <w:ind w:firstLine="540"/>
        <w:jc w:val="both"/>
      </w:pPr>
      <w:r>
        <w:rPr>
          <w:sz w:val="20"/>
        </w:rPr>
        <w:t xml:space="preserve">(d) the total annual emissions (tonnes per year) of sulphur dioxide, nitrogen oxides and dust (as total suspended particles);</w:t>
      </w:r>
    </w:p>
    <w:p>
      <w:pPr>
        <w:pStyle w:val="0"/>
        <w:spacing w:before="200" w:line-rule="auto"/>
        <w:ind w:firstLine="540"/>
        <w:jc w:val="both"/>
      </w:pPr>
      <w:r>
        <w:rPr>
          <w:sz w:val="20"/>
        </w:rPr>
        <w:t xml:space="preserve">(e) the number of operating hours of the combustion plant;</w:t>
      </w:r>
    </w:p>
    <w:p>
      <w:pPr>
        <w:pStyle w:val="0"/>
        <w:spacing w:before="200" w:line-rule="auto"/>
        <w:ind w:firstLine="540"/>
        <w:jc w:val="both"/>
      </w:pPr>
      <w:r>
        <w:rPr>
          <w:sz w:val="20"/>
        </w:rPr>
        <w:t xml:space="preserve">(f) the total annual amount of energy input, related to the net calorific value (TJ per year), broken down in terms of the following categories of fuel: coal, lignite, biomass, peat, other solid fuels (specifying the type), liquid fuels, natural gas, other gases (specifying the type).</w:t>
      </w:r>
    </w:p>
    <w:p>
      <w:pPr>
        <w:pStyle w:val="0"/>
        <w:spacing w:before="200" w:line-rule="auto"/>
        <w:ind w:firstLine="540"/>
        <w:jc w:val="both"/>
      </w:pPr>
      <w:r>
        <w:rPr>
          <w:sz w:val="20"/>
        </w:rPr>
        <w:t xml:space="preserve">The annual plant-by-plant data contained in these inventories shall be made available to the Commission upon request.</w:t>
      </w:r>
    </w:p>
    <w:p>
      <w:pPr>
        <w:pStyle w:val="0"/>
        <w:spacing w:before="200" w:line-rule="auto"/>
        <w:ind w:firstLine="540"/>
        <w:jc w:val="both"/>
      </w:pPr>
      <w:r>
        <w:rPr>
          <w:sz w:val="20"/>
        </w:rPr>
        <w:t xml:space="preserve">A summary of the inventories shall be made available to the Commission every 3 years within 12 months from the end of the three-year period considered. This summary shall show separately the data for combustion plants within refineries.</w:t>
      </w:r>
    </w:p>
    <w:p>
      <w:pPr>
        <w:pStyle w:val="0"/>
        <w:spacing w:before="200" w:line-rule="auto"/>
        <w:ind w:firstLine="540"/>
        <w:jc w:val="both"/>
      </w:pPr>
      <w:r>
        <w:rPr>
          <w:sz w:val="20"/>
        </w:rPr>
        <w:t xml:space="preserve">The Commission shall make available to the Member States and to the public a summary of the comparison and evaluation of those inventories in accordance with Directive 2003/4/EC within 24 months from the end of the three-year period considered.</w:t>
      </w:r>
    </w:p>
    <w:p>
      <w:pPr>
        <w:pStyle w:val="0"/>
        <w:spacing w:before="200" w:line-rule="auto"/>
        <w:ind w:firstLine="540"/>
        <w:jc w:val="both"/>
      </w:pPr>
      <w:r>
        <w:rPr>
          <w:sz w:val="20"/>
        </w:rPr>
        <w:t xml:space="preserve">4. Member States shall, from 1 January 2016, report the following data annually to the Commission:</w:t>
      </w:r>
    </w:p>
    <w:p>
      <w:pPr>
        <w:pStyle w:val="0"/>
        <w:spacing w:before="200" w:line-rule="auto"/>
        <w:ind w:firstLine="540"/>
        <w:jc w:val="both"/>
      </w:pPr>
      <w:r>
        <w:rPr>
          <w:sz w:val="20"/>
        </w:rPr>
        <w:t xml:space="preserve">(a) for combustion plants to which Article 31 applies, the sulphur content of the indigenous solid fuel used and the rate of desulphurisation achieved, averaged over each month. For the first year where Article 31 is applied, the technical justification of the non-feasibility of complying with the emission limit values referred to in Article 30 (2) and (3) shall also be reported; and</w:t>
      </w:r>
    </w:p>
    <w:p>
      <w:pPr>
        <w:pStyle w:val="0"/>
        <w:spacing w:before="200" w:line-rule="auto"/>
        <w:ind w:firstLine="540"/>
        <w:jc w:val="both"/>
      </w:pPr>
      <w:r>
        <w:rPr>
          <w:sz w:val="20"/>
        </w:rPr>
        <w:t xml:space="preserve">(b) for combustion plants which do not operate more than 1 500 operating hours per year as a rolling average over a period of 5 years, the number of operating hours per year.</w:t>
      </w:r>
    </w:p>
    <w:p>
      <w:pPr>
        <w:pStyle w:val="0"/>
        <w:jc w:val="center"/>
      </w:pPr>
      <w:r>
        <w:rPr>
          <w:sz w:val="20"/>
        </w:rPr>
      </w:r>
    </w:p>
    <w:p>
      <w:pPr>
        <w:pStyle w:val="0"/>
        <w:outlineLvl w:val="2"/>
        <w:jc w:val="center"/>
      </w:pPr>
      <w:r>
        <w:rPr>
          <w:sz w:val="20"/>
        </w:rPr>
        <w:t xml:space="preserve">Article 73</w:t>
      </w:r>
    </w:p>
    <w:p>
      <w:pPr>
        <w:pStyle w:val="0"/>
        <w:jc w:val="center"/>
      </w:pPr>
      <w:r>
        <w:rPr>
          <w:sz w:val="20"/>
        </w:rPr>
      </w:r>
    </w:p>
    <w:p>
      <w:pPr>
        <w:pStyle w:val="0"/>
        <w:jc w:val="center"/>
      </w:pPr>
      <w:r>
        <w:rPr>
          <w:sz w:val="20"/>
        </w:rPr>
        <w:t xml:space="preserve">Review</w:t>
      </w:r>
    </w:p>
    <w:p>
      <w:pPr>
        <w:pStyle w:val="0"/>
        <w:jc w:val="center"/>
      </w:pPr>
      <w:r>
        <w:rPr>
          <w:sz w:val="20"/>
        </w:rPr>
      </w:r>
    </w:p>
    <w:p>
      <w:pPr>
        <w:pStyle w:val="0"/>
        <w:ind w:firstLine="540"/>
        <w:jc w:val="both"/>
      </w:pPr>
      <w:r>
        <w:rPr>
          <w:sz w:val="20"/>
        </w:rPr>
        <w:t xml:space="preserve">1. By 7 January 2016, and every 3 years thereafter, the Commission shall submit to the European Parliament and to the Council a report reviewing the implementation of this Directive on the basis of the information referred to in Article 72.</w:t>
      </w:r>
    </w:p>
    <w:p>
      <w:pPr>
        <w:pStyle w:val="0"/>
        <w:spacing w:before="200" w:line-rule="auto"/>
        <w:ind w:firstLine="540"/>
        <w:jc w:val="both"/>
      </w:pPr>
      <w:r>
        <w:rPr>
          <w:sz w:val="20"/>
        </w:rPr>
        <w:t xml:space="preserve">That report shall include an assessment of the need for Union action through the establishment or updating of Union-wide minimum requirements for emission limit values and for rules on monitoring and compliance for activities within the scope of the BAT conclusions adopted during the previous three-year period, on the basis of the following criteria:</w:t>
      </w:r>
    </w:p>
    <w:p>
      <w:pPr>
        <w:pStyle w:val="0"/>
        <w:spacing w:before="200" w:line-rule="auto"/>
        <w:ind w:firstLine="540"/>
        <w:jc w:val="both"/>
      </w:pPr>
      <w:r>
        <w:rPr>
          <w:sz w:val="20"/>
        </w:rPr>
        <w:t xml:space="preserve">(a) the impact of the activities concerned on the environment as a whole; and</w:t>
      </w:r>
    </w:p>
    <w:p>
      <w:pPr>
        <w:pStyle w:val="0"/>
        <w:spacing w:before="200" w:line-rule="auto"/>
        <w:ind w:firstLine="540"/>
        <w:jc w:val="both"/>
      </w:pPr>
      <w:r>
        <w:rPr>
          <w:sz w:val="20"/>
        </w:rPr>
        <w:t xml:space="preserve">(b) the state of implementation of best available techniques for the activities concerned.</w:t>
      </w:r>
    </w:p>
    <w:p>
      <w:pPr>
        <w:pStyle w:val="0"/>
        <w:spacing w:before="200" w:line-rule="auto"/>
        <w:ind w:firstLine="540"/>
        <w:jc w:val="both"/>
      </w:pPr>
      <w:r>
        <w:rPr>
          <w:sz w:val="20"/>
        </w:rPr>
        <w:t xml:space="preserve">That assessment shall consider the opinion of the forum referred to in Article 13 (4).</w:t>
      </w:r>
    </w:p>
    <w:p>
      <w:pPr>
        <w:pStyle w:val="0"/>
        <w:spacing w:before="200" w:line-rule="auto"/>
        <w:ind w:firstLine="540"/>
        <w:jc w:val="both"/>
      </w:pPr>
      <w:r>
        <w:rPr>
          <w:sz w:val="20"/>
        </w:rPr>
        <w:t xml:space="preserve">Chapter III and Annex V of this Directive shall be considered to represent the Union-wide minimum requirements in the case of large combustion plants.</w:t>
      </w:r>
    </w:p>
    <w:p>
      <w:pPr>
        <w:pStyle w:val="0"/>
        <w:spacing w:before="200" w:line-rule="auto"/>
        <w:ind w:firstLine="540"/>
        <w:jc w:val="both"/>
      </w:pPr>
      <w:r>
        <w:rPr>
          <w:sz w:val="20"/>
        </w:rPr>
        <w:t xml:space="preserve">The report shall be accompanied by a legislative proposal where appropriate. Where the assessment referred to in the second subparagraph identifies such a need, the legislative proposal shall include provisions establishing or updating Union-wide minimum requirements for emission limit values and for rules on monitoring and compliance assessment for the activities concerned.</w:t>
      </w:r>
    </w:p>
    <w:p>
      <w:pPr>
        <w:pStyle w:val="0"/>
        <w:spacing w:before="200" w:line-rule="auto"/>
        <w:ind w:firstLine="540"/>
        <w:jc w:val="both"/>
      </w:pPr>
      <w:r>
        <w:rPr>
          <w:sz w:val="20"/>
        </w:rPr>
        <w:t xml:space="preserve">2. The Commission shall, by 31 December 2012, review the need to control emissions from:</w:t>
      </w:r>
    </w:p>
    <w:p>
      <w:pPr>
        <w:pStyle w:val="0"/>
        <w:spacing w:before="200" w:line-rule="auto"/>
        <w:ind w:firstLine="540"/>
        <w:jc w:val="both"/>
      </w:pPr>
      <w:r>
        <w:rPr>
          <w:sz w:val="20"/>
        </w:rPr>
        <w:t xml:space="preserve">(a) the combustion of fuels in installations with a total rated thermal input below 50 MW;</w:t>
      </w:r>
    </w:p>
    <w:p>
      <w:pPr>
        <w:pStyle w:val="0"/>
        <w:spacing w:before="200" w:line-rule="auto"/>
        <w:ind w:firstLine="540"/>
        <w:jc w:val="both"/>
      </w:pPr>
      <w:r>
        <w:rPr>
          <w:sz w:val="20"/>
        </w:rPr>
        <w:t xml:space="preserve">(b) the intensive rearing of cattle; and</w:t>
      </w:r>
    </w:p>
    <w:p>
      <w:pPr>
        <w:pStyle w:val="0"/>
        <w:spacing w:before="200" w:line-rule="auto"/>
        <w:ind w:firstLine="540"/>
        <w:jc w:val="both"/>
      </w:pPr>
      <w:r>
        <w:rPr>
          <w:sz w:val="20"/>
        </w:rPr>
        <w:t xml:space="preserve">(c) the spreading of manure.</w:t>
      </w:r>
    </w:p>
    <w:p>
      <w:pPr>
        <w:pStyle w:val="0"/>
        <w:spacing w:before="200" w:line-rule="auto"/>
        <w:ind w:firstLine="540"/>
        <w:jc w:val="both"/>
      </w:pPr>
      <w:r>
        <w:rPr>
          <w:sz w:val="20"/>
        </w:rPr>
        <w:t xml:space="preserve">The Commission shall report the results of that review to the European Parliament and to the Council accompanied by a legislative proposal where appropriate.</w:t>
      </w:r>
    </w:p>
    <w:p>
      <w:pPr>
        <w:pStyle w:val="0"/>
        <w:spacing w:before="200" w:line-rule="auto"/>
        <w:ind w:firstLine="540"/>
        <w:jc w:val="both"/>
      </w:pPr>
      <w:r>
        <w:rPr>
          <w:sz w:val="20"/>
        </w:rPr>
        <w:t xml:space="preserve">3. The Commission shall report to the European Parliament and the Council, by 31 December 2011, on the establishment in Annex I of:</w:t>
      </w:r>
    </w:p>
    <w:p>
      <w:pPr>
        <w:pStyle w:val="0"/>
        <w:spacing w:before="200" w:line-rule="auto"/>
        <w:ind w:firstLine="540"/>
        <w:jc w:val="both"/>
      </w:pPr>
      <w:r>
        <w:rPr>
          <w:sz w:val="20"/>
        </w:rPr>
        <w:t xml:space="preserve">(a) differentiated capacity thresholds for the rearing of different poultry species, including the specific case of quail;</w:t>
      </w:r>
    </w:p>
    <w:p>
      <w:pPr>
        <w:pStyle w:val="0"/>
        <w:spacing w:before="200" w:line-rule="auto"/>
        <w:ind w:firstLine="540"/>
        <w:jc w:val="both"/>
      </w:pPr>
      <w:r>
        <w:rPr>
          <w:sz w:val="20"/>
        </w:rPr>
        <w:t xml:space="preserve">(b) capacity thresholds for the simultaneous rearing of different types of animals within the same installation.</w:t>
      </w:r>
    </w:p>
    <w:p>
      <w:pPr>
        <w:pStyle w:val="0"/>
        <w:spacing w:before="200" w:line-rule="auto"/>
        <w:ind w:firstLine="540"/>
        <w:jc w:val="both"/>
      </w:pPr>
      <w:r>
        <w:rPr>
          <w:sz w:val="20"/>
        </w:rPr>
        <w:t xml:space="preserve">The Commission shall report the results of that review to the European Parliament and to the Council accompanied by a legislative proposal where appropriate.</w:t>
      </w:r>
    </w:p>
    <w:p>
      <w:pPr>
        <w:pStyle w:val="0"/>
        <w:jc w:val="center"/>
      </w:pPr>
      <w:r>
        <w:rPr>
          <w:sz w:val="20"/>
        </w:rPr>
      </w:r>
    </w:p>
    <w:p>
      <w:pPr>
        <w:pStyle w:val="0"/>
        <w:outlineLvl w:val="2"/>
        <w:jc w:val="center"/>
      </w:pPr>
      <w:r>
        <w:rPr>
          <w:sz w:val="20"/>
        </w:rPr>
        <w:t xml:space="preserve">Article 74</w:t>
      </w:r>
    </w:p>
    <w:p>
      <w:pPr>
        <w:pStyle w:val="0"/>
        <w:jc w:val="center"/>
      </w:pPr>
      <w:r>
        <w:rPr>
          <w:sz w:val="20"/>
        </w:rPr>
      </w:r>
    </w:p>
    <w:p>
      <w:pPr>
        <w:pStyle w:val="0"/>
        <w:jc w:val="center"/>
      </w:pPr>
      <w:r>
        <w:rPr>
          <w:sz w:val="20"/>
        </w:rPr>
        <w:t xml:space="preserve">Amendments of Annexes</w:t>
      </w:r>
    </w:p>
    <w:p>
      <w:pPr>
        <w:pStyle w:val="0"/>
        <w:ind w:firstLine="540"/>
        <w:jc w:val="both"/>
      </w:pPr>
      <w:r>
        <w:rPr>
          <w:sz w:val="20"/>
        </w:rPr>
      </w:r>
    </w:p>
    <w:p>
      <w:pPr>
        <w:pStyle w:val="0"/>
        <w:ind w:firstLine="540"/>
        <w:jc w:val="both"/>
      </w:pPr>
      <w:r>
        <w:rPr>
          <w:sz w:val="20"/>
        </w:rPr>
        <w:t xml:space="preserve">In order to allow the provisions of this Directive to be adapted to scientific and technical progress on the basis of best available techniques, the Commission shall adopt delegated acts in accordance with Article 76 and subject to the conditions laid down in Articles 77 and 78 as regards the adaptation of Parts 3 and 4 of Annex V, Parts 2, 6, 7 and 8 of Annex VI and Parts 5, 6, 7 and 8 of Annex VII to such scientific and technical progress.</w:t>
      </w:r>
    </w:p>
    <w:p>
      <w:pPr>
        <w:pStyle w:val="0"/>
        <w:jc w:val="center"/>
      </w:pPr>
      <w:r>
        <w:rPr>
          <w:sz w:val="20"/>
        </w:rPr>
      </w:r>
    </w:p>
    <w:p>
      <w:pPr>
        <w:pStyle w:val="0"/>
        <w:outlineLvl w:val="2"/>
        <w:jc w:val="center"/>
      </w:pPr>
      <w:r>
        <w:rPr>
          <w:sz w:val="20"/>
        </w:rPr>
        <w:t xml:space="preserve">Article 75</w:t>
      </w:r>
    </w:p>
    <w:p>
      <w:pPr>
        <w:pStyle w:val="0"/>
        <w:jc w:val="center"/>
      </w:pPr>
      <w:r>
        <w:rPr>
          <w:sz w:val="20"/>
        </w:rPr>
      </w:r>
    </w:p>
    <w:p>
      <w:pPr>
        <w:pStyle w:val="0"/>
        <w:jc w:val="center"/>
      </w:pPr>
      <w:r>
        <w:rPr>
          <w:sz w:val="20"/>
        </w:rPr>
        <w:t xml:space="preserve">Committee procedure</w:t>
      </w:r>
    </w:p>
    <w:p>
      <w:pPr>
        <w:pStyle w:val="0"/>
        <w:jc w:val="center"/>
      </w:pPr>
      <w:r>
        <w:rPr>
          <w:sz w:val="20"/>
        </w:rPr>
      </w:r>
    </w:p>
    <w:p>
      <w:pPr>
        <w:pStyle w:val="0"/>
        <w:ind w:firstLine="540"/>
        <w:jc w:val="both"/>
      </w:pPr>
      <w:r>
        <w:rPr>
          <w:sz w:val="20"/>
        </w:rPr>
        <w:t xml:space="preserve">1. The Commission shall be assisted by a committee.</w:t>
      </w:r>
    </w:p>
    <w:p>
      <w:pPr>
        <w:pStyle w:val="0"/>
        <w:spacing w:before="200" w:line-rule="auto"/>
        <w:ind w:firstLine="540"/>
        <w:jc w:val="both"/>
      </w:pPr>
      <w:r>
        <w:rPr>
          <w:sz w:val="20"/>
        </w:rPr>
        <w:t xml:space="preserve">2. Where reference is made to this paragraph, Articles 5 and 7 of Decision 1999/468/EC shall apply, having regard to the provisions of Article 8 thereof.</w:t>
      </w:r>
    </w:p>
    <w:p>
      <w:pPr>
        <w:pStyle w:val="0"/>
        <w:spacing w:before="200" w:line-rule="auto"/>
        <w:ind w:firstLine="540"/>
        <w:jc w:val="both"/>
      </w:pPr>
      <w:r>
        <w:rPr>
          <w:sz w:val="20"/>
        </w:rPr>
        <w:t xml:space="preserve">The period laid down in Article 5 (6) of Decision 1999/468/EC shall be set at 3 months.</w:t>
      </w:r>
    </w:p>
    <w:p>
      <w:pPr>
        <w:pStyle w:val="0"/>
        <w:jc w:val="center"/>
      </w:pPr>
      <w:r>
        <w:rPr>
          <w:sz w:val="20"/>
        </w:rPr>
      </w:r>
    </w:p>
    <w:p>
      <w:pPr>
        <w:pStyle w:val="0"/>
        <w:outlineLvl w:val="2"/>
        <w:jc w:val="center"/>
      </w:pPr>
      <w:r>
        <w:rPr>
          <w:sz w:val="20"/>
        </w:rPr>
        <w:t xml:space="preserve">Article 76</w:t>
      </w:r>
    </w:p>
    <w:p>
      <w:pPr>
        <w:pStyle w:val="0"/>
        <w:jc w:val="center"/>
      </w:pPr>
      <w:r>
        <w:rPr>
          <w:sz w:val="20"/>
        </w:rPr>
      </w:r>
    </w:p>
    <w:p>
      <w:pPr>
        <w:pStyle w:val="0"/>
        <w:jc w:val="center"/>
      </w:pPr>
      <w:r>
        <w:rPr>
          <w:sz w:val="20"/>
        </w:rPr>
        <w:t xml:space="preserve">Exercise of the delegation</w:t>
      </w:r>
    </w:p>
    <w:p>
      <w:pPr>
        <w:pStyle w:val="0"/>
        <w:ind w:firstLine="540"/>
        <w:jc w:val="both"/>
      </w:pPr>
      <w:r>
        <w:rPr>
          <w:sz w:val="20"/>
        </w:rPr>
      </w:r>
    </w:p>
    <w:p>
      <w:pPr>
        <w:pStyle w:val="0"/>
        <w:ind w:firstLine="540"/>
        <w:jc w:val="both"/>
      </w:pPr>
      <w:r>
        <w:rPr>
          <w:sz w:val="20"/>
        </w:rPr>
        <w:t xml:space="preserve">1. The power to adopt the delegated acts referred to in Article 48 (5) and Article 74 shall be conferred on the Commission for a period of 5 years from 6 January 2011. The Commission shall draw up a report in respect of the delegated power at the latest 6 months before the end of the five-year period. The delegation of power shall be automatically extended for periods of an identical duration, unless the European Parliament or the Council revokes it in accordance with Article 77.</w:t>
      </w:r>
    </w:p>
    <w:p>
      <w:pPr>
        <w:pStyle w:val="0"/>
        <w:spacing w:before="200" w:line-rule="auto"/>
        <w:ind w:firstLine="540"/>
        <w:jc w:val="both"/>
      </w:pPr>
      <w:r>
        <w:rPr>
          <w:sz w:val="20"/>
        </w:rPr>
        <w:t xml:space="preserve">2. As soon as it adopts a delegated act, the Commission shall notify it simultaneously to the European Parliament and to the Council.</w:t>
      </w:r>
    </w:p>
    <w:p>
      <w:pPr>
        <w:pStyle w:val="0"/>
        <w:spacing w:before="200" w:line-rule="auto"/>
        <w:ind w:firstLine="540"/>
        <w:jc w:val="both"/>
      </w:pPr>
      <w:r>
        <w:rPr>
          <w:sz w:val="20"/>
        </w:rPr>
        <w:t xml:space="preserve">3. The power to adopt delegated acts is conferred on the Commission subject to the conditions laid down in Articles 77 and 78.</w:t>
      </w:r>
    </w:p>
    <w:p>
      <w:pPr>
        <w:pStyle w:val="0"/>
        <w:jc w:val="center"/>
      </w:pPr>
      <w:r>
        <w:rPr>
          <w:sz w:val="20"/>
        </w:rPr>
      </w:r>
    </w:p>
    <w:p>
      <w:pPr>
        <w:pStyle w:val="0"/>
        <w:outlineLvl w:val="2"/>
        <w:jc w:val="center"/>
      </w:pPr>
      <w:r>
        <w:rPr>
          <w:sz w:val="20"/>
        </w:rPr>
        <w:t xml:space="preserve">Article 77</w:t>
      </w:r>
    </w:p>
    <w:p>
      <w:pPr>
        <w:pStyle w:val="0"/>
        <w:jc w:val="center"/>
      </w:pPr>
      <w:r>
        <w:rPr>
          <w:sz w:val="20"/>
        </w:rPr>
      </w:r>
    </w:p>
    <w:p>
      <w:pPr>
        <w:pStyle w:val="0"/>
        <w:jc w:val="center"/>
      </w:pPr>
      <w:r>
        <w:rPr>
          <w:sz w:val="20"/>
        </w:rPr>
        <w:t xml:space="preserve">Revocation of the delegation</w:t>
      </w:r>
    </w:p>
    <w:p>
      <w:pPr>
        <w:pStyle w:val="0"/>
        <w:ind w:firstLine="540"/>
        <w:jc w:val="both"/>
      </w:pPr>
      <w:r>
        <w:rPr>
          <w:sz w:val="20"/>
        </w:rPr>
      </w:r>
    </w:p>
    <w:p>
      <w:pPr>
        <w:pStyle w:val="0"/>
        <w:ind w:firstLine="540"/>
        <w:jc w:val="both"/>
      </w:pPr>
      <w:r>
        <w:rPr>
          <w:sz w:val="20"/>
        </w:rPr>
        <w:t xml:space="preserve">1. The delegation of power referred to in Article 48 (5) and Article 74 may be revoked at any time by the European Parliament or by the Council.</w:t>
      </w:r>
    </w:p>
    <w:p>
      <w:pPr>
        <w:pStyle w:val="0"/>
        <w:spacing w:before="200" w:line-rule="auto"/>
        <w:ind w:firstLine="540"/>
        <w:jc w:val="both"/>
      </w:pPr>
      <w:r>
        <w:rPr>
          <w:sz w:val="20"/>
        </w:rPr>
        <w:t xml:space="preserve">2. The institution which has commenced an internal procedure for deciding whether to revoke a delegation of power shall endeavour to inform the other institution and the Commission within a reasonable time before the final decision is taken, indicating the delegated power which could be subject to revocation and possible reasons for a revocation.</w:t>
      </w:r>
    </w:p>
    <w:p>
      <w:pPr>
        <w:pStyle w:val="0"/>
        <w:spacing w:before="200" w:line-rule="auto"/>
        <w:ind w:firstLine="540"/>
        <w:jc w:val="both"/>
      </w:pPr>
      <w:r>
        <w:rPr>
          <w:sz w:val="20"/>
        </w:rPr>
        <w:t xml:space="preserve">3. The decision of revocation shall put an end to the delegation of the power specified in that decision. It shall take effect immediately or on a later date specified therein. It shall not affect the validity of the delegated acts already in force. It shall be published in the Official Journal of the European Union.</w:t>
      </w:r>
    </w:p>
    <w:p>
      <w:pPr>
        <w:pStyle w:val="0"/>
        <w:jc w:val="center"/>
      </w:pPr>
      <w:r>
        <w:rPr>
          <w:sz w:val="20"/>
        </w:rPr>
      </w:r>
    </w:p>
    <w:p>
      <w:pPr>
        <w:pStyle w:val="0"/>
        <w:outlineLvl w:val="2"/>
        <w:jc w:val="center"/>
      </w:pPr>
      <w:r>
        <w:rPr>
          <w:sz w:val="20"/>
        </w:rPr>
        <w:t xml:space="preserve">Article 78</w:t>
      </w:r>
    </w:p>
    <w:p>
      <w:pPr>
        <w:pStyle w:val="0"/>
        <w:jc w:val="center"/>
      </w:pPr>
      <w:r>
        <w:rPr>
          <w:sz w:val="20"/>
        </w:rPr>
      </w:r>
    </w:p>
    <w:p>
      <w:pPr>
        <w:pStyle w:val="0"/>
        <w:jc w:val="center"/>
      </w:pPr>
      <w:r>
        <w:rPr>
          <w:sz w:val="20"/>
        </w:rPr>
        <w:t xml:space="preserve">Objections to delegated acts</w:t>
      </w:r>
    </w:p>
    <w:p>
      <w:pPr>
        <w:pStyle w:val="0"/>
        <w:ind w:firstLine="540"/>
        <w:jc w:val="both"/>
      </w:pPr>
      <w:r>
        <w:rPr>
          <w:sz w:val="20"/>
        </w:rPr>
      </w:r>
    </w:p>
    <w:p>
      <w:pPr>
        <w:pStyle w:val="0"/>
        <w:ind w:firstLine="540"/>
        <w:jc w:val="both"/>
      </w:pPr>
      <w:r>
        <w:rPr>
          <w:sz w:val="20"/>
        </w:rPr>
        <w:t xml:space="preserve">1. The European Parliament or the Council may object to a delegated act within a period of 2 months from the date of notification.</w:t>
      </w:r>
    </w:p>
    <w:p>
      <w:pPr>
        <w:pStyle w:val="0"/>
        <w:spacing w:before="200" w:line-rule="auto"/>
        <w:ind w:firstLine="540"/>
        <w:jc w:val="both"/>
      </w:pPr>
      <w:r>
        <w:rPr>
          <w:sz w:val="20"/>
        </w:rPr>
        <w:t xml:space="preserve">At the initiative of the European Parliament or the Council that period shall be extended by 2 months.</w:t>
      </w:r>
    </w:p>
    <w:p>
      <w:pPr>
        <w:pStyle w:val="0"/>
        <w:spacing w:before="200" w:line-rule="auto"/>
        <w:ind w:firstLine="540"/>
        <w:jc w:val="both"/>
      </w:pPr>
      <w:r>
        <w:rPr>
          <w:sz w:val="20"/>
        </w:rPr>
        <w:t xml:space="preserve">2. If, on expiry of the period referred to in paragraph 1, neither the European Parliament nor the Council has objected to the delegated act, it shall be published in the Official Journal of the European Union and shall enter into force on the date stated therein.</w:t>
      </w:r>
    </w:p>
    <w:p>
      <w:pPr>
        <w:pStyle w:val="0"/>
        <w:spacing w:before="200" w:line-rule="auto"/>
        <w:ind w:firstLine="540"/>
        <w:jc w:val="both"/>
      </w:pPr>
      <w:r>
        <w:rPr>
          <w:sz w:val="20"/>
        </w:rPr>
        <w:t xml:space="preserve">The delegated act may be published in the Official Journal of the European Union and enter into force before the expiry of that period if the European Parliament and the Council have both informed the Commission of their intention not to raise objections.</w:t>
      </w:r>
    </w:p>
    <w:p>
      <w:pPr>
        <w:pStyle w:val="0"/>
        <w:spacing w:before="200" w:line-rule="auto"/>
        <w:ind w:firstLine="540"/>
        <w:jc w:val="both"/>
      </w:pPr>
      <w:r>
        <w:rPr>
          <w:sz w:val="20"/>
        </w:rPr>
        <w:t xml:space="preserve">3. If either the European Parliament or the Council objects to the delegated act within the period referred to in paragraph 1, it shall not enter into force. The institution which objects shall state the reasons for objecting to the delegated act.</w:t>
      </w:r>
    </w:p>
    <w:p>
      <w:pPr>
        <w:pStyle w:val="0"/>
        <w:jc w:val="center"/>
      </w:pPr>
      <w:r>
        <w:rPr>
          <w:sz w:val="20"/>
        </w:rPr>
      </w:r>
    </w:p>
    <w:p>
      <w:pPr>
        <w:pStyle w:val="0"/>
        <w:outlineLvl w:val="2"/>
        <w:jc w:val="center"/>
      </w:pPr>
      <w:r>
        <w:rPr>
          <w:sz w:val="20"/>
        </w:rPr>
        <w:t xml:space="preserve">Article 79</w:t>
      </w:r>
    </w:p>
    <w:p>
      <w:pPr>
        <w:pStyle w:val="0"/>
        <w:jc w:val="center"/>
      </w:pPr>
      <w:r>
        <w:rPr>
          <w:sz w:val="20"/>
        </w:rPr>
      </w:r>
    </w:p>
    <w:p>
      <w:pPr>
        <w:pStyle w:val="0"/>
        <w:jc w:val="center"/>
      </w:pPr>
      <w:r>
        <w:rPr>
          <w:sz w:val="20"/>
        </w:rPr>
        <w:t xml:space="preserve">Penalties</w:t>
      </w:r>
    </w:p>
    <w:p>
      <w:pPr>
        <w:pStyle w:val="0"/>
        <w:jc w:val="center"/>
      </w:pPr>
      <w:r>
        <w:rPr>
          <w:sz w:val="20"/>
        </w:rPr>
      </w:r>
    </w:p>
    <w:p>
      <w:pPr>
        <w:pStyle w:val="0"/>
        <w:ind w:firstLine="540"/>
        <w:jc w:val="both"/>
      </w:pPr>
      <w:r>
        <w:rPr>
          <w:sz w:val="20"/>
        </w:rPr>
        <w:t xml:space="preserve">Member States shall determine penalties applicable to infringements of the national provisions adopted pursuant to this Directive. The penalties thus provided for shall be effective, proportionate and dissuasive. Member States shall notify those provisions to the Commission by 7 January 2013 and shall notify it without delay of any subsequent amendment affecting them.</w:t>
      </w:r>
    </w:p>
    <w:p>
      <w:pPr>
        <w:pStyle w:val="0"/>
        <w:jc w:val="center"/>
      </w:pPr>
      <w:r>
        <w:rPr>
          <w:sz w:val="20"/>
        </w:rPr>
      </w:r>
    </w:p>
    <w:p>
      <w:pPr>
        <w:pStyle w:val="0"/>
        <w:outlineLvl w:val="2"/>
        <w:jc w:val="center"/>
      </w:pPr>
      <w:r>
        <w:rPr>
          <w:sz w:val="20"/>
        </w:rPr>
        <w:t xml:space="preserve">Article 80</w:t>
      </w:r>
    </w:p>
    <w:p>
      <w:pPr>
        <w:pStyle w:val="0"/>
        <w:jc w:val="center"/>
      </w:pPr>
      <w:r>
        <w:rPr>
          <w:sz w:val="20"/>
        </w:rPr>
      </w:r>
    </w:p>
    <w:p>
      <w:pPr>
        <w:pStyle w:val="0"/>
        <w:jc w:val="center"/>
      </w:pPr>
      <w:r>
        <w:rPr>
          <w:sz w:val="20"/>
        </w:rPr>
        <w:t xml:space="preserve">Transposition</w:t>
      </w:r>
    </w:p>
    <w:p>
      <w:pPr>
        <w:pStyle w:val="0"/>
        <w:jc w:val="center"/>
      </w:pPr>
      <w:r>
        <w:rPr>
          <w:sz w:val="20"/>
        </w:rPr>
      </w:r>
    </w:p>
    <w:p>
      <w:pPr>
        <w:pStyle w:val="0"/>
        <w:ind w:firstLine="540"/>
        <w:jc w:val="both"/>
      </w:pPr>
      <w:r>
        <w:rPr>
          <w:sz w:val="20"/>
        </w:rPr>
        <w:t xml:space="preserve">1. Member States shall bring into force the laws, regulations and administrative provisions necessary to comply with Article 2, points (8), (11) to (15), (18) to (23), (26) to (30), (34) to (38) and (41) of Article 3, Article 4 (2) and (3), Article 7, Articles 8 and 10, Article 11 (e) and (h), Article 12 (1) (e) and (h), Article 13 (7), point (ii) of Article 14 (1) (c), points (d), (e), (f) and (h) of Article 14 (1), Article 14 (2) to (7), Article 15 (2) to (5), Articles 16, 17 and 19, Article 21 (2) to (5), Articles 22, 23, 24, 27, 28 and 29, Article 30 (1), (2), (3), (4), (7) and (8), Articles 31, 32, 33, 34, 35, 36, 38 and 39, Article 40 (2) and (3), Articles 42 and 43, Article 45 (1), Article 58, Article 59 (5), Article 63, Article 65 (3), Articles 69, 70, 71, 72 and 79, and with the first subparagraph and points 1.1, 1.4, 2.5 (b), 3.1, 4, 5, 6.1 (c), 6.4 (b), 6.10 and 6.11 of Annex I, Annex II, point 12 of Annex III, Annex V, point (b) of Part 1, points 2.2, 2.4, 3.1 and 3.2 of Part 4, points 2.5 and 2.6 of Part 6 and point 1.1 (d) of Part 8 of Annex VI, point 2 of Part 4, point 1 of Part 5, point 3 of Part 7 of Annex VII, points 1 and 2 (c) of Part 1, points 2 and 3 of Part 2 and Part 3 of Annex VIII by 7 January 2013.</w:t>
      </w:r>
    </w:p>
    <w:p>
      <w:pPr>
        <w:pStyle w:val="0"/>
        <w:spacing w:before="200" w:line-rule="auto"/>
        <w:ind w:firstLine="540"/>
        <w:jc w:val="both"/>
      </w:pPr>
      <w:r>
        <w:rPr>
          <w:sz w:val="20"/>
        </w:rPr>
        <w:t xml:space="preserve">They shall apply those measures from that same date.</w:t>
      </w:r>
    </w:p>
    <w:p>
      <w:pPr>
        <w:pStyle w:val="0"/>
        <w:spacing w:before="200" w:line-rule="auto"/>
        <w:ind w:firstLine="540"/>
        <w:jc w:val="both"/>
      </w:pPr>
      <w:r>
        <w:rPr>
          <w:sz w:val="20"/>
        </w:rPr>
        <w:t xml:space="preserve">When Member States adopt those measures, they shall contain a reference to this Directive or be accompanied by such a reference on the occasion of their official publication. The methods of making such reference shall be laid down by Member States.</w:t>
      </w:r>
    </w:p>
    <w:p>
      <w:pPr>
        <w:pStyle w:val="0"/>
        <w:spacing w:before="200" w:line-rule="auto"/>
        <w:ind w:firstLine="540"/>
        <w:jc w:val="both"/>
      </w:pPr>
      <w:r>
        <w:rPr>
          <w:sz w:val="20"/>
        </w:rPr>
        <w:t xml:space="preserve">2. Member States shall communicate to the Commission the text of the main provisions of national law which they adopt in the field covered by this Directive.</w:t>
      </w:r>
    </w:p>
    <w:p>
      <w:pPr>
        <w:pStyle w:val="0"/>
        <w:jc w:val="center"/>
      </w:pPr>
      <w:r>
        <w:rPr>
          <w:sz w:val="20"/>
        </w:rPr>
      </w:r>
    </w:p>
    <w:p>
      <w:pPr>
        <w:pStyle w:val="0"/>
        <w:outlineLvl w:val="2"/>
        <w:jc w:val="center"/>
      </w:pPr>
      <w:r>
        <w:rPr>
          <w:sz w:val="20"/>
        </w:rPr>
        <w:t xml:space="preserve">Article 81</w:t>
      </w:r>
    </w:p>
    <w:p>
      <w:pPr>
        <w:pStyle w:val="0"/>
        <w:jc w:val="center"/>
      </w:pPr>
      <w:r>
        <w:rPr>
          <w:sz w:val="20"/>
        </w:rPr>
      </w:r>
    </w:p>
    <w:p>
      <w:pPr>
        <w:pStyle w:val="0"/>
        <w:jc w:val="center"/>
      </w:pPr>
      <w:r>
        <w:rPr>
          <w:sz w:val="20"/>
        </w:rPr>
        <w:t xml:space="preserve">Repeal</w:t>
      </w:r>
    </w:p>
    <w:p>
      <w:pPr>
        <w:pStyle w:val="0"/>
        <w:jc w:val="center"/>
      </w:pPr>
      <w:r>
        <w:rPr>
          <w:sz w:val="20"/>
        </w:rPr>
      </w:r>
    </w:p>
    <w:p>
      <w:pPr>
        <w:pStyle w:val="0"/>
        <w:ind w:firstLine="540"/>
        <w:jc w:val="both"/>
      </w:pPr>
      <w:r>
        <w:rPr>
          <w:sz w:val="20"/>
        </w:rPr>
        <w:t xml:space="preserve">1. Directives 78/176/EEC, 82/883/EEC, 92/112/EEC, 1999/13/EC, 2000/76/EC and 2008/1/EC, as amended by the acts listed in Annex IX, Part A are repealed with effect from 7 January 2014, without prejudice to the obligations of the Member States relating to the time limits for transposition into national law and application of the Directives set out in Annex IX, Part B.</w:t>
      </w:r>
    </w:p>
    <w:p>
      <w:pPr>
        <w:pStyle w:val="0"/>
        <w:spacing w:before="200" w:line-rule="auto"/>
        <w:ind w:firstLine="540"/>
        <w:jc w:val="both"/>
      </w:pPr>
      <w:r>
        <w:rPr>
          <w:sz w:val="20"/>
        </w:rPr>
        <w:t xml:space="preserve">2. Directive 2001/80/EC as amended by the acts listed in Annex IX, Part A is repealed with effect from 1 January 2016, without prejudice to the obligations of the Member States relating to the time limits for transposition into national law and application of the Directives set out in Annex IX, Part B.</w:t>
      </w:r>
    </w:p>
    <w:p>
      <w:pPr>
        <w:pStyle w:val="0"/>
        <w:spacing w:before="200" w:line-rule="auto"/>
        <w:ind w:firstLine="540"/>
        <w:jc w:val="both"/>
      </w:pPr>
      <w:r>
        <w:rPr>
          <w:sz w:val="20"/>
        </w:rPr>
        <w:t xml:space="preserve">3. References to the repealed Directives shall be construed as references to this Directive and shall be read in accordance with the correlation table set out in Annex X.</w:t>
      </w:r>
    </w:p>
    <w:p>
      <w:pPr>
        <w:pStyle w:val="0"/>
        <w:jc w:val="center"/>
      </w:pPr>
      <w:r>
        <w:rPr>
          <w:sz w:val="20"/>
        </w:rPr>
      </w:r>
    </w:p>
    <w:p>
      <w:pPr>
        <w:pStyle w:val="0"/>
        <w:outlineLvl w:val="2"/>
        <w:jc w:val="center"/>
      </w:pPr>
      <w:r>
        <w:rPr>
          <w:sz w:val="20"/>
        </w:rPr>
        <w:t xml:space="preserve">Article 82</w:t>
      </w:r>
    </w:p>
    <w:p>
      <w:pPr>
        <w:pStyle w:val="0"/>
        <w:jc w:val="center"/>
      </w:pPr>
      <w:r>
        <w:rPr>
          <w:sz w:val="20"/>
        </w:rPr>
      </w:r>
    </w:p>
    <w:p>
      <w:pPr>
        <w:pStyle w:val="0"/>
        <w:jc w:val="center"/>
      </w:pPr>
      <w:r>
        <w:rPr>
          <w:sz w:val="20"/>
        </w:rPr>
        <w:t xml:space="preserve">Transitional provisions</w:t>
      </w:r>
    </w:p>
    <w:p>
      <w:pPr>
        <w:pStyle w:val="0"/>
        <w:jc w:val="center"/>
      </w:pPr>
      <w:r>
        <w:rPr>
          <w:sz w:val="20"/>
        </w:rPr>
      </w:r>
    </w:p>
    <w:p>
      <w:pPr>
        <w:pStyle w:val="0"/>
        <w:ind w:firstLine="540"/>
        <w:jc w:val="both"/>
      </w:pPr>
      <w:r>
        <w:rPr>
          <w:sz w:val="20"/>
        </w:rPr>
        <w:t xml:space="preserve">1. In relation to installations carrying out activities referred to in Annex I, point 1.1 for activities with a total rated thermal input exceeding 50 MW, points 1.2 and 1.3, point 1.4 (a), points 2.1 to 2.6, points 3.1 to 3.5, points 4.1 to 4.6 for activities concerning production by chemical processing, points 5.1 and 5.2 for activities covered by Directive 2008/1/EC, point 5.3 (a) (i) and (ii), point 5.4, point 6.1 (a) and (b), points 6.2 and 6.3, point 6.4 (a), point 6.4 (b) for activities covered by Directive 2008/1/EC, point 6.4 (c) and points 6.5 to 6.9 which are in operation and hold a permit before 7 January 2013 or the operators of which have submitted a complete application for a permit before that date, provided that those installations are put into operation no later than 7 January 2014, Member States shall apply the laws, regulations and administrative provisions adopted in accordance with Article 80 (1) from 7 January 2014 with the exception of Chapter III and Annex V.</w:t>
      </w:r>
    </w:p>
    <w:p>
      <w:pPr>
        <w:pStyle w:val="0"/>
        <w:spacing w:before="200" w:line-rule="auto"/>
        <w:ind w:firstLine="540"/>
        <w:jc w:val="both"/>
      </w:pPr>
      <w:r>
        <w:rPr>
          <w:sz w:val="20"/>
        </w:rPr>
        <w:t xml:space="preserve">2. In relation to installations carrying out activities referred to in Annex I, point 1.1 for activities with a total rated thermal input of 50 MW, point 1.4 (b), points 4.1 to 4.6 for activities concerning production by biological processing, points 5.1 and 5.2 for activities not covered by Directive 2008/1/EC, point 5.3 (a) (iii) to (v), point 5.3 (b), points 5.5 and 5.6, point 6.1 (c), point 6.4 (b) for activities not covered by Directive 2008/1/EC and points 6.10 and 6.11 which are in operation before 7 January 2013, Member States shall apply the laws, regulations and administrative provisions adopted in accordance with this Directive from 7 July 2015 with the exception of Chapters III and IV and Annexes V and VI.</w:t>
      </w:r>
    </w:p>
    <w:p>
      <w:pPr>
        <w:pStyle w:val="0"/>
        <w:spacing w:before="200" w:line-rule="auto"/>
        <w:ind w:firstLine="540"/>
        <w:jc w:val="both"/>
      </w:pPr>
      <w:r>
        <w:rPr>
          <w:sz w:val="20"/>
        </w:rPr>
        <w:t xml:space="preserve">3. In relation to combustion plants referred to in Article 30 (2), Member States shall, from 1 January 2016, apply the laws, regulations and administrative provisions adopted in accordance with Article 80 (1) to comply with Chapter III and Annex V.</w:t>
      </w:r>
    </w:p>
    <w:p>
      <w:pPr>
        <w:pStyle w:val="0"/>
        <w:spacing w:before="200" w:line-rule="auto"/>
        <w:ind w:firstLine="540"/>
        <w:jc w:val="both"/>
      </w:pPr>
      <w:r>
        <w:rPr>
          <w:sz w:val="20"/>
        </w:rPr>
        <w:t xml:space="preserve">4. In relation to combustion plants referred to in Article 30 (3), Member States shall no longer apply Directive 2001/80/EC from 7 January 2013.</w:t>
      </w:r>
    </w:p>
    <w:p>
      <w:pPr>
        <w:pStyle w:val="0"/>
        <w:spacing w:before="200" w:line-rule="auto"/>
        <w:ind w:firstLine="540"/>
        <w:jc w:val="both"/>
      </w:pPr>
      <w:r>
        <w:rPr>
          <w:sz w:val="20"/>
        </w:rPr>
        <w:t xml:space="preserve">5. In relation to combustion plants which co-incinerate waste, point 3.1 of Part 4 of Annex VI shall apply until:</w:t>
      </w:r>
    </w:p>
    <w:p>
      <w:pPr>
        <w:pStyle w:val="0"/>
        <w:spacing w:before="200" w:line-rule="auto"/>
        <w:ind w:firstLine="540"/>
        <w:jc w:val="both"/>
      </w:pPr>
      <w:r>
        <w:rPr>
          <w:sz w:val="20"/>
        </w:rPr>
        <w:t xml:space="preserve">(a) 31 December 2015, for combustion plants referred to in Article 30 (2);</w:t>
      </w:r>
    </w:p>
    <w:p>
      <w:pPr>
        <w:pStyle w:val="0"/>
        <w:spacing w:before="200" w:line-rule="auto"/>
        <w:ind w:firstLine="540"/>
        <w:jc w:val="both"/>
      </w:pPr>
      <w:r>
        <w:rPr>
          <w:sz w:val="20"/>
        </w:rPr>
        <w:t xml:space="preserve">(b) 7 January 2013, for combustion plants referred to in Article 30 (3).</w:t>
      </w:r>
    </w:p>
    <w:p>
      <w:pPr>
        <w:pStyle w:val="0"/>
        <w:spacing w:before="200" w:line-rule="auto"/>
        <w:ind w:firstLine="540"/>
        <w:jc w:val="both"/>
      </w:pPr>
      <w:r>
        <w:rPr>
          <w:sz w:val="20"/>
        </w:rPr>
        <w:t xml:space="preserve">6. Point 3.2 of Part 4 of Annex VI shall apply in relation to combustion plants which co-incinerate waste, as from:</w:t>
      </w:r>
    </w:p>
    <w:p>
      <w:pPr>
        <w:pStyle w:val="0"/>
        <w:spacing w:before="200" w:line-rule="auto"/>
        <w:ind w:firstLine="540"/>
        <w:jc w:val="both"/>
      </w:pPr>
      <w:r>
        <w:rPr>
          <w:sz w:val="20"/>
        </w:rPr>
        <w:t xml:space="preserve">(a) 1 January 2016, for combustion plants referred to in Article 30 (2)</w:t>
      </w:r>
    </w:p>
    <w:p>
      <w:pPr>
        <w:pStyle w:val="0"/>
        <w:spacing w:before="200" w:line-rule="auto"/>
        <w:ind w:firstLine="540"/>
        <w:jc w:val="both"/>
      </w:pPr>
      <w:r>
        <w:rPr>
          <w:sz w:val="20"/>
        </w:rPr>
        <w:t xml:space="preserve">(b) 7 January 2013, for combustion plants referred to in Article 30 (3).</w:t>
      </w:r>
    </w:p>
    <w:p>
      <w:pPr>
        <w:pStyle w:val="0"/>
        <w:spacing w:before="200" w:line-rule="auto"/>
        <w:ind w:firstLine="540"/>
        <w:jc w:val="both"/>
      </w:pPr>
      <w:r>
        <w:rPr>
          <w:sz w:val="20"/>
        </w:rPr>
        <w:t xml:space="preserve">7. Article 58 shall apply from 1 June 2015. Until that date, substances or mixtures which, because of their content of volatile organic compounds classified as carcinogens, mutagens, or toxic to reproduction under Regulation (EC) No 1272/2008, are assigned or need to carry the hazard statements H340, H350, H350i, H360D or H360F or the risk phrases R45, R46, R49, R60 or R61, shall be replaced, as far as possible, by less harmful substances or mixtures within the shortest possible time.</w:t>
      </w:r>
    </w:p>
    <w:p>
      <w:pPr>
        <w:pStyle w:val="0"/>
        <w:spacing w:before="200" w:line-rule="auto"/>
        <w:ind w:firstLine="540"/>
        <w:jc w:val="both"/>
      </w:pPr>
      <w:r>
        <w:rPr>
          <w:sz w:val="20"/>
        </w:rPr>
        <w:t xml:space="preserve">8. Article 59 (5) shall apply from 1 June 2015. Until that date, the emissions of either volatile organic compounds which are assigned or need to carry the hazard statements H340, H350, H350i, H360D or H360F or the risk phrases R45, R46, R49, R60 or R61 or halogenated volatile organic compounds which are assigned or need to carry the hazard statements H341 or H351 or the risk phrases R40 or R68, shall be controlled under contained conditions, as far as technically and economically feasible, to safeguard public health and the environment and shall not exceed the relevant emission limit values set out in Part 4 of Annex VII.</w:t>
      </w:r>
    </w:p>
    <w:p>
      <w:pPr>
        <w:pStyle w:val="1"/>
        <w:spacing w:before="200" w:line-rule="auto"/>
        <w:jc w:val="both"/>
      </w:pPr>
      <w:r>
        <w:rPr>
          <w:sz w:val="20"/>
        </w:rPr>
        <w:t xml:space="preserve">    9.  Point  2 of Part 4 of Annex VII shall apply from 1 June 2015. Until</w:t>
      </w:r>
    </w:p>
    <w:p>
      <w:pPr>
        <w:pStyle w:val="1"/>
        <w:jc w:val="both"/>
      </w:pPr>
      <w:r>
        <w:rPr>
          <w:sz w:val="20"/>
        </w:rPr>
        <w:t xml:space="preserve">that  date,  for  emissions of halogenated volatile organic compounds which</w:t>
      </w:r>
    </w:p>
    <w:p>
      <w:pPr>
        <w:pStyle w:val="1"/>
        <w:jc w:val="both"/>
      </w:pPr>
      <w:r>
        <w:rPr>
          <w:sz w:val="20"/>
        </w:rPr>
        <w:t xml:space="preserve">are  assigned  or  need  to carry the hazard statements H341 or H351 or the</w:t>
      </w:r>
    </w:p>
    <w:p>
      <w:pPr>
        <w:pStyle w:val="1"/>
        <w:jc w:val="both"/>
      </w:pPr>
      <w:r>
        <w:rPr>
          <w:sz w:val="20"/>
        </w:rPr>
        <w:t xml:space="preserve">risk  phrases  R40  or R68, where the mass flow of the sum of the compounds</w:t>
      </w:r>
    </w:p>
    <w:p>
      <w:pPr>
        <w:pStyle w:val="1"/>
        <w:jc w:val="both"/>
      </w:pPr>
      <w:r>
        <w:rPr>
          <w:sz w:val="20"/>
        </w:rPr>
        <w:t xml:space="preserve">causing  the  hazard statements H341 or H351 or the labelling R40 or R68 is</w:t>
      </w:r>
    </w:p>
    <w:p>
      <w:pPr>
        <w:pStyle w:val="1"/>
        <w:jc w:val="both"/>
      </w:pPr>
      <w:r>
        <w:rPr>
          <w:sz w:val="20"/>
        </w:rPr>
        <w:t xml:space="preserve">                                                                          3</w:t>
      </w:r>
    </w:p>
    <w:p>
      <w:pPr>
        <w:pStyle w:val="1"/>
        <w:jc w:val="both"/>
      </w:pPr>
      <w:r>
        <w:rPr>
          <w:sz w:val="20"/>
        </w:rPr>
        <w:t xml:space="preserve">greater  than,  or  equal to, 100 g/h, an emission limit value of 20 mg/Nm</w:t>
      </w:r>
    </w:p>
    <w:p>
      <w:pPr>
        <w:pStyle w:val="1"/>
        <w:jc w:val="both"/>
      </w:pPr>
      <w:r>
        <w:rPr>
          <w:sz w:val="20"/>
        </w:rPr>
        <w:t xml:space="preserve">shall  be complied with. The emission limit value refers to the mass sum of</w:t>
      </w:r>
    </w:p>
    <w:p>
      <w:pPr>
        <w:pStyle w:val="1"/>
        <w:jc w:val="both"/>
      </w:pPr>
      <w:r>
        <w:rPr>
          <w:sz w:val="20"/>
        </w:rPr>
        <w:t xml:space="preserve">the individual compounds.</w:t>
      </w:r>
    </w:p>
    <w:p>
      <w:pPr>
        <w:pStyle w:val="0"/>
        <w:jc w:val="center"/>
      </w:pPr>
      <w:r>
        <w:rPr>
          <w:sz w:val="20"/>
        </w:rPr>
      </w:r>
    </w:p>
    <w:p>
      <w:pPr>
        <w:pStyle w:val="0"/>
        <w:outlineLvl w:val="2"/>
        <w:jc w:val="center"/>
      </w:pPr>
      <w:r>
        <w:rPr>
          <w:sz w:val="20"/>
        </w:rPr>
        <w:t xml:space="preserve">Article 83</w:t>
      </w:r>
    </w:p>
    <w:p>
      <w:pPr>
        <w:pStyle w:val="0"/>
        <w:jc w:val="center"/>
      </w:pPr>
      <w:r>
        <w:rPr>
          <w:sz w:val="20"/>
        </w:rPr>
      </w:r>
    </w:p>
    <w:p>
      <w:pPr>
        <w:pStyle w:val="0"/>
        <w:jc w:val="center"/>
      </w:pPr>
      <w:r>
        <w:rPr>
          <w:sz w:val="20"/>
        </w:rPr>
        <w:t xml:space="preserve">Entry into force</w:t>
      </w:r>
    </w:p>
    <w:p>
      <w:pPr>
        <w:pStyle w:val="0"/>
        <w:jc w:val="center"/>
      </w:pPr>
      <w:r>
        <w:rPr>
          <w:sz w:val="20"/>
        </w:rPr>
      </w:r>
    </w:p>
    <w:p>
      <w:pPr>
        <w:pStyle w:val="0"/>
        <w:ind w:firstLine="540"/>
        <w:jc w:val="both"/>
      </w:pPr>
      <w:r>
        <w:rPr>
          <w:sz w:val="20"/>
        </w:rPr>
        <w:t xml:space="preserve">This Directive shall enter into force on the 20th day following its publication in the Official Journal of the European Union.</w:t>
      </w:r>
    </w:p>
    <w:p>
      <w:pPr>
        <w:pStyle w:val="0"/>
        <w:jc w:val="center"/>
      </w:pPr>
      <w:r>
        <w:rPr>
          <w:sz w:val="20"/>
        </w:rPr>
      </w:r>
    </w:p>
    <w:p>
      <w:pPr>
        <w:pStyle w:val="0"/>
        <w:outlineLvl w:val="2"/>
        <w:jc w:val="center"/>
      </w:pPr>
      <w:r>
        <w:rPr>
          <w:sz w:val="20"/>
        </w:rPr>
        <w:t xml:space="preserve">Article 84</w:t>
      </w:r>
    </w:p>
    <w:p>
      <w:pPr>
        <w:pStyle w:val="0"/>
        <w:jc w:val="center"/>
      </w:pPr>
      <w:r>
        <w:rPr>
          <w:sz w:val="20"/>
        </w:rPr>
      </w:r>
    </w:p>
    <w:p>
      <w:pPr>
        <w:pStyle w:val="0"/>
        <w:jc w:val="center"/>
      </w:pPr>
      <w:r>
        <w:rPr>
          <w:sz w:val="20"/>
        </w:rPr>
        <w:t xml:space="preserve">Addressees</w:t>
      </w:r>
    </w:p>
    <w:p>
      <w:pPr>
        <w:pStyle w:val="0"/>
        <w:jc w:val="center"/>
      </w:pPr>
      <w:r>
        <w:rPr>
          <w:sz w:val="20"/>
        </w:rPr>
      </w:r>
    </w:p>
    <w:p>
      <w:pPr>
        <w:pStyle w:val="0"/>
        <w:ind w:firstLine="540"/>
        <w:jc w:val="both"/>
      </w:pPr>
      <w:r>
        <w:rPr>
          <w:sz w:val="20"/>
        </w:rPr>
        <w:t xml:space="preserve">This Directive is addressed to the Member States.</w:t>
      </w:r>
    </w:p>
    <w:p>
      <w:pPr>
        <w:pStyle w:val="0"/>
        <w:ind w:firstLine="540"/>
        <w:jc w:val="both"/>
      </w:pPr>
      <w:r>
        <w:rPr>
          <w:sz w:val="20"/>
        </w:rPr>
      </w:r>
    </w:p>
    <w:p>
      <w:pPr>
        <w:pStyle w:val="0"/>
        <w:ind w:firstLine="540"/>
        <w:jc w:val="both"/>
      </w:pPr>
      <w:r>
        <w:rPr>
          <w:sz w:val="20"/>
        </w:rPr>
        <w:t xml:space="preserve">Done at Strasbourg, 24 November 2010.</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Annex I</w:t>
      </w:r>
    </w:p>
    <w:p>
      <w:pPr>
        <w:pStyle w:val="0"/>
        <w:jc w:val="right"/>
      </w:pPr>
      <w:r>
        <w:rPr>
          <w:sz w:val="20"/>
        </w:rPr>
      </w:r>
    </w:p>
    <w:p>
      <w:pPr>
        <w:pStyle w:val="2"/>
        <w:jc w:val="center"/>
      </w:pPr>
      <w:r>
        <w:rPr>
          <w:sz w:val="20"/>
        </w:rPr>
        <w:t xml:space="preserve">CATEGORIES</w:t>
      </w:r>
    </w:p>
    <w:p>
      <w:pPr>
        <w:pStyle w:val="2"/>
        <w:jc w:val="center"/>
      </w:pPr>
      <w:r>
        <w:rPr>
          <w:sz w:val="20"/>
        </w:rPr>
        <w:t xml:space="preserve">OF ACTIVITIES REFERRED TO IN ARTICLE 10</w:t>
      </w:r>
    </w:p>
    <w:p>
      <w:pPr>
        <w:pStyle w:val="0"/>
        <w:jc w:val="center"/>
      </w:pPr>
      <w:r>
        <w:rPr>
          <w:sz w:val="20"/>
        </w:rPr>
      </w:r>
    </w:p>
    <w:p>
      <w:pPr>
        <w:pStyle w:val="0"/>
        <w:ind w:firstLine="540"/>
        <w:jc w:val="both"/>
      </w:pPr>
      <w:r>
        <w:rPr>
          <w:sz w:val="20"/>
        </w:rPr>
        <w:t xml:space="preserve">The threshold values given below generally refer to production capacities or outputs. Where several activities falling under the same activity description containing a threshold are operated in the same installation, the capacities of such activities are added together. For waste management activities, this calculation shall apply at the level of activities 5.1, 5.3 (a) and 5.3 (b).</w:t>
      </w:r>
    </w:p>
    <w:p>
      <w:pPr>
        <w:pStyle w:val="0"/>
        <w:spacing w:before="200" w:line-rule="auto"/>
        <w:ind w:firstLine="540"/>
        <w:jc w:val="both"/>
      </w:pPr>
      <w:r>
        <w:rPr>
          <w:sz w:val="20"/>
        </w:rPr>
        <w:t xml:space="preserve">The Commission shall establish guidance on:</w:t>
      </w:r>
    </w:p>
    <w:p>
      <w:pPr>
        <w:pStyle w:val="0"/>
        <w:spacing w:before="200" w:line-rule="auto"/>
        <w:ind w:firstLine="540"/>
        <w:jc w:val="both"/>
      </w:pPr>
      <w:r>
        <w:rPr>
          <w:sz w:val="20"/>
        </w:rPr>
        <w:t xml:space="preserve">(a) the relationship between waste management activities described in this Annex and those described in Annexes I and II to Directive 2008/98/EC; and</w:t>
      </w:r>
    </w:p>
    <w:p>
      <w:pPr>
        <w:pStyle w:val="0"/>
        <w:spacing w:before="200" w:line-rule="auto"/>
        <w:ind w:firstLine="540"/>
        <w:jc w:val="both"/>
      </w:pPr>
      <w:r>
        <w:rPr>
          <w:sz w:val="20"/>
        </w:rPr>
        <w:t xml:space="preserve">(b) the interpretation of the term "industrial scale" regarding the description of chemical industry activities described in this Annex.</w:t>
      </w:r>
    </w:p>
    <w:p>
      <w:pPr>
        <w:pStyle w:val="0"/>
        <w:spacing w:before="200" w:line-rule="auto"/>
        <w:ind w:firstLine="540"/>
        <w:jc w:val="both"/>
      </w:pPr>
      <w:r>
        <w:rPr>
          <w:sz w:val="20"/>
        </w:rPr>
        <w:t xml:space="preserve">1. Energy industries</w:t>
      </w:r>
    </w:p>
    <w:p>
      <w:pPr>
        <w:pStyle w:val="0"/>
        <w:spacing w:before="200" w:line-rule="auto"/>
        <w:ind w:firstLine="540"/>
        <w:jc w:val="both"/>
      </w:pPr>
      <w:r>
        <w:rPr>
          <w:sz w:val="20"/>
        </w:rPr>
        <w:t xml:space="preserve">1.1. Combustion of fuels in installations with a total rated thermal input of 50 MW or more</w:t>
      </w:r>
    </w:p>
    <w:p>
      <w:pPr>
        <w:pStyle w:val="0"/>
        <w:spacing w:before="200" w:line-rule="auto"/>
        <w:ind w:firstLine="540"/>
        <w:jc w:val="both"/>
      </w:pPr>
      <w:r>
        <w:rPr>
          <w:sz w:val="20"/>
        </w:rPr>
        <w:t xml:space="preserve">1.2. Refining of mineral oil and gas</w:t>
      </w:r>
    </w:p>
    <w:p>
      <w:pPr>
        <w:pStyle w:val="0"/>
        <w:spacing w:before="200" w:line-rule="auto"/>
        <w:ind w:firstLine="540"/>
        <w:jc w:val="both"/>
      </w:pPr>
      <w:r>
        <w:rPr>
          <w:sz w:val="20"/>
        </w:rPr>
        <w:t xml:space="preserve">1.3. Production of coke</w:t>
      </w:r>
    </w:p>
    <w:p>
      <w:pPr>
        <w:pStyle w:val="0"/>
        <w:spacing w:before="200" w:line-rule="auto"/>
        <w:ind w:firstLine="540"/>
        <w:jc w:val="both"/>
      </w:pPr>
      <w:r>
        <w:rPr>
          <w:sz w:val="20"/>
        </w:rPr>
        <w:t xml:space="preserve">1.4. Gasification or liquefaction of:</w:t>
      </w:r>
    </w:p>
    <w:p>
      <w:pPr>
        <w:pStyle w:val="0"/>
        <w:spacing w:before="200" w:line-rule="auto"/>
        <w:ind w:firstLine="540"/>
        <w:jc w:val="both"/>
      </w:pPr>
      <w:r>
        <w:rPr>
          <w:sz w:val="20"/>
        </w:rPr>
        <w:t xml:space="preserve">(a) coal;</w:t>
      </w:r>
    </w:p>
    <w:p>
      <w:pPr>
        <w:pStyle w:val="0"/>
        <w:spacing w:before="200" w:line-rule="auto"/>
        <w:ind w:firstLine="540"/>
        <w:jc w:val="both"/>
      </w:pPr>
      <w:r>
        <w:rPr>
          <w:sz w:val="20"/>
        </w:rPr>
        <w:t xml:space="preserve">(b) other fuels in installations with a total rated thermal input of 20 MW or more.</w:t>
      </w:r>
    </w:p>
    <w:p>
      <w:pPr>
        <w:pStyle w:val="0"/>
        <w:spacing w:before="200" w:line-rule="auto"/>
        <w:ind w:firstLine="540"/>
        <w:jc w:val="both"/>
      </w:pPr>
      <w:r>
        <w:rPr>
          <w:sz w:val="20"/>
        </w:rPr>
        <w:t xml:space="preserve">2. Production and processing of metals</w:t>
      </w:r>
    </w:p>
    <w:p>
      <w:pPr>
        <w:pStyle w:val="0"/>
        <w:spacing w:before="200" w:line-rule="auto"/>
        <w:ind w:firstLine="540"/>
        <w:jc w:val="both"/>
      </w:pPr>
      <w:r>
        <w:rPr>
          <w:sz w:val="20"/>
        </w:rPr>
        <w:t xml:space="preserve">2.1. Metal ore (including sulphide ore) roasting or sintering</w:t>
      </w:r>
    </w:p>
    <w:p>
      <w:pPr>
        <w:pStyle w:val="0"/>
        <w:spacing w:before="200" w:line-rule="auto"/>
        <w:ind w:firstLine="540"/>
        <w:jc w:val="both"/>
      </w:pPr>
      <w:r>
        <w:rPr>
          <w:sz w:val="20"/>
        </w:rPr>
        <w:t xml:space="preserve">2.2. Production of pig iron or steel (primary or secondary fusion) including continuous casting, with a capacity exceeding 2,5 tonnes per hour</w:t>
      </w:r>
    </w:p>
    <w:p>
      <w:pPr>
        <w:pStyle w:val="0"/>
        <w:spacing w:before="200" w:line-rule="auto"/>
        <w:ind w:firstLine="540"/>
        <w:jc w:val="both"/>
      </w:pPr>
      <w:r>
        <w:rPr>
          <w:sz w:val="20"/>
        </w:rPr>
        <w:t xml:space="preserve">2.3. Processing of ferrous metals:</w:t>
      </w:r>
    </w:p>
    <w:p>
      <w:pPr>
        <w:pStyle w:val="0"/>
        <w:spacing w:before="200" w:line-rule="auto"/>
        <w:ind w:firstLine="540"/>
        <w:jc w:val="both"/>
      </w:pPr>
      <w:r>
        <w:rPr>
          <w:sz w:val="20"/>
        </w:rPr>
        <w:t xml:space="preserve">(a) operation of hot-rolling mills with a capacity exceeding 20 tonnes of crude steel per hour;</w:t>
      </w:r>
    </w:p>
    <w:p>
      <w:pPr>
        <w:pStyle w:val="0"/>
        <w:spacing w:before="200" w:line-rule="auto"/>
        <w:ind w:firstLine="540"/>
        <w:jc w:val="both"/>
      </w:pPr>
      <w:r>
        <w:rPr>
          <w:sz w:val="20"/>
        </w:rPr>
        <w:t xml:space="preserve">(b) operation of smitheries with hammers the energy of which exceeds 50 kilojoule per hammer, where the calorific power used exceeds 20 MW;</w:t>
      </w:r>
    </w:p>
    <w:p>
      <w:pPr>
        <w:pStyle w:val="0"/>
        <w:spacing w:before="200" w:line-rule="auto"/>
        <w:ind w:firstLine="540"/>
        <w:jc w:val="both"/>
      </w:pPr>
      <w:r>
        <w:rPr>
          <w:sz w:val="20"/>
        </w:rPr>
        <w:t xml:space="preserve">(c) application of protective fused metal coats with an input exceeding 2 tonnes of crude steel per hour.</w:t>
      </w:r>
    </w:p>
    <w:p>
      <w:pPr>
        <w:pStyle w:val="0"/>
        <w:spacing w:before="200" w:line-rule="auto"/>
        <w:ind w:firstLine="540"/>
        <w:jc w:val="both"/>
      </w:pPr>
      <w:r>
        <w:rPr>
          <w:sz w:val="20"/>
        </w:rPr>
        <w:t xml:space="preserve">2.4. Operation of ferrous metal foundries with a production capacity exceeding 20 tonnes per day</w:t>
      </w:r>
    </w:p>
    <w:p>
      <w:pPr>
        <w:pStyle w:val="0"/>
        <w:spacing w:before="200" w:line-rule="auto"/>
        <w:ind w:firstLine="540"/>
        <w:jc w:val="both"/>
      </w:pPr>
      <w:r>
        <w:rPr>
          <w:sz w:val="20"/>
        </w:rPr>
        <w:t xml:space="preserve">2.5. Processing of non-ferrous metals:</w:t>
      </w:r>
    </w:p>
    <w:p>
      <w:pPr>
        <w:pStyle w:val="0"/>
        <w:spacing w:before="200" w:line-rule="auto"/>
        <w:ind w:firstLine="540"/>
        <w:jc w:val="both"/>
      </w:pPr>
      <w:r>
        <w:rPr>
          <w:sz w:val="20"/>
        </w:rPr>
        <w:t xml:space="preserve">(a) production of non-ferrous crude metals from ore, concentrates or secondary raw materials by metallurgical, chemical or electrolytic processes;</w:t>
      </w:r>
    </w:p>
    <w:p>
      <w:pPr>
        <w:pStyle w:val="0"/>
        <w:spacing w:before="200" w:line-rule="auto"/>
        <w:ind w:firstLine="540"/>
        <w:jc w:val="both"/>
      </w:pPr>
      <w:r>
        <w:rPr>
          <w:sz w:val="20"/>
        </w:rPr>
        <w:t xml:space="preserve">(b) melting, including the alloyage, of non-ferrous metals, including recovered products and operation of non-ferrous metal foundries, with a melting capacity exceeding 4 tonnes per day for lead and cadmium or 20 tonnes per day for all other metals.</w:t>
      </w:r>
    </w:p>
    <w:p>
      <w:pPr>
        <w:pStyle w:val="1"/>
        <w:spacing w:before="200" w:line-rule="auto"/>
        <w:jc w:val="both"/>
      </w:pPr>
      <w:r>
        <w:rPr>
          <w:sz w:val="20"/>
        </w:rPr>
        <w:t xml:space="preserve">    2.6.  Surface  treatment  of  metals  or  plastic  materials  using  an</w:t>
      </w:r>
    </w:p>
    <w:p>
      <w:pPr>
        <w:pStyle w:val="1"/>
        <w:jc w:val="both"/>
      </w:pPr>
      <w:r>
        <w:rPr>
          <w:sz w:val="20"/>
        </w:rPr>
        <w:t xml:space="preserve">electrolytic  or  chemical  process  where the volume of the treatment vats</w:t>
      </w:r>
    </w:p>
    <w:p>
      <w:pPr>
        <w:pStyle w:val="1"/>
        <w:jc w:val="both"/>
      </w:pPr>
      <w:r>
        <w:rPr>
          <w:sz w:val="20"/>
        </w:rPr>
        <w:t xml:space="preserve">            3</w:t>
      </w:r>
    </w:p>
    <w:p>
      <w:pPr>
        <w:pStyle w:val="1"/>
        <w:jc w:val="both"/>
      </w:pPr>
      <w:r>
        <w:rPr>
          <w:sz w:val="20"/>
        </w:rPr>
        <w:t xml:space="preserve">exceeds 30 m</w:t>
      </w:r>
    </w:p>
    <w:p>
      <w:pPr>
        <w:pStyle w:val="0"/>
        <w:ind w:firstLine="540"/>
        <w:jc w:val="both"/>
      </w:pPr>
      <w:r>
        <w:rPr>
          <w:sz w:val="20"/>
        </w:rPr>
        <w:t xml:space="preserve">3. Mineral industry</w:t>
      </w:r>
    </w:p>
    <w:p>
      <w:pPr>
        <w:pStyle w:val="0"/>
        <w:spacing w:before="200" w:line-rule="auto"/>
        <w:ind w:firstLine="540"/>
        <w:jc w:val="both"/>
      </w:pPr>
      <w:r>
        <w:rPr>
          <w:sz w:val="20"/>
        </w:rPr>
        <w:t xml:space="preserve">3.1. Production of cement, lime and magnesium oxide:</w:t>
      </w:r>
    </w:p>
    <w:p>
      <w:pPr>
        <w:pStyle w:val="0"/>
        <w:spacing w:before="200" w:line-rule="auto"/>
        <w:ind w:firstLine="540"/>
        <w:jc w:val="both"/>
      </w:pPr>
      <w:r>
        <w:rPr>
          <w:sz w:val="20"/>
        </w:rPr>
        <w:t xml:space="preserve">(a) production of cement clinker in rotary kilns with a production capacity exceeding 500 tonnes per day or in other kilns with a production capacity exceeding 50 tonnes per day;</w:t>
      </w:r>
    </w:p>
    <w:p>
      <w:pPr>
        <w:pStyle w:val="0"/>
        <w:spacing w:before="200" w:line-rule="auto"/>
        <w:ind w:firstLine="540"/>
        <w:jc w:val="both"/>
      </w:pPr>
      <w:r>
        <w:rPr>
          <w:sz w:val="20"/>
        </w:rPr>
        <w:t xml:space="preserve">(b) production of lime in kilns with a production capacity exceeding 50 tonnes per day;</w:t>
      </w:r>
    </w:p>
    <w:p>
      <w:pPr>
        <w:pStyle w:val="0"/>
        <w:spacing w:before="200" w:line-rule="auto"/>
        <w:ind w:firstLine="540"/>
        <w:jc w:val="both"/>
      </w:pPr>
      <w:r>
        <w:rPr>
          <w:sz w:val="20"/>
        </w:rPr>
        <w:t xml:space="preserve">(c) production of magnesium oxide in kilns with a production capacity exceeding 50 tonnes per day.</w:t>
      </w:r>
    </w:p>
    <w:p>
      <w:pPr>
        <w:pStyle w:val="0"/>
        <w:spacing w:before="200" w:line-rule="auto"/>
        <w:ind w:firstLine="540"/>
        <w:jc w:val="both"/>
      </w:pPr>
      <w:r>
        <w:rPr>
          <w:sz w:val="20"/>
        </w:rPr>
        <w:t xml:space="preserve">3.2. Production of asbestos or the manufacture of asbestos-based products</w:t>
      </w:r>
    </w:p>
    <w:p>
      <w:pPr>
        <w:pStyle w:val="0"/>
        <w:spacing w:before="200" w:line-rule="auto"/>
        <w:ind w:firstLine="540"/>
        <w:jc w:val="both"/>
      </w:pPr>
      <w:r>
        <w:rPr>
          <w:sz w:val="20"/>
        </w:rPr>
        <w:t xml:space="preserve">3.3. Manufacture of glass including glass fibre with a melting capacity exceeding 20 tonnes per day</w:t>
      </w:r>
    </w:p>
    <w:p>
      <w:pPr>
        <w:pStyle w:val="0"/>
        <w:spacing w:before="200" w:line-rule="auto"/>
        <w:ind w:firstLine="540"/>
        <w:jc w:val="both"/>
      </w:pPr>
      <w:r>
        <w:rPr>
          <w:sz w:val="20"/>
        </w:rPr>
        <w:t xml:space="preserve">3.4. Melting mineral substances including the production of mineral fibres with a melting capacity exceeding 20 tonnes per day</w:t>
      </w:r>
    </w:p>
    <w:p>
      <w:pPr>
        <w:pStyle w:val="1"/>
        <w:spacing w:before="200" w:line-rule="auto"/>
        <w:jc w:val="both"/>
      </w:pPr>
      <w:r>
        <w:rPr>
          <w:sz w:val="20"/>
        </w:rPr>
        <w:t xml:space="preserve">    3.5.  Manufacture  of ceramic products by firing, in particular roofing</w:t>
      </w:r>
    </w:p>
    <w:p>
      <w:pPr>
        <w:pStyle w:val="1"/>
        <w:jc w:val="both"/>
      </w:pPr>
      <w:r>
        <w:rPr>
          <w:sz w:val="20"/>
        </w:rPr>
        <w:t xml:space="preserve">tiles,  bricks,  refractory  bricks,  tiles,  stoneware or porcelain with a</w:t>
      </w:r>
    </w:p>
    <w:p>
      <w:pPr>
        <w:pStyle w:val="1"/>
        <w:jc w:val="both"/>
      </w:pPr>
      <w:r>
        <w:rPr>
          <w:sz w:val="20"/>
        </w:rPr>
        <w:t xml:space="preserve">production capacity exceeding 75 tonnes per day and/or with a kiln capacity</w:t>
      </w:r>
    </w:p>
    <w:p>
      <w:pPr>
        <w:pStyle w:val="1"/>
        <w:jc w:val="both"/>
      </w:pPr>
      <w:r>
        <w:rPr>
          <w:sz w:val="20"/>
        </w:rPr>
        <w:t xml:space="preserve">             3                                                       3</w:t>
      </w:r>
    </w:p>
    <w:p>
      <w:pPr>
        <w:pStyle w:val="1"/>
        <w:jc w:val="both"/>
      </w:pPr>
      <w:r>
        <w:rPr>
          <w:sz w:val="20"/>
        </w:rPr>
        <w:t xml:space="preserve">exceeding 4 m  and with a setting density per kiln exceeding 300 kg/m</w:t>
      </w:r>
    </w:p>
    <w:p>
      <w:pPr>
        <w:pStyle w:val="0"/>
        <w:ind w:firstLine="540"/>
        <w:jc w:val="both"/>
      </w:pPr>
      <w:r>
        <w:rPr>
          <w:sz w:val="20"/>
        </w:rPr>
        <w:t xml:space="preserve">4. Chemical industry</w:t>
      </w:r>
    </w:p>
    <w:p>
      <w:pPr>
        <w:pStyle w:val="0"/>
        <w:spacing w:before="200" w:line-rule="auto"/>
        <w:ind w:firstLine="540"/>
        <w:jc w:val="both"/>
      </w:pPr>
      <w:r>
        <w:rPr>
          <w:sz w:val="20"/>
        </w:rPr>
        <w:t xml:space="preserve">For the purpose of this section, production within the meaning of the categories of activities contained in this section means the production on an industrial scale by chemical or biological processing of substances or groups of substances listed in points 4.1 to 4.6</w:t>
      </w:r>
    </w:p>
    <w:p>
      <w:pPr>
        <w:pStyle w:val="0"/>
        <w:spacing w:before="200" w:line-rule="auto"/>
        <w:ind w:firstLine="540"/>
        <w:jc w:val="both"/>
      </w:pPr>
      <w:r>
        <w:rPr>
          <w:sz w:val="20"/>
        </w:rPr>
        <w:t xml:space="preserve">4.1. Production of organic chemicals, such as:</w:t>
      </w:r>
    </w:p>
    <w:p>
      <w:pPr>
        <w:pStyle w:val="0"/>
        <w:spacing w:before="200" w:line-rule="auto"/>
        <w:ind w:firstLine="540"/>
        <w:jc w:val="both"/>
      </w:pPr>
      <w:r>
        <w:rPr>
          <w:sz w:val="20"/>
        </w:rPr>
        <w:t xml:space="preserve">(a) simple hydrocarbons (linear or cyclic, saturated or unsaturated, aliphatic or aromatic);</w:t>
      </w:r>
    </w:p>
    <w:p>
      <w:pPr>
        <w:pStyle w:val="0"/>
        <w:spacing w:before="200" w:line-rule="auto"/>
        <w:ind w:firstLine="540"/>
        <w:jc w:val="both"/>
      </w:pPr>
      <w:r>
        <w:rPr>
          <w:sz w:val="20"/>
        </w:rPr>
        <w:t xml:space="preserve">(b) oxygen-containing hydrocarbons such as alcohols, aldehydes, ketones, carboxylic acids, esters and mixtures of esters, acetates, ethers, peroxides and epoxy resins;</w:t>
      </w:r>
    </w:p>
    <w:p>
      <w:pPr>
        <w:pStyle w:val="0"/>
        <w:spacing w:before="200" w:line-rule="auto"/>
        <w:ind w:firstLine="540"/>
        <w:jc w:val="both"/>
      </w:pPr>
      <w:r>
        <w:rPr>
          <w:sz w:val="20"/>
        </w:rPr>
        <w:t xml:space="preserve">(c) sulphurous hydrocarbons;</w:t>
      </w:r>
    </w:p>
    <w:p>
      <w:pPr>
        <w:pStyle w:val="0"/>
        <w:spacing w:before="200" w:line-rule="auto"/>
        <w:ind w:firstLine="540"/>
        <w:jc w:val="both"/>
      </w:pPr>
      <w:r>
        <w:rPr>
          <w:sz w:val="20"/>
        </w:rPr>
        <w:t xml:space="preserve">(d) nitrogenous hydrocarbons such as amines, amides, nitrous compounds, nitro compounds or nitrate compounds, nitriles, cyanates, isocyanates;</w:t>
      </w:r>
    </w:p>
    <w:p>
      <w:pPr>
        <w:pStyle w:val="0"/>
        <w:spacing w:before="200" w:line-rule="auto"/>
        <w:ind w:firstLine="540"/>
        <w:jc w:val="both"/>
      </w:pPr>
      <w:r>
        <w:rPr>
          <w:sz w:val="20"/>
        </w:rPr>
        <w:t xml:space="preserve">(e) phosphorus-containing hydrocarbons;</w:t>
      </w:r>
    </w:p>
    <w:p>
      <w:pPr>
        <w:pStyle w:val="0"/>
        <w:spacing w:before="200" w:line-rule="auto"/>
        <w:ind w:firstLine="540"/>
        <w:jc w:val="both"/>
      </w:pPr>
      <w:r>
        <w:rPr>
          <w:sz w:val="20"/>
        </w:rPr>
        <w:t xml:space="preserve">(f) halogenic hydrocarbons;</w:t>
      </w:r>
    </w:p>
    <w:p>
      <w:pPr>
        <w:pStyle w:val="0"/>
        <w:spacing w:before="200" w:line-rule="auto"/>
        <w:ind w:firstLine="540"/>
        <w:jc w:val="both"/>
      </w:pPr>
      <w:r>
        <w:rPr>
          <w:sz w:val="20"/>
        </w:rPr>
        <w:t xml:space="preserve">(g) organometallic compounds;</w:t>
      </w:r>
    </w:p>
    <w:p>
      <w:pPr>
        <w:pStyle w:val="0"/>
        <w:spacing w:before="200" w:line-rule="auto"/>
        <w:ind w:firstLine="540"/>
        <w:jc w:val="both"/>
      </w:pPr>
      <w:r>
        <w:rPr>
          <w:sz w:val="20"/>
        </w:rPr>
        <w:t xml:space="preserve">(h) plastic materials (polymers, synthetic fibres and cellulose-based fibres);</w:t>
      </w:r>
    </w:p>
    <w:p>
      <w:pPr>
        <w:pStyle w:val="0"/>
        <w:spacing w:before="200" w:line-rule="auto"/>
        <w:ind w:firstLine="540"/>
        <w:jc w:val="both"/>
      </w:pPr>
      <w:r>
        <w:rPr>
          <w:sz w:val="20"/>
        </w:rPr>
        <w:t xml:space="preserve">(i) synthetic rubbers;</w:t>
      </w:r>
    </w:p>
    <w:p>
      <w:pPr>
        <w:pStyle w:val="0"/>
        <w:spacing w:before="200" w:line-rule="auto"/>
        <w:ind w:firstLine="540"/>
        <w:jc w:val="both"/>
      </w:pPr>
      <w:r>
        <w:rPr>
          <w:sz w:val="20"/>
        </w:rPr>
        <w:t xml:space="preserve">(j) dyes and pigments;</w:t>
      </w:r>
    </w:p>
    <w:p>
      <w:pPr>
        <w:pStyle w:val="0"/>
        <w:spacing w:before="200" w:line-rule="auto"/>
        <w:ind w:firstLine="540"/>
        <w:jc w:val="both"/>
      </w:pPr>
      <w:r>
        <w:rPr>
          <w:sz w:val="20"/>
        </w:rPr>
        <w:t xml:space="preserve">(k) surface-active agents and surfactants.</w:t>
      </w:r>
    </w:p>
    <w:p>
      <w:pPr>
        <w:pStyle w:val="0"/>
        <w:spacing w:before="200" w:line-rule="auto"/>
        <w:ind w:firstLine="540"/>
        <w:jc w:val="both"/>
      </w:pPr>
      <w:r>
        <w:rPr>
          <w:sz w:val="20"/>
        </w:rPr>
        <w:t xml:space="preserve">4.2. Production of inorganic chemicals, such as:</w:t>
      </w:r>
    </w:p>
    <w:p>
      <w:pPr>
        <w:pStyle w:val="0"/>
        <w:spacing w:before="200" w:line-rule="auto"/>
        <w:ind w:firstLine="540"/>
        <w:jc w:val="both"/>
      </w:pPr>
      <w:r>
        <w:rPr>
          <w:sz w:val="20"/>
        </w:rPr>
        <w:t xml:space="preserve">(a) gases, such as ammonia, chlorine or hydrogen chloride, fluorine or hydrogen fluoride, carbon oxides, sulphur compounds, nitrogen oxides, hydrogen, sulphur dioxide, carbonyl chloride;</w:t>
      </w:r>
    </w:p>
    <w:p>
      <w:pPr>
        <w:pStyle w:val="0"/>
        <w:spacing w:before="200" w:line-rule="auto"/>
        <w:ind w:firstLine="540"/>
        <w:jc w:val="both"/>
      </w:pPr>
      <w:r>
        <w:rPr>
          <w:sz w:val="20"/>
        </w:rPr>
        <w:t xml:space="preserve">(b) acids, such as chromic acid, hydrofluoric acid, phosphoric acid, nitric acid, hydrochloric acid, sulphuric acid, oleum, sulphurous acids;</w:t>
      </w:r>
    </w:p>
    <w:p>
      <w:pPr>
        <w:pStyle w:val="0"/>
        <w:spacing w:before="200" w:line-rule="auto"/>
        <w:ind w:firstLine="540"/>
        <w:jc w:val="both"/>
      </w:pPr>
      <w:r>
        <w:rPr>
          <w:sz w:val="20"/>
        </w:rPr>
        <w:t xml:space="preserve">(c) bases, such as ammonium hydroxide, potassium hydroxide, sodium hydroxide;</w:t>
      </w:r>
    </w:p>
    <w:p>
      <w:pPr>
        <w:pStyle w:val="0"/>
        <w:spacing w:before="200" w:line-rule="auto"/>
        <w:ind w:firstLine="540"/>
        <w:jc w:val="both"/>
      </w:pPr>
      <w:r>
        <w:rPr>
          <w:sz w:val="20"/>
        </w:rPr>
        <w:t xml:space="preserve">(d) salts, such as ammonium chloride, potassium chlorate, potassium carbonate, sodium carbonate, perborate, silver nitrate;</w:t>
      </w:r>
    </w:p>
    <w:p>
      <w:pPr>
        <w:pStyle w:val="0"/>
        <w:spacing w:before="200" w:line-rule="auto"/>
        <w:ind w:firstLine="540"/>
        <w:jc w:val="both"/>
      </w:pPr>
      <w:r>
        <w:rPr>
          <w:sz w:val="20"/>
        </w:rPr>
        <w:t xml:space="preserve">(e) non-metals, metal oxides or other inorganic compounds such as calcium carbide, silicon, silicon carbide.</w:t>
      </w:r>
    </w:p>
    <w:p>
      <w:pPr>
        <w:pStyle w:val="0"/>
        <w:spacing w:before="200" w:line-rule="auto"/>
        <w:ind w:firstLine="540"/>
        <w:jc w:val="both"/>
      </w:pPr>
      <w:r>
        <w:rPr>
          <w:sz w:val="20"/>
        </w:rPr>
        <w:t xml:space="preserve">4.3. Production of phosphorous-, nitrogen- or potassium-based fertilisers (simple or compound fertilisers)</w:t>
      </w:r>
    </w:p>
    <w:p>
      <w:pPr>
        <w:pStyle w:val="0"/>
        <w:spacing w:before="200" w:line-rule="auto"/>
        <w:ind w:firstLine="540"/>
        <w:jc w:val="both"/>
      </w:pPr>
      <w:r>
        <w:rPr>
          <w:sz w:val="20"/>
        </w:rPr>
        <w:t xml:space="preserve">4.4. Production of plant protection products or of biocides</w:t>
      </w:r>
    </w:p>
    <w:p>
      <w:pPr>
        <w:pStyle w:val="0"/>
        <w:spacing w:before="200" w:line-rule="auto"/>
        <w:ind w:firstLine="540"/>
        <w:jc w:val="both"/>
      </w:pPr>
      <w:r>
        <w:rPr>
          <w:sz w:val="20"/>
        </w:rPr>
        <w:t xml:space="preserve">4.5. Production of pharmaceutical products including intermediates</w:t>
      </w:r>
    </w:p>
    <w:p>
      <w:pPr>
        <w:pStyle w:val="0"/>
        <w:spacing w:before="200" w:line-rule="auto"/>
        <w:ind w:firstLine="540"/>
        <w:jc w:val="both"/>
      </w:pPr>
      <w:r>
        <w:rPr>
          <w:sz w:val="20"/>
        </w:rPr>
        <w:t xml:space="preserve">4.6. Production of explosives</w:t>
      </w:r>
    </w:p>
    <w:p>
      <w:pPr>
        <w:pStyle w:val="0"/>
        <w:spacing w:before="200" w:line-rule="auto"/>
        <w:ind w:firstLine="540"/>
        <w:jc w:val="both"/>
      </w:pPr>
      <w:r>
        <w:rPr>
          <w:sz w:val="20"/>
        </w:rPr>
        <w:t xml:space="preserve">5. Waste management</w:t>
      </w:r>
    </w:p>
    <w:p>
      <w:pPr>
        <w:pStyle w:val="0"/>
        <w:spacing w:before="200" w:line-rule="auto"/>
        <w:ind w:firstLine="540"/>
        <w:jc w:val="both"/>
      </w:pPr>
      <w:r>
        <w:rPr>
          <w:sz w:val="20"/>
        </w:rPr>
        <w:t xml:space="preserve">5.1. Disposal or recovery of hazardous waste with a capacity exceeding 10 tonnes per day involving one or more of the following activities:</w:t>
      </w:r>
    </w:p>
    <w:p>
      <w:pPr>
        <w:pStyle w:val="0"/>
        <w:spacing w:before="200" w:line-rule="auto"/>
        <w:ind w:firstLine="540"/>
        <w:jc w:val="both"/>
      </w:pPr>
      <w:r>
        <w:rPr>
          <w:sz w:val="20"/>
        </w:rPr>
        <w:t xml:space="preserve">(a) biological treatment;</w:t>
      </w:r>
    </w:p>
    <w:p>
      <w:pPr>
        <w:pStyle w:val="0"/>
        <w:spacing w:before="200" w:line-rule="auto"/>
        <w:ind w:firstLine="540"/>
        <w:jc w:val="both"/>
      </w:pPr>
      <w:r>
        <w:rPr>
          <w:sz w:val="20"/>
        </w:rPr>
        <w:t xml:space="preserve">(b) physico-chemical treatment;</w:t>
      </w:r>
    </w:p>
    <w:p>
      <w:pPr>
        <w:pStyle w:val="0"/>
        <w:spacing w:before="200" w:line-rule="auto"/>
        <w:ind w:firstLine="540"/>
        <w:jc w:val="both"/>
      </w:pPr>
      <w:r>
        <w:rPr>
          <w:sz w:val="20"/>
        </w:rPr>
        <w:t xml:space="preserve">(c) blending or mixing prior to submission to any of the other activities listed in points 5.1 and 5.2;</w:t>
      </w:r>
    </w:p>
    <w:p>
      <w:pPr>
        <w:pStyle w:val="0"/>
        <w:spacing w:before="200" w:line-rule="auto"/>
        <w:ind w:firstLine="540"/>
        <w:jc w:val="both"/>
      </w:pPr>
      <w:r>
        <w:rPr>
          <w:sz w:val="20"/>
        </w:rPr>
        <w:t xml:space="preserve">(d) repackaging prior to submission to any of the other activities listed in points 5.1 and 5.2;</w:t>
      </w:r>
    </w:p>
    <w:p>
      <w:pPr>
        <w:pStyle w:val="0"/>
        <w:spacing w:before="200" w:line-rule="auto"/>
        <w:ind w:firstLine="540"/>
        <w:jc w:val="both"/>
      </w:pPr>
      <w:r>
        <w:rPr>
          <w:sz w:val="20"/>
        </w:rPr>
        <w:t xml:space="preserve">(e) solvent reclamation/regeneration;</w:t>
      </w:r>
    </w:p>
    <w:p>
      <w:pPr>
        <w:pStyle w:val="0"/>
        <w:spacing w:before="200" w:line-rule="auto"/>
        <w:ind w:firstLine="540"/>
        <w:jc w:val="both"/>
      </w:pPr>
      <w:r>
        <w:rPr>
          <w:sz w:val="20"/>
        </w:rPr>
        <w:t xml:space="preserve">(f) recycling/reclamation of inorganic materials other than metals or metal compounds;</w:t>
      </w:r>
    </w:p>
    <w:p>
      <w:pPr>
        <w:pStyle w:val="0"/>
        <w:spacing w:before="200" w:line-rule="auto"/>
        <w:ind w:firstLine="540"/>
        <w:jc w:val="both"/>
      </w:pPr>
      <w:r>
        <w:rPr>
          <w:sz w:val="20"/>
        </w:rPr>
        <w:t xml:space="preserve">(g) regeneration of acids or bases;</w:t>
      </w:r>
    </w:p>
    <w:p>
      <w:pPr>
        <w:pStyle w:val="0"/>
        <w:spacing w:before="200" w:line-rule="auto"/>
        <w:ind w:firstLine="540"/>
        <w:jc w:val="both"/>
      </w:pPr>
      <w:r>
        <w:rPr>
          <w:sz w:val="20"/>
        </w:rPr>
        <w:t xml:space="preserve">(h) recovery of components used for pollution abatement; (i) recovery of components from catalysts;</w:t>
      </w:r>
    </w:p>
    <w:p>
      <w:pPr>
        <w:pStyle w:val="0"/>
        <w:spacing w:before="200" w:line-rule="auto"/>
        <w:ind w:firstLine="540"/>
        <w:jc w:val="both"/>
      </w:pPr>
      <w:r>
        <w:rPr>
          <w:sz w:val="20"/>
        </w:rPr>
        <w:t xml:space="preserve">(j) oil re-refining or other reuses of oil;</w:t>
      </w:r>
    </w:p>
    <w:p>
      <w:pPr>
        <w:pStyle w:val="0"/>
        <w:spacing w:before="200" w:line-rule="auto"/>
        <w:ind w:firstLine="540"/>
        <w:jc w:val="both"/>
      </w:pPr>
      <w:r>
        <w:rPr>
          <w:sz w:val="20"/>
        </w:rPr>
        <w:t xml:space="preserve">(k) surface impoundment.</w:t>
      </w:r>
    </w:p>
    <w:p>
      <w:pPr>
        <w:pStyle w:val="0"/>
        <w:spacing w:before="200" w:line-rule="auto"/>
        <w:ind w:firstLine="540"/>
        <w:jc w:val="both"/>
      </w:pPr>
      <w:r>
        <w:rPr>
          <w:sz w:val="20"/>
        </w:rPr>
        <w:t xml:space="preserve">5.2. Disposal or recovery of waste in waste incineration plants or in waste co-incineration plants:</w:t>
      </w:r>
    </w:p>
    <w:p>
      <w:pPr>
        <w:pStyle w:val="0"/>
        <w:spacing w:before="200" w:line-rule="auto"/>
        <w:ind w:firstLine="540"/>
        <w:jc w:val="both"/>
      </w:pPr>
      <w:r>
        <w:rPr>
          <w:sz w:val="20"/>
        </w:rPr>
        <w:t xml:space="preserve">(a) for non-hazardous waste with a capacity exceeding 3 tonnes per hour;</w:t>
      </w:r>
    </w:p>
    <w:p>
      <w:pPr>
        <w:pStyle w:val="0"/>
        <w:spacing w:before="200" w:line-rule="auto"/>
        <w:ind w:firstLine="540"/>
        <w:jc w:val="both"/>
      </w:pPr>
      <w:r>
        <w:rPr>
          <w:sz w:val="20"/>
        </w:rPr>
        <w:t xml:space="preserve">(b) for hazardous waste with a capacity exceeding 10 tonnes per day.</w:t>
      </w:r>
    </w:p>
    <w:p>
      <w:pPr>
        <w:pStyle w:val="0"/>
        <w:spacing w:before="200" w:line-rule="auto"/>
        <w:ind w:firstLine="540"/>
        <w:jc w:val="both"/>
      </w:pPr>
      <w:r>
        <w:rPr>
          <w:sz w:val="20"/>
        </w:rPr>
        <w:t xml:space="preserve">5.3. (a) Disposal of non-hazardous waste with a capacity exceeding 50 tonnes per day involving one or more of the following activities, and excluding activities covered by Council Directive 91/271/EEC of 21 May 1991 concerning urban waste-water treatment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L 135, 30.5.1991, p. 40.</w:t>
      </w:r>
    </w:p>
    <w:p>
      <w:pPr>
        <w:pStyle w:val="0"/>
        <w:ind w:firstLine="540"/>
        <w:jc w:val="both"/>
      </w:pPr>
      <w:r>
        <w:rPr>
          <w:sz w:val="20"/>
        </w:rPr>
      </w:r>
    </w:p>
    <w:p>
      <w:pPr>
        <w:pStyle w:val="0"/>
        <w:ind w:firstLine="540"/>
        <w:jc w:val="both"/>
      </w:pPr>
      <w:r>
        <w:rPr>
          <w:sz w:val="20"/>
        </w:rPr>
        <w:t xml:space="preserve">(i) biological treatment;</w:t>
      </w:r>
    </w:p>
    <w:p>
      <w:pPr>
        <w:pStyle w:val="0"/>
        <w:spacing w:before="200" w:line-rule="auto"/>
        <w:ind w:firstLine="540"/>
        <w:jc w:val="both"/>
      </w:pPr>
      <w:r>
        <w:rPr>
          <w:sz w:val="20"/>
        </w:rPr>
        <w:t xml:space="preserve">(ii) physico-chemical treatment;</w:t>
      </w:r>
    </w:p>
    <w:p>
      <w:pPr>
        <w:pStyle w:val="0"/>
        <w:spacing w:before="200" w:line-rule="auto"/>
        <w:ind w:firstLine="540"/>
        <w:jc w:val="both"/>
      </w:pPr>
      <w:r>
        <w:rPr>
          <w:sz w:val="20"/>
        </w:rPr>
        <w:t xml:space="preserve">(iii) pre-treatment of waste for incineration or co-incineration;</w:t>
      </w:r>
    </w:p>
    <w:p>
      <w:pPr>
        <w:pStyle w:val="0"/>
        <w:spacing w:before="200" w:line-rule="auto"/>
        <w:ind w:firstLine="540"/>
        <w:jc w:val="both"/>
      </w:pPr>
      <w:r>
        <w:rPr>
          <w:sz w:val="20"/>
        </w:rPr>
        <w:t xml:space="preserve">(iv) treatment of slags and ashes;</w:t>
      </w:r>
    </w:p>
    <w:p>
      <w:pPr>
        <w:pStyle w:val="0"/>
        <w:spacing w:before="200" w:line-rule="auto"/>
        <w:ind w:firstLine="540"/>
        <w:jc w:val="both"/>
      </w:pPr>
      <w:r>
        <w:rPr>
          <w:sz w:val="20"/>
        </w:rPr>
        <w:t xml:space="preserve">(v) treatment in shredders of metal waste, including waste electrical and electronic equipment and end-of-life vehicles and their components.</w:t>
      </w:r>
    </w:p>
    <w:p>
      <w:pPr>
        <w:pStyle w:val="0"/>
        <w:spacing w:before="200" w:line-rule="auto"/>
        <w:ind w:firstLine="540"/>
        <w:jc w:val="both"/>
      </w:pPr>
      <w:r>
        <w:rPr>
          <w:sz w:val="20"/>
        </w:rPr>
        <w:t xml:space="preserve">(b) Recovery, or a mix of recovery and disposal, of non-hazardous waste with a capacity exceeding 75 tonnes per day involving one or more of the following activities, and excluding activities covered by Directive 91/271/EEC:</w:t>
      </w:r>
    </w:p>
    <w:p>
      <w:pPr>
        <w:pStyle w:val="0"/>
        <w:spacing w:before="200" w:line-rule="auto"/>
        <w:ind w:firstLine="540"/>
        <w:jc w:val="both"/>
      </w:pPr>
      <w:r>
        <w:rPr>
          <w:sz w:val="20"/>
        </w:rPr>
        <w:t xml:space="preserve">(i) biological treatment;</w:t>
      </w:r>
    </w:p>
    <w:p>
      <w:pPr>
        <w:pStyle w:val="0"/>
        <w:spacing w:before="200" w:line-rule="auto"/>
        <w:ind w:firstLine="540"/>
        <w:jc w:val="both"/>
      </w:pPr>
      <w:r>
        <w:rPr>
          <w:sz w:val="20"/>
        </w:rPr>
        <w:t xml:space="preserve">(ii) pre-treatment of waste for incineration or co-incineration;</w:t>
      </w:r>
    </w:p>
    <w:p>
      <w:pPr>
        <w:pStyle w:val="0"/>
        <w:spacing w:before="200" w:line-rule="auto"/>
        <w:ind w:firstLine="540"/>
        <w:jc w:val="both"/>
      </w:pPr>
      <w:r>
        <w:rPr>
          <w:sz w:val="20"/>
        </w:rPr>
        <w:t xml:space="preserve">(iii) treatment of slags and ashes;</w:t>
      </w:r>
    </w:p>
    <w:p>
      <w:pPr>
        <w:pStyle w:val="0"/>
        <w:spacing w:before="200" w:line-rule="auto"/>
        <w:ind w:firstLine="540"/>
        <w:jc w:val="both"/>
      </w:pPr>
      <w:r>
        <w:rPr>
          <w:sz w:val="20"/>
        </w:rPr>
        <w:t xml:space="preserve">(iv) treatment in shredders of metal waste, including waste electrical and electronic equipment and end-of-life vehicles and their components.</w:t>
      </w:r>
    </w:p>
    <w:p>
      <w:pPr>
        <w:pStyle w:val="0"/>
        <w:spacing w:before="200" w:line-rule="auto"/>
        <w:ind w:firstLine="540"/>
        <w:jc w:val="both"/>
      </w:pPr>
      <w:r>
        <w:rPr>
          <w:sz w:val="20"/>
        </w:rPr>
        <w:t xml:space="preserve">When the only waste treatment activity carried out is anaerobic digestion, the capacity threshold for this activity shall be 100 tonnes per day.</w:t>
      </w:r>
    </w:p>
    <w:p>
      <w:pPr>
        <w:pStyle w:val="0"/>
        <w:spacing w:before="200" w:line-rule="auto"/>
        <w:ind w:firstLine="540"/>
        <w:jc w:val="both"/>
      </w:pPr>
      <w:r>
        <w:rPr>
          <w:sz w:val="20"/>
        </w:rPr>
        <w:t xml:space="preserve">5.4. Landfills, as defined in Article 2 (g) of Council Directive 1999/31/EC of 26 April 1999 on the landfill of waste &lt;*&gt;, receiving more than 10 tonnes of waste per day or with a total capacity exceeding 25000 tonnes, excluding landfills of inert waste</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L 182, 16.7.1999, p. 1.</w:t>
      </w:r>
    </w:p>
    <w:p>
      <w:pPr>
        <w:pStyle w:val="0"/>
        <w:ind w:firstLine="540"/>
        <w:jc w:val="both"/>
      </w:pPr>
      <w:r>
        <w:rPr>
          <w:sz w:val="20"/>
        </w:rPr>
      </w:r>
    </w:p>
    <w:p>
      <w:pPr>
        <w:pStyle w:val="0"/>
        <w:ind w:firstLine="540"/>
        <w:jc w:val="both"/>
      </w:pPr>
      <w:r>
        <w:rPr>
          <w:sz w:val="20"/>
        </w:rPr>
        <w:t xml:space="preserve">5.5. Temporary storage of hazardous waste not covered under point 5.4 pending any of the activities listed in points 5.1, 5.2, 5.4 and 5.6 with a total capacity exceeding 50 tonnes, excluding temporary storage, pending collection, on the site where the waste is generated</w:t>
      </w:r>
    </w:p>
    <w:p>
      <w:pPr>
        <w:pStyle w:val="0"/>
        <w:spacing w:before="200" w:line-rule="auto"/>
        <w:ind w:firstLine="540"/>
        <w:jc w:val="both"/>
      </w:pPr>
      <w:r>
        <w:rPr>
          <w:sz w:val="20"/>
        </w:rPr>
        <w:t xml:space="preserve">5.6. Underground storage of hazardous waste with a total capacity exceeding 50 tonnes</w:t>
      </w:r>
    </w:p>
    <w:p>
      <w:pPr>
        <w:pStyle w:val="0"/>
        <w:spacing w:before="200" w:line-rule="auto"/>
        <w:ind w:firstLine="540"/>
        <w:jc w:val="both"/>
      </w:pPr>
      <w:r>
        <w:rPr>
          <w:sz w:val="20"/>
        </w:rPr>
        <w:t xml:space="preserve">6. Other activities</w:t>
      </w:r>
    </w:p>
    <w:p>
      <w:pPr>
        <w:pStyle w:val="0"/>
        <w:spacing w:before="200" w:line-rule="auto"/>
        <w:ind w:firstLine="540"/>
        <w:jc w:val="both"/>
      </w:pPr>
      <w:r>
        <w:rPr>
          <w:sz w:val="20"/>
        </w:rPr>
        <w:t xml:space="preserve">6.1. Production in industrial installations of:</w:t>
      </w:r>
    </w:p>
    <w:p>
      <w:pPr>
        <w:pStyle w:val="0"/>
        <w:spacing w:before="200" w:line-rule="auto"/>
        <w:ind w:firstLine="540"/>
        <w:jc w:val="both"/>
      </w:pPr>
      <w:r>
        <w:rPr>
          <w:sz w:val="20"/>
        </w:rPr>
        <w:t xml:space="preserve">(a) pulp from timber or other fibrous materials;</w:t>
      </w:r>
    </w:p>
    <w:p>
      <w:pPr>
        <w:pStyle w:val="0"/>
        <w:spacing w:before="200" w:line-rule="auto"/>
        <w:ind w:firstLine="540"/>
        <w:jc w:val="both"/>
      </w:pPr>
      <w:r>
        <w:rPr>
          <w:sz w:val="20"/>
        </w:rPr>
        <w:t xml:space="preserve">(b) paper or card board with a production capacity exceeding 20 tonnes per day;</w:t>
      </w:r>
    </w:p>
    <w:p>
      <w:pPr>
        <w:pStyle w:val="1"/>
        <w:spacing w:before="200" w:line-rule="auto"/>
        <w:jc w:val="both"/>
      </w:pPr>
      <w:r>
        <w:rPr>
          <w:sz w:val="20"/>
        </w:rPr>
        <w:t xml:space="preserve">    (c)  one  or  more  of the following wood-based panels: oriented strand</w:t>
      </w:r>
    </w:p>
    <w:p>
      <w:pPr>
        <w:pStyle w:val="1"/>
        <w:jc w:val="both"/>
      </w:pPr>
      <w:r>
        <w:rPr>
          <w:sz w:val="20"/>
        </w:rPr>
        <w:t xml:space="preserve">board, particleboard or fibreboard with a production capacity exceeding 600</w:t>
      </w:r>
    </w:p>
    <w:p>
      <w:pPr>
        <w:pStyle w:val="1"/>
        <w:jc w:val="both"/>
      </w:pPr>
      <w:r>
        <w:rPr>
          <w:sz w:val="20"/>
        </w:rPr>
        <w:t xml:space="preserve"> 3</w:t>
      </w:r>
    </w:p>
    <w:p>
      <w:pPr>
        <w:pStyle w:val="1"/>
        <w:jc w:val="both"/>
      </w:pPr>
      <w:r>
        <w:rPr>
          <w:sz w:val="20"/>
        </w:rPr>
        <w:t xml:space="preserve">m  per day.</w:t>
      </w:r>
    </w:p>
    <w:p>
      <w:pPr>
        <w:pStyle w:val="0"/>
        <w:ind w:firstLine="540"/>
        <w:jc w:val="both"/>
      </w:pPr>
      <w:r>
        <w:rPr>
          <w:sz w:val="20"/>
        </w:rPr>
        <w:t xml:space="preserve">6.2. Pre-treatment (operations such as washing, bleaching, mercerisation) or dyeing of textile fibres or textiles where the treatment capacity exceeds 10 tonnes per day</w:t>
      </w:r>
    </w:p>
    <w:p>
      <w:pPr>
        <w:pStyle w:val="0"/>
        <w:spacing w:before="200" w:line-rule="auto"/>
        <w:ind w:firstLine="540"/>
        <w:jc w:val="both"/>
      </w:pPr>
      <w:r>
        <w:rPr>
          <w:sz w:val="20"/>
        </w:rPr>
        <w:t xml:space="preserve">6.3. Tanning of hides and skins where the treatment capacity exceeds 12 tonnes of finished products per day</w:t>
      </w:r>
    </w:p>
    <w:p>
      <w:pPr>
        <w:pStyle w:val="0"/>
        <w:spacing w:before="200" w:line-rule="auto"/>
        <w:ind w:firstLine="540"/>
        <w:jc w:val="both"/>
      </w:pPr>
      <w:r>
        <w:rPr>
          <w:sz w:val="20"/>
        </w:rPr>
        <w:t xml:space="preserve">6.4. (a) Operating slaughterhouses with a carcass production capacity greater than 50 tonnes per day</w:t>
      </w:r>
    </w:p>
    <w:p>
      <w:pPr>
        <w:pStyle w:val="0"/>
        <w:spacing w:before="200" w:line-rule="auto"/>
        <w:ind w:firstLine="540"/>
        <w:jc w:val="both"/>
      </w:pPr>
      <w:r>
        <w:rPr>
          <w:sz w:val="20"/>
        </w:rPr>
        <w:t xml:space="preserve">(b) Treatment and processing, other than exclusively packaging, of the following raw materials, whether previously processed or unprocessed, intended for the production of food or feed from:</w:t>
      </w:r>
    </w:p>
    <w:p>
      <w:pPr>
        <w:pStyle w:val="0"/>
        <w:spacing w:before="200" w:line-rule="auto"/>
        <w:ind w:firstLine="540"/>
        <w:jc w:val="both"/>
      </w:pPr>
      <w:r>
        <w:rPr>
          <w:sz w:val="20"/>
        </w:rPr>
        <w:t xml:space="preserve">(i) only animal raw materials (other than exclusively milk) with a finished product production capacity greater than 75 tonnes per day;</w:t>
      </w:r>
    </w:p>
    <w:p>
      <w:pPr>
        <w:pStyle w:val="0"/>
        <w:spacing w:before="200" w:line-rule="auto"/>
        <w:ind w:firstLine="540"/>
        <w:jc w:val="both"/>
      </w:pPr>
      <w:r>
        <w:rPr>
          <w:sz w:val="20"/>
        </w:rPr>
        <w:t xml:space="preserve">(ii) only vegetable raw materials with a finished product production capacity greater than 300 tonnes per day or 600 tonnes per day where the installation operates for a period of no more than 90 consecutive days in any year;</w:t>
      </w:r>
    </w:p>
    <w:p>
      <w:pPr>
        <w:pStyle w:val="0"/>
        <w:spacing w:before="200" w:line-rule="auto"/>
        <w:ind w:firstLine="540"/>
        <w:jc w:val="both"/>
      </w:pPr>
      <w:r>
        <w:rPr>
          <w:sz w:val="20"/>
        </w:rPr>
        <w:t xml:space="preserve">(iii) animal and vegetable raw materials, both in combined and separate products, with a finished product production capacity in tonnes per day greater than:</w:t>
      </w:r>
    </w:p>
    <w:p>
      <w:pPr>
        <w:pStyle w:val="0"/>
        <w:spacing w:before="200" w:line-rule="auto"/>
        <w:ind w:firstLine="540"/>
        <w:jc w:val="both"/>
      </w:pPr>
      <w:r>
        <w:rPr>
          <w:sz w:val="20"/>
        </w:rPr>
        <w:t xml:space="preserve">- 75 if A is equal to 10 or more; or,</w:t>
      </w:r>
    </w:p>
    <w:p>
      <w:pPr>
        <w:pStyle w:val="0"/>
        <w:spacing w:before="200" w:line-rule="auto"/>
        <w:ind w:firstLine="540"/>
        <w:jc w:val="both"/>
      </w:pPr>
      <w:r>
        <w:rPr>
          <w:sz w:val="20"/>
        </w:rPr>
        <w:t xml:space="preserve">- [300 - (22,5 x A)] in any other case,</w:t>
      </w:r>
    </w:p>
    <w:p>
      <w:pPr>
        <w:pStyle w:val="0"/>
        <w:spacing w:before="200" w:line-rule="auto"/>
        <w:ind w:firstLine="540"/>
        <w:jc w:val="both"/>
      </w:pPr>
      <w:r>
        <w:rPr>
          <w:sz w:val="20"/>
        </w:rPr>
        <w:t xml:space="preserve">where "A" is the portion of animal material (in percent of weight) of the finished product production capacity.</w:t>
      </w:r>
    </w:p>
    <w:p>
      <w:pPr>
        <w:pStyle w:val="0"/>
        <w:spacing w:before="200" w:line-rule="auto"/>
        <w:ind w:firstLine="540"/>
        <w:jc w:val="both"/>
      </w:pPr>
      <w:r>
        <w:rPr>
          <w:sz w:val="20"/>
        </w:rPr>
        <w:t xml:space="preserve">Packaging shall not be included in the final weight of the product.</w:t>
      </w:r>
    </w:p>
    <w:p>
      <w:pPr>
        <w:pStyle w:val="0"/>
        <w:spacing w:before="200" w:line-rule="auto"/>
        <w:ind w:firstLine="540"/>
        <w:jc w:val="both"/>
      </w:pPr>
      <w:r>
        <w:rPr>
          <w:sz w:val="20"/>
        </w:rPr>
        <w:t xml:space="preserve">This subsection shall not apply where the raw material is milk only.</w:t>
      </w:r>
    </w:p>
    <w:p>
      <w:pPr>
        <w:pStyle w:val="0"/>
        <w:ind w:firstLine="540"/>
        <w:jc w:val="both"/>
      </w:pPr>
      <w:r>
        <w:rPr>
          <w:sz w:val="20"/>
        </w:rPr>
      </w:r>
    </w:p>
    <w:p>
      <w:pPr>
        <w:pStyle w:val="1"/>
        <w:jc w:val="both"/>
      </w:pPr>
      <w:r>
        <w:rPr>
          <w:sz w:val="20"/>
        </w:rPr>
        <w:t xml:space="preserve">         350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T            │</w:t>
      </w:r>
    </w:p>
    <w:p>
      <w:pPr>
        <w:pStyle w:val="1"/>
        <w:jc w:val="both"/>
      </w:pPr>
      <w:r>
        <w:rPr>
          <w:sz w:val="20"/>
        </w:rPr>
        <w:t xml:space="preserve"> h       300 ─┤.</w:t>
      </w:r>
    </w:p>
    <w:p>
      <w:pPr>
        <w:pStyle w:val="1"/>
        <w:jc w:val="both"/>
      </w:pPr>
      <w:r>
        <w:rPr>
          <w:sz w:val="20"/>
        </w:rPr>
        <w:t xml:space="preserve"> r            │...</w:t>
      </w:r>
    </w:p>
    <w:p>
      <w:pPr>
        <w:pStyle w:val="1"/>
        <w:jc w:val="both"/>
      </w:pPr>
      <w:r>
        <w:rPr>
          <w:sz w:val="20"/>
        </w:rPr>
        <w:t xml:space="preserve"> e            │.....</w:t>
      </w:r>
    </w:p>
    <w:p>
      <w:pPr>
        <w:pStyle w:val="1"/>
        <w:jc w:val="both"/>
      </w:pPr>
      <w:r>
        <w:rPr>
          <w:sz w:val="20"/>
        </w:rPr>
        <w:t xml:space="preserve"> s            │........</w:t>
      </w:r>
    </w:p>
    <w:p>
      <w:pPr>
        <w:pStyle w:val="1"/>
        <w:jc w:val="both"/>
      </w:pPr>
      <w:r>
        <w:rPr>
          <w:sz w:val="20"/>
        </w:rPr>
        <w:t xml:space="preserve"> h       250 ─┤..........</w:t>
      </w:r>
    </w:p>
    <w:p>
      <w:pPr>
        <w:pStyle w:val="1"/>
        <w:jc w:val="both"/>
      </w:pPr>
      <w:r>
        <w:rPr>
          <w:sz w:val="20"/>
        </w:rPr>
        <w:t xml:space="preserve"> o            │.............</w:t>
      </w:r>
    </w:p>
    <w:p>
      <w:pPr>
        <w:pStyle w:val="1"/>
        <w:jc w:val="both"/>
      </w:pPr>
      <w:r>
        <w:rPr>
          <w:sz w:val="20"/>
        </w:rPr>
        <w:t xml:space="preserve"> l            │...............</w:t>
      </w:r>
    </w:p>
    <w:p>
      <w:pPr>
        <w:pStyle w:val="1"/>
        <w:jc w:val="both"/>
      </w:pPr>
      <w:r>
        <w:rPr>
          <w:sz w:val="20"/>
        </w:rPr>
        <w:t xml:space="preserve"> d            │.................</w:t>
      </w:r>
    </w:p>
    <w:p>
      <w:pPr>
        <w:pStyle w:val="1"/>
        <w:jc w:val="both"/>
      </w:pPr>
      <w:r>
        <w:rPr>
          <w:sz w:val="20"/>
        </w:rPr>
        <w:t xml:space="preserve">         200 ─┤...................</w:t>
      </w:r>
    </w:p>
    <w:p>
      <w:pPr>
        <w:pStyle w:val="1"/>
        <w:jc w:val="both"/>
      </w:pPr>
      <w:r>
        <w:rPr>
          <w:sz w:val="20"/>
        </w:rPr>
        <w:t xml:space="preserve">(t            │.....................</w:t>
      </w:r>
    </w:p>
    <w:p>
      <w:pPr>
        <w:pStyle w:val="1"/>
        <w:jc w:val="both"/>
      </w:pPr>
      <w:r>
        <w:rPr>
          <w:sz w:val="20"/>
        </w:rPr>
        <w:t xml:space="preserve"> o            │........................</w:t>
      </w:r>
    </w:p>
    <w:p>
      <w:pPr>
        <w:pStyle w:val="1"/>
        <w:jc w:val="both"/>
      </w:pPr>
      <w:r>
        <w:rPr>
          <w:sz w:val="20"/>
        </w:rPr>
        <w:t xml:space="preserve"> n            │...........................</w:t>
      </w:r>
    </w:p>
    <w:p>
      <w:pPr>
        <w:pStyle w:val="1"/>
        <w:jc w:val="both"/>
      </w:pPr>
      <w:r>
        <w:rPr>
          <w:sz w:val="20"/>
        </w:rPr>
        <w:t xml:space="preserve"> n       150 ─┤..............................</w:t>
      </w:r>
    </w:p>
    <w:p>
      <w:pPr>
        <w:pStyle w:val="1"/>
        <w:jc w:val="both"/>
      </w:pPr>
      <w:r>
        <w:rPr>
          <w:sz w:val="20"/>
        </w:rPr>
        <w:t xml:space="preserve"> e            │.................................</w:t>
      </w:r>
    </w:p>
    <w:p>
      <w:pPr>
        <w:pStyle w:val="1"/>
        <w:jc w:val="both"/>
      </w:pPr>
      <w:r>
        <w:rPr>
          <w:sz w:val="20"/>
        </w:rPr>
        <w:t xml:space="preserve"> s            │....................................</w:t>
      </w:r>
    </w:p>
    <w:p>
      <w:pPr>
        <w:pStyle w:val="1"/>
        <w:jc w:val="both"/>
      </w:pPr>
      <w:r>
        <w:rPr>
          <w:sz w:val="20"/>
        </w:rPr>
        <w:t xml:space="preserve">              │.......................................</w:t>
      </w:r>
    </w:p>
    <w:p>
      <w:pPr>
        <w:pStyle w:val="1"/>
        <w:jc w:val="both"/>
      </w:pPr>
      <w:r>
        <w:rPr>
          <w:sz w:val="20"/>
        </w:rPr>
        <w:t xml:space="preserve"> p       100 ─┤...........................................</w:t>
      </w:r>
    </w:p>
    <w:p>
      <w:pPr>
        <w:pStyle w:val="1"/>
        <w:jc w:val="both"/>
      </w:pPr>
      <w:r>
        <w:rPr>
          <w:sz w:val="20"/>
        </w:rPr>
        <w:t xml:space="preserve"> e            │...............................................</w:t>
      </w:r>
    </w:p>
    <w:p>
      <w:pPr>
        <w:pStyle w:val="1"/>
        <w:jc w:val="both"/>
      </w:pPr>
      <w:r>
        <w:rPr>
          <w:sz w:val="20"/>
        </w:rPr>
        <w:t xml:space="preserve"> r            │............................................................</w:t>
      </w:r>
    </w:p>
    <w:p>
      <w:pPr>
        <w:pStyle w:val="1"/>
        <w:jc w:val="both"/>
      </w:pPr>
      <w:r>
        <w:rPr>
          <w:sz w:val="20"/>
        </w:rPr>
        <w:t xml:space="preserve">              │............................................................</w:t>
      </w:r>
    </w:p>
    <w:p>
      <w:pPr>
        <w:pStyle w:val="1"/>
        <w:jc w:val="both"/>
      </w:pPr>
      <w:r>
        <w:rPr>
          <w:sz w:val="20"/>
        </w:rPr>
        <w:t xml:space="preserve"> d        50 ─┤............................................................</w:t>
      </w:r>
    </w:p>
    <w:p>
      <w:pPr>
        <w:pStyle w:val="1"/>
        <w:jc w:val="both"/>
      </w:pPr>
      <w:r>
        <w:rPr>
          <w:sz w:val="20"/>
        </w:rPr>
        <w:t xml:space="preserve"> a            │............................................................</w:t>
      </w:r>
    </w:p>
    <w:p>
      <w:pPr>
        <w:pStyle w:val="1"/>
        <w:jc w:val="both"/>
      </w:pPr>
      <w:r>
        <w:rPr>
          <w:sz w:val="20"/>
        </w:rPr>
        <w:t xml:space="preserve"> y)           │............................................................</w:t>
      </w:r>
    </w:p>
    <w:p>
      <w:pPr>
        <w:pStyle w:val="1"/>
        <w:jc w:val="both"/>
      </w:pPr>
      <w:r>
        <w:rPr>
          <w:sz w:val="20"/>
        </w:rPr>
        <w:t xml:space="preserve">              │............................................................</w:t>
      </w:r>
    </w:p>
    <w:p>
      <w:pPr>
        <w:pStyle w:val="1"/>
        <w:jc w:val="both"/>
      </w:pPr>
      <w:r>
        <w:rPr>
          <w:sz w:val="20"/>
        </w:rPr>
        <w:t xml:space="preserve">           0 ─┼────┬────┬────┬────┬────┬────┬────┬────┬────┬────┬────┬────┐</w:t>
      </w:r>
    </w:p>
    <w:p>
      <w:pPr>
        <w:pStyle w:val="1"/>
        <w:jc w:val="both"/>
      </w:pPr>
      <w:r>
        <w:rPr>
          <w:sz w:val="20"/>
        </w:rPr>
        <w:t xml:space="preserve">              0    1    2    3    4    5    6    7    8    9   10   11   12</w:t>
      </w:r>
    </w:p>
    <w:p>
      <w:pPr>
        <w:pStyle w:val="1"/>
        <w:jc w:val="both"/>
      </w:pPr>
      <w:r>
        <w:rPr>
          <w:sz w:val="20"/>
        </w:rPr>
      </w:r>
    </w:p>
    <w:p>
      <w:pPr>
        <w:pStyle w:val="1"/>
        <w:jc w:val="both"/>
      </w:pPr>
      <w:r>
        <w:rPr>
          <w:sz w:val="20"/>
        </w:rPr>
        <w:t xml:space="preserve">               Animal material (% of finished product production capacity)</w:t>
      </w:r>
    </w:p>
    <w:p>
      <w:pPr>
        <w:pStyle w:val="0"/>
        <w:ind w:firstLine="540"/>
        <w:jc w:val="both"/>
      </w:pPr>
      <w:r>
        <w:rPr>
          <w:sz w:val="20"/>
        </w:rPr>
      </w:r>
    </w:p>
    <w:p>
      <w:pPr>
        <w:pStyle w:val="0"/>
        <w:ind w:firstLine="540"/>
        <w:jc w:val="both"/>
      </w:pPr>
      <w:r>
        <w:rPr>
          <w:sz w:val="20"/>
        </w:rPr>
        <w:t xml:space="preserve">(c) Treatment and processing of milk only, the quantity of milk received being greater than 200 tonnes per day (average value on an annual basis).</w:t>
      </w:r>
    </w:p>
    <w:p>
      <w:pPr>
        <w:pStyle w:val="0"/>
        <w:spacing w:before="200" w:line-rule="auto"/>
        <w:ind w:firstLine="540"/>
        <w:jc w:val="both"/>
      </w:pPr>
      <w:r>
        <w:rPr>
          <w:sz w:val="20"/>
        </w:rPr>
        <w:t xml:space="preserve">6.5. Disposal or recycling of animal carcases or animal waste with a treatment capacity exceeding 10 tonnes per day</w:t>
      </w:r>
    </w:p>
    <w:p>
      <w:pPr>
        <w:pStyle w:val="0"/>
        <w:spacing w:before="200" w:line-rule="auto"/>
        <w:ind w:firstLine="540"/>
        <w:jc w:val="both"/>
      </w:pPr>
      <w:r>
        <w:rPr>
          <w:sz w:val="20"/>
        </w:rPr>
        <w:t xml:space="preserve">6.6. Intensive rearing of poultry or pigs:</w:t>
      </w:r>
    </w:p>
    <w:p>
      <w:pPr>
        <w:pStyle w:val="0"/>
        <w:spacing w:before="200" w:line-rule="auto"/>
        <w:ind w:firstLine="540"/>
        <w:jc w:val="both"/>
      </w:pPr>
      <w:r>
        <w:rPr>
          <w:sz w:val="20"/>
        </w:rPr>
        <w:t xml:space="preserve">(a) with more than 40000 places for poultry;</w:t>
      </w:r>
    </w:p>
    <w:p>
      <w:pPr>
        <w:pStyle w:val="0"/>
        <w:spacing w:before="200" w:line-rule="auto"/>
        <w:ind w:firstLine="540"/>
        <w:jc w:val="both"/>
      </w:pPr>
      <w:r>
        <w:rPr>
          <w:sz w:val="20"/>
        </w:rPr>
        <w:t xml:space="preserve">(b) with more than 2000 places for production pigs (over 30 kg), or</w:t>
      </w:r>
    </w:p>
    <w:p>
      <w:pPr>
        <w:pStyle w:val="0"/>
        <w:spacing w:before="200" w:line-rule="auto"/>
        <w:ind w:firstLine="540"/>
        <w:jc w:val="both"/>
      </w:pPr>
      <w:r>
        <w:rPr>
          <w:sz w:val="20"/>
        </w:rPr>
        <w:t xml:space="preserve">(c) with more than 750 places for sows.</w:t>
      </w:r>
    </w:p>
    <w:p>
      <w:pPr>
        <w:pStyle w:val="0"/>
        <w:spacing w:before="200" w:line-rule="auto"/>
        <w:ind w:firstLine="540"/>
        <w:jc w:val="both"/>
      </w:pPr>
      <w:r>
        <w:rPr>
          <w:sz w:val="20"/>
        </w:rPr>
        <w:t xml:space="preserve">6.7. Surface treatment of substances, objects or products using organic solvents, in particular for dressing, printing, coating, degreasing, waterproofing, sizing, painting, cleaning or impregnating, with an organic solvent consumption capacity of more than 150 kg per hour or more than 200 tonnes per year</w:t>
      </w:r>
    </w:p>
    <w:p>
      <w:pPr>
        <w:pStyle w:val="0"/>
        <w:spacing w:before="200" w:line-rule="auto"/>
        <w:ind w:firstLine="540"/>
        <w:jc w:val="both"/>
      </w:pPr>
      <w:r>
        <w:rPr>
          <w:sz w:val="20"/>
        </w:rPr>
        <w:t xml:space="preserve">6.8. Production of carbon (hard-burnt coal) or electrographite by means of incineration or graphitisation</w:t>
      </w:r>
    </w:p>
    <w:p>
      <w:pPr>
        <w:pStyle w:val="1"/>
        <w:spacing w:before="200" w:line-rule="auto"/>
        <w:jc w:val="both"/>
      </w:pPr>
      <w:r>
        <w:rPr>
          <w:sz w:val="20"/>
        </w:rPr>
        <w:t xml:space="preserve">    6.9.  Capture  of  CO   streams  from  installations  covered  by  this</w:t>
      </w:r>
    </w:p>
    <w:p>
      <w:pPr>
        <w:pStyle w:val="1"/>
        <w:jc w:val="both"/>
      </w:pPr>
      <w:r>
        <w:rPr>
          <w:sz w:val="20"/>
        </w:rPr>
        <w:t xml:space="preserve">                         2</w:t>
      </w:r>
    </w:p>
    <w:p>
      <w:pPr>
        <w:pStyle w:val="1"/>
        <w:jc w:val="both"/>
      </w:pPr>
      <w:r>
        <w:rPr>
          <w:sz w:val="20"/>
        </w:rPr>
        <w:t xml:space="preserve">Directive  for  the  purposes  of  geological storage pursuant to Directive</w:t>
      </w:r>
    </w:p>
    <w:p>
      <w:pPr>
        <w:pStyle w:val="1"/>
        <w:jc w:val="both"/>
      </w:pPr>
      <w:r>
        <w:rPr>
          <w:sz w:val="20"/>
        </w:rPr>
        <w:t xml:space="preserve">2009/31/EC</w:t>
      </w:r>
    </w:p>
    <w:p>
      <w:pPr>
        <w:pStyle w:val="1"/>
        <w:jc w:val="both"/>
      </w:pPr>
      <w:r>
        <w:rPr>
          <w:sz w:val="20"/>
        </w:rPr>
        <w:t xml:space="preserve">    6.10.  Preservation  of  wood  and  wood products with chemicals with a</w:t>
      </w:r>
    </w:p>
    <w:p>
      <w:pPr>
        <w:pStyle w:val="1"/>
        <w:jc w:val="both"/>
      </w:pPr>
      <w:r>
        <w:rPr>
          <w:sz w:val="20"/>
        </w:rPr>
        <w:t xml:space="preserve">                                  3</w:t>
      </w:r>
    </w:p>
    <w:p>
      <w:pPr>
        <w:pStyle w:val="1"/>
        <w:jc w:val="both"/>
      </w:pPr>
      <w:r>
        <w:rPr>
          <w:sz w:val="20"/>
        </w:rPr>
        <w:t xml:space="preserve">production capacity exceeding 75 m  per day other than exclusively treating</w:t>
      </w:r>
    </w:p>
    <w:p>
      <w:pPr>
        <w:pStyle w:val="1"/>
        <w:jc w:val="both"/>
      </w:pPr>
      <w:r>
        <w:rPr>
          <w:sz w:val="20"/>
        </w:rPr>
        <w:t xml:space="preserve">against sapstain</w:t>
      </w:r>
    </w:p>
    <w:p>
      <w:pPr>
        <w:pStyle w:val="0"/>
        <w:ind w:firstLine="540"/>
        <w:jc w:val="both"/>
      </w:pPr>
      <w:r>
        <w:rPr>
          <w:sz w:val="20"/>
        </w:rPr>
        <w:t xml:space="preserve">6.11. Independently operated treatment of waste water not covered by Directive 91/271/EEC and discharged by an installation covered by Chapter II</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Annex II</w:t>
      </w:r>
    </w:p>
    <w:p>
      <w:pPr>
        <w:pStyle w:val="0"/>
        <w:jc w:val="right"/>
      </w:pPr>
      <w:r>
        <w:rPr>
          <w:sz w:val="20"/>
        </w:rPr>
      </w:r>
    </w:p>
    <w:p>
      <w:pPr>
        <w:pStyle w:val="2"/>
        <w:jc w:val="center"/>
      </w:pPr>
      <w:r>
        <w:rPr>
          <w:sz w:val="20"/>
        </w:rPr>
        <w:t xml:space="preserve">LIST</w:t>
      </w:r>
    </w:p>
    <w:p>
      <w:pPr>
        <w:pStyle w:val="2"/>
        <w:jc w:val="center"/>
      </w:pPr>
      <w:r>
        <w:rPr>
          <w:sz w:val="20"/>
        </w:rPr>
        <w:t xml:space="preserve">OF POLLUTING SUBSTANCES</w:t>
      </w:r>
    </w:p>
    <w:p>
      <w:pPr>
        <w:pStyle w:val="0"/>
        <w:ind w:firstLine="540"/>
        <w:jc w:val="both"/>
      </w:pPr>
      <w:r>
        <w:rPr>
          <w:sz w:val="20"/>
        </w:rPr>
      </w:r>
    </w:p>
    <w:p>
      <w:pPr>
        <w:pStyle w:val="0"/>
        <w:outlineLvl w:val="1"/>
        <w:jc w:val="center"/>
      </w:pPr>
      <w:r>
        <w:rPr>
          <w:sz w:val="20"/>
        </w:rPr>
        <w:t xml:space="preserve">Air</w:t>
      </w:r>
    </w:p>
    <w:p>
      <w:pPr>
        <w:pStyle w:val="0"/>
        <w:ind w:firstLine="540"/>
        <w:jc w:val="both"/>
      </w:pPr>
      <w:r>
        <w:rPr>
          <w:sz w:val="20"/>
        </w:rPr>
      </w:r>
    </w:p>
    <w:p>
      <w:pPr>
        <w:pStyle w:val="0"/>
        <w:ind w:firstLine="540"/>
        <w:jc w:val="both"/>
      </w:pPr>
      <w:r>
        <w:rPr>
          <w:sz w:val="20"/>
        </w:rPr>
        <w:t xml:space="preserve">1. Sulphur dioxide and other sulphur compounds</w:t>
      </w:r>
    </w:p>
    <w:p>
      <w:pPr>
        <w:pStyle w:val="0"/>
        <w:spacing w:before="200" w:line-rule="auto"/>
        <w:ind w:firstLine="540"/>
        <w:jc w:val="both"/>
      </w:pPr>
      <w:r>
        <w:rPr>
          <w:sz w:val="20"/>
        </w:rPr>
        <w:t xml:space="preserve">2. Oxides of nitrogen and other nitrogen compounds</w:t>
      </w:r>
    </w:p>
    <w:p>
      <w:pPr>
        <w:pStyle w:val="0"/>
        <w:spacing w:before="200" w:line-rule="auto"/>
        <w:ind w:firstLine="540"/>
        <w:jc w:val="both"/>
      </w:pPr>
      <w:r>
        <w:rPr>
          <w:sz w:val="20"/>
        </w:rPr>
        <w:t xml:space="preserve">3. Carbon monoxide</w:t>
      </w:r>
    </w:p>
    <w:p>
      <w:pPr>
        <w:pStyle w:val="0"/>
        <w:spacing w:before="200" w:line-rule="auto"/>
        <w:ind w:firstLine="540"/>
        <w:jc w:val="both"/>
      </w:pPr>
      <w:r>
        <w:rPr>
          <w:sz w:val="20"/>
        </w:rPr>
        <w:t xml:space="preserve">4. Volatile organic compounds</w:t>
      </w:r>
    </w:p>
    <w:p>
      <w:pPr>
        <w:pStyle w:val="0"/>
        <w:spacing w:before="200" w:line-rule="auto"/>
        <w:ind w:firstLine="540"/>
        <w:jc w:val="both"/>
      </w:pPr>
      <w:r>
        <w:rPr>
          <w:sz w:val="20"/>
        </w:rPr>
        <w:t xml:space="preserve">5. Metals and their compounds</w:t>
      </w:r>
    </w:p>
    <w:p>
      <w:pPr>
        <w:pStyle w:val="0"/>
        <w:spacing w:before="200" w:line-rule="auto"/>
        <w:ind w:firstLine="540"/>
        <w:jc w:val="both"/>
      </w:pPr>
      <w:r>
        <w:rPr>
          <w:sz w:val="20"/>
        </w:rPr>
        <w:t xml:space="preserve">6. Dust including fine particulate matter</w:t>
      </w:r>
    </w:p>
    <w:p>
      <w:pPr>
        <w:pStyle w:val="0"/>
        <w:spacing w:before="200" w:line-rule="auto"/>
        <w:ind w:firstLine="540"/>
        <w:jc w:val="both"/>
      </w:pPr>
      <w:r>
        <w:rPr>
          <w:sz w:val="20"/>
        </w:rPr>
        <w:t xml:space="preserve">7. Asbestos (suspended particulates, fibres)</w:t>
      </w:r>
    </w:p>
    <w:p>
      <w:pPr>
        <w:pStyle w:val="0"/>
        <w:spacing w:before="200" w:line-rule="auto"/>
        <w:ind w:firstLine="540"/>
        <w:jc w:val="both"/>
      </w:pPr>
      <w:r>
        <w:rPr>
          <w:sz w:val="20"/>
        </w:rPr>
        <w:t xml:space="preserve">8. Chlorine and its compounds</w:t>
      </w:r>
    </w:p>
    <w:p>
      <w:pPr>
        <w:pStyle w:val="0"/>
        <w:spacing w:before="200" w:line-rule="auto"/>
        <w:ind w:firstLine="540"/>
        <w:jc w:val="both"/>
      </w:pPr>
      <w:r>
        <w:rPr>
          <w:sz w:val="20"/>
        </w:rPr>
        <w:t xml:space="preserve">9. Fluorine and its compounds</w:t>
      </w:r>
    </w:p>
    <w:p>
      <w:pPr>
        <w:pStyle w:val="0"/>
        <w:spacing w:before="200" w:line-rule="auto"/>
        <w:ind w:firstLine="540"/>
        <w:jc w:val="both"/>
      </w:pPr>
      <w:r>
        <w:rPr>
          <w:sz w:val="20"/>
        </w:rPr>
        <w:t xml:space="preserve">10. Arsenic and its compounds</w:t>
      </w:r>
    </w:p>
    <w:p>
      <w:pPr>
        <w:pStyle w:val="0"/>
        <w:spacing w:before="200" w:line-rule="auto"/>
        <w:ind w:firstLine="540"/>
        <w:jc w:val="both"/>
      </w:pPr>
      <w:r>
        <w:rPr>
          <w:sz w:val="20"/>
        </w:rPr>
        <w:t xml:space="preserve">11. Cyanides</w:t>
      </w:r>
    </w:p>
    <w:p>
      <w:pPr>
        <w:pStyle w:val="0"/>
        <w:spacing w:before="200" w:line-rule="auto"/>
        <w:ind w:firstLine="540"/>
        <w:jc w:val="both"/>
      </w:pPr>
      <w:r>
        <w:rPr>
          <w:sz w:val="20"/>
        </w:rPr>
        <w:t xml:space="preserve">12. Substances and mixtures which have been proved to possess carcinogenic or mutagenic properties or properties which may affect reproduction via the air</w:t>
      </w:r>
    </w:p>
    <w:p>
      <w:pPr>
        <w:pStyle w:val="0"/>
        <w:spacing w:before="200" w:line-rule="auto"/>
        <w:ind w:firstLine="540"/>
        <w:jc w:val="both"/>
      </w:pPr>
      <w:r>
        <w:rPr>
          <w:sz w:val="20"/>
        </w:rPr>
        <w:t xml:space="preserve">13. Polychlorinated dibenzodioxins and polychlorinated dibenzofurans</w:t>
      </w:r>
    </w:p>
    <w:p>
      <w:pPr>
        <w:pStyle w:val="0"/>
        <w:ind w:firstLine="540"/>
        <w:jc w:val="both"/>
      </w:pPr>
      <w:r>
        <w:rPr>
          <w:sz w:val="20"/>
        </w:rPr>
      </w:r>
    </w:p>
    <w:p>
      <w:pPr>
        <w:pStyle w:val="0"/>
        <w:outlineLvl w:val="1"/>
        <w:jc w:val="center"/>
      </w:pPr>
      <w:r>
        <w:rPr>
          <w:sz w:val="20"/>
        </w:rPr>
        <w:t xml:space="preserve">Water</w:t>
      </w:r>
    </w:p>
    <w:p>
      <w:pPr>
        <w:pStyle w:val="0"/>
        <w:ind w:firstLine="540"/>
        <w:jc w:val="both"/>
      </w:pPr>
      <w:r>
        <w:rPr>
          <w:sz w:val="20"/>
        </w:rPr>
      </w:r>
    </w:p>
    <w:p>
      <w:pPr>
        <w:pStyle w:val="0"/>
        <w:ind w:firstLine="540"/>
        <w:jc w:val="both"/>
      </w:pPr>
      <w:r>
        <w:rPr>
          <w:sz w:val="20"/>
        </w:rPr>
        <w:t xml:space="preserve">1. Organohalogen compounds and substances which may form such compounds in the aquatic environment</w:t>
      </w:r>
    </w:p>
    <w:p>
      <w:pPr>
        <w:pStyle w:val="0"/>
        <w:spacing w:before="200" w:line-rule="auto"/>
        <w:ind w:firstLine="540"/>
        <w:jc w:val="both"/>
      </w:pPr>
      <w:r>
        <w:rPr>
          <w:sz w:val="20"/>
        </w:rPr>
        <w:t xml:space="preserve">2. Organophosphorus compounds</w:t>
      </w:r>
    </w:p>
    <w:p>
      <w:pPr>
        <w:pStyle w:val="0"/>
        <w:spacing w:before="200" w:line-rule="auto"/>
        <w:ind w:firstLine="540"/>
        <w:jc w:val="both"/>
      </w:pPr>
      <w:r>
        <w:rPr>
          <w:sz w:val="20"/>
        </w:rPr>
        <w:t xml:space="preserve">3. Organotin compounds</w:t>
      </w:r>
    </w:p>
    <w:p>
      <w:pPr>
        <w:pStyle w:val="0"/>
        <w:spacing w:before="200" w:line-rule="auto"/>
        <w:ind w:firstLine="540"/>
        <w:jc w:val="both"/>
      </w:pPr>
      <w:r>
        <w:rPr>
          <w:sz w:val="20"/>
        </w:rPr>
        <w:t xml:space="preserve">4. Substances and mixtures which have been proved to possess carcinogenic or mutagenic properties or properties which may affect reproduction in or via the aquatic environment</w:t>
      </w:r>
    </w:p>
    <w:p>
      <w:pPr>
        <w:pStyle w:val="0"/>
        <w:spacing w:before="200" w:line-rule="auto"/>
        <w:ind w:firstLine="540"/>
        <w:jc w:val="both"/>
      </w:pPr>
      <w:r>
        <w:rPr>
          <w:sz w:val="20"/>
        </w:rPr>
        <w:t xml:space="preserve">5. Persistent hydrocarbons and persistent and bioaccumulable organic toxic substances</w:t>
      </w:r>
    </w:p>
    <w:p>
      <w:pPr>
        <w:pStyle w:val="0"/>
        <w:spacing w:before="200" w:line-rule="auto"/>
        <w:ind w:firstLine="540"/>
        <w:jc w:val="both"/>
      </w:pPr>
      <w:r>
        <w:rPr>
          <w:sz w:val="20"/>
        </w:rPr>
        <w:t xml:space="preserve">6. Cyanides</w:t>
      </w:r>
    </w:p>
    <w:p>
      <w:pPr>
        <w:pStyle w:val="0"/>
        <w:spacing w:before="200" w:line-rule="auto"/>
        <w:ind w:firstLine="540"/>
        <w:jc w:val="both"/>
      </w:pPr>
      <w:r>
        <w:rPr>
          <w:sz w:val="20"/>
        </w:rPr>
        <w:t xml:space="preserve">7. Metals and their compounds</w:t>
      </w:r>
    </w:p>
    <w:p>
      <w:pPr>
        <w:pStyle w:val="0"/>
        <w:spacing w:before="200" w:line-rule="auto"/>
        <w:ind w:firstLine="540"/>
        <w:jc w:val="both"/>
      </w:pPr>
      <w:r>
        <w:rPr>
          <w:sz w:val="20"/>
        </w:rPr>
        <w:t xml:space="preserve">8. Arsenic and its compounds</w:t>
      </w:r>
    </w:p>
    <w:p>
      <w:pPr>
        <w:pStyle w:val="0"/>
        <w:spacing w:before="200" w:line-rule="auto"/>
        <w:ind w:firstLine="540"/>
        <w:jc w:val="both"/>
      </w:pPr>
      <w:r>
        <w:rPr>
          <w:sz w:val="20"/>
        </w:rPr>
        <w:t xml:space="preserve">9. Biocides and plant protection products</w:t>
      </w:r>
    </w:p>
    <w:p>
      <w:pPr>
        <w:pStyle w:val="0"/>
        <w:spacing w:before="200" w:line-rule="auto"/>
        <w:ind w:firstLine="540"/>
        <w:jc w:val="both"/>
      </w:pPr>
      <w:r>
        <w:rPr>
          <w:sz w:val="20"/>
        </w:rPr>
        <w:t xml:space="preserve">10. Materials in suspension</w:t>
      </w:r>
    </w:p>
    <w:p>
      <w:pPr>
        <w:pStyle w:val="0"/>
        <w:spacing w:before="200" w:line-rule="auto"/>
        <w:ind w:firstLine="540"/>
        <w:jc w:val="both"/>
      </w:pPr>
      <w:r>
        <w:rPr>
          <w:sz w:val="20"/>
        </w:rPr>
        <w:t xml:space="preserve">11. Substances which contribute to eutrophication (in particular, nitrates and phosphates)</w:t>
      </w:r>
    </w:p>
    <w:p>
      <w:pPr>
        <w:pStyle w:val="0"/>
        <w:spacing w:before="200" w:line-rule="auto"/>
        <w:ind w:firstLine="540"/>
        <w:jc w:val="both"/>
      </w:pPr>
      <w:r>
        <w:rPr>
          <w:sz w:val="20"/>
        </w:rPr>
        <w:t xml:space="preserve">12. Substances which have an unfavourable influence on the oxygen balance (and can be measured using parameters such as BOD, COD, etc.)</w:t>
      </w:r>
    </w:p>
    <w:p>
      <w:pPr>
        <w:pStyle w:val="0"/>
        <w:spacing w:before="200" w:line-rule="auto"/>
        <w:ind w:firstLine="540"/>
        <w:jc w:val="both"/>
      </w:pPr>
      <w:r>
        <w:rPr>
          <w:sz w:val="20"/>
        </w:rPr>
        <w:t xml:space="preserve">13. Substances listed in Annex X to Directive 2000/60/EC</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Annex III</w:t>
      </w:r>
    </w:p>
    <w:p>
      <w:pPr>
        <w:pStyle w:val="0"/>
        <w:jc w:val="right"/>
      </w:pPr>
      <w:r>
        <w:rPr>
          <w:sz w:val="20"/>
        </w:rPr>
      </w:r>
    </w:p>
    <w:p>
      <w:pPr>
        <w:pStyle w:val="2"/>
        <w:jc w:val="center"/>
      </w:pPr>
      <w:r>
        <w:rPr>
          <w:sz w:val="20"/>
        </w:rPr>
        <w:t xml:space="preserve">CRITERIA</w:t>
      </w:r>
    </w:p>
    <w:p>
      <w:pPr>
        <w:pStyle w:val="2"/>
        <w:jc w:val="center"/>
      </w:pPr>
      <w:r>
        <w:rPr>
          <w:sz w:val="20"/>
        </w:rPr>
        <w:t xml:space="preserve">FOR DETERMINING BEST AVAILABLE TECHNIQUES</w:t>
      </w:r>
    </w:p>
    <w:p>
      <w:pPr>
        <w:pStyle w:val="0"/>
        <w:jc w:val="center"/>
      </w:pPr>
      <w:r>
        <w:rPr>
          <w:sz w:val="20"/>
        </w:rPr>
      </w:r>
    </w:p>
    <w:p>
      <w:pPr>
        <w:pStyle w:val="0"/>
        <w:ind w:firstLine="540"/>
        <w:jc w:val="both"/>
      </w:pPr>
      <w:r>
        <w:rPr>
          <w:sz w:val="20"/>
        </w:rPr>
        <w:t xml:space="preserve">1. the use of low-waste technology;</w:t>
      </w:r>
    </w:p>
    <w:p>
      <w:pPr>
        <w:pStyle w:val="0"/>
        <w:spacing w:before="200" w:line-rule="auto"/>
        <w:ind w:firstLine="540"/>
        <w:jc w:val="both"/>
      </w:pPr>
      <w:r>
        <w:rPr>
          <w:sz w:val="20"/>
        </w:rPr>
        <w:t xml:space="preserve">2. the use of less hazardous substances;</w:t>
      </w:r>
    </w:p>
    <w:p>
      <w:pPr>
        <w:pStyle w:val="0"/>
        <w:spacing w:before="200" w:line-rule="auto"/>
        <w:ind w:firstLine="540"/>
        <w:jc w:val="both"/>
      </w:pPr>
      <w:r>
        <w:rPr>
          <w:sz w:val="20"/>
        </w:rPr>
        <w:t xml:space="preserve">3. the furthering of recovery and recycling of substances generated and used in the process and of waste, where appropriate;</w:t>
      </w:r>
    </w:p>
    <w:p>
      <w:pPr>
        <w:pStyle w:val="0"/>
        <w:spacing w:before="200" w:line-rule="auto"/>
        <w:ind w:firstLine="540"/>
        <w:jc w:val="both"/>
      </w:pPr>
      <w:r>
        <w:rPr>
          <w:sz w:val="20"/>
        </w:rPr>
        <w:t xml:space="preserve">4. comparable processes, facilities or methods of operation which have been tried with success on an industrial scale;</w:t>
      </w:r>
    </w:p>
    <w:p>
      <w:pPr>
        <w:pStyle w:val="0"/>
        <w:spacing w:before="200" w:line-rule="auto"/>
        <w:ind w:firstLine="540"/>
        <w:jc w:val="both"/>
      </w:pPr>
      <w:r>
        <w:rPr>
          <w:sz w:val="20"/>
        </w:rPr>
        <w:t xml:space="preserve">5. technological advances and changes in scientific knowledge and understanding;</w:t>
      </w:r>
    </w:p>
    <w:p>
      <w:pPr>
        <w:pStyle w:val="0"/>
        <w:spacing w:before="200" w:line-rule="auto"/>
        <w:ind w:firstLine="540"/>
        <w:jc w:val="both"/>
      </w:pPr>
      <w:r>
        <w:rPr>
          <w:sz w:val="20"/>
        </w:rPr>
        <w:t xml:space="preserve">6. the nature, effects and volume of the emissions concerned;</w:t>
      </w:r>
    </w:p>
    <w:p>
      <w:pPr>
        <w:pStyle w:val="0"/>
        <w:spacing w:before="200" w:line-rule="auto"/>
        <w:ind w:firstLine="540"/>
        <w:jc w:val="both"/>
      </w:pPr>
      <w:r>
        <w:rPr>
          <w:sz w:val="20"/>
        </w:rPr>
        <w:t xml:space="preserve">7. the commissioning dates for new or existing installations;</w:t>
      </w:r>
    </w:p>
    <w:p>
      <w:pPr>
        <w:pStyle w:val="0"/>
        <w:spacing w:before="200" w:line-rule="auto"/>
        <w:ind w:firstLine="540"/>
        <w:jc w:val="both"/>
      </w:pPr>
      <w:r>
        <w:rPr>
          <w:sz w:val="20"/>
        </w:rPr>
        <w:t xml:space="preserve">8. the length of time needed to introduce the best available technique;</w:t>
      </w:r>
    </w:p>
    <w:p>
      <w:pPr>
        <w:pStyle w:val="0"/>
        <w:spacing w:before="200" w:line-rule="auto"/>
        <w:ind w:firstLine="540"/>
        <w:jc w:val="both"/>
      </w:pPr>
      <w:r>
        <w:rPr>
          <w:sz w:val="20"/>
        </w:rPr>
        <w:t xml:space="preserve">9. the consumption and nature of raw materials (including water) used in the process and energy efficiency;</w:t>
      </w:r>
    </w:p>
    <w:p>
      <w:pPr>
        <w:pStyle w:val="0"/>
        <w:spacing w:before="200" w:line-rule="auto"/>
        <w:ind w:firstLine="540"/>
        <w:jc w:val="both"/>
      </w:pPr>
      <w:r>
        <w:rPr>
          <w:sz w:val="20"/>
        </w:rPr>
        <w:t xml:space="preserve">10. the need to prevent or reduce to a minimum the overall impact of the emissions on the environment and the risks to it;</w:t>
      </w:r>
    </w:p>
    <w:p>
      <w:pPr>
        <w:pStyle w:val="0"/>
        <w:spacing w:before="200" w:line-rule="auto"/>
        <w:ind w:firstLine="540"/>
        <w:jc w:val="both"/>
      </w:pPr>
      <w:r>
        <w:rPr>
          <w:sz w:val="20"/>
        </w:rPr>
        <w:t xml:space="preserve">11. the need to prevent accidents and to minimise the consequences for the environment;</w:t>
      </w:r>
    </w:p>
    <w:p>
      <w:pPr>
        <w:pStyle w:val="0"/>
        <w:spacing w:before="200" w:line-rule="auto"/>
        <w:ind w:firstLine="540"/>
        <w:jc w:val="both"/>
      </w:pPr>
      <w:r>
        <w:rPr>
          <w:sz w:val="20"/>
        </w:rPr>
        <w:t xml:space="preserve">12. information published by public international organisations.</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Annex IV</w:t>
      </w:r>
    </w:p>
    <w:p>
      <w:pPr>
        <w:pStyle w:val="0"/>
        <w:jc w:val="right"/>
      </w:pPr>
      <w:r>
        <w:rPr>
          <w:sz w:val="20"/>
        </w:rPr>
      </w:r>
    </w:p>
    <w:p>
      <w:pPr>
        <w:pStyle w:val="2"/>
        <w:jc w:val="center"/>
      </w:pPr>
      <w:r>
        <w:rPr>
          <w:sz w:val="20"/>
        </w:rPr>
        <w:t xml:space="preserve">PUBLIC PARTICIPATION IN DECISION-MAKING</w:t>
      </w:r>
    </w:p>
    <w:p>
      <w:pPr>
        <w:pStyle w:val="0"/>
        <w:jc w:val="center"/>
      </w:pPr>
      <w:r>
        <w:rPr>
          <w:sz w:val="20"/>
        </w:rPr>
      </w:r>
    </w:p>
    <w:p>
      <w:pPr>
        <w:pStyle w:val="0"/>
        <w:ind w:firstLine="540"/>
        <w:jc w:val="both"/>
      </w:pPr>
      <w:r>
        <w:rPr>
          <w:sz w:val="20"/>
        </w:rPr>
        <w:t xml:space="preserve">1. The public shall be informed (by public notices or other appropriate means such as electronic media where available) of the following matters early in the procedure for the taking of a decision or, at the latest, as soon as the information can reasonably be provided:</w:t>
      </w:r>
    </w:p>
    <w:p>
      <w:pPr>
        <w:pStyle w:val="0"/>
        <w:spacing w:before="200" w:line-rule="auto"/>
        <w:ind w:firstLine="540"/>
        <w:jc w:val="both"/>
      </w:pPr>
      <w:r>
        <w:rPr>
          <w:sz w:val="20"/>
        </w:rPr>
        <w:t xml:space="preserve">(a) the application for a permit or, as the case may be, the proposal for the updating of a permit or of permit conditions in accordance with Article 21, including the description of the elements listed in Article 12 (1);</w:t>
      </w:r>
    </w:p>
    <w:p>
      <w:pPr>
        <w:pStyle w:val="0"/>
        <w:spacing w:before="200" w:line-rule="auto"/>
        <w:ind w:firstLine="540"/>
        <w:jc w:val="both"/>
      </w:pPr>
      <w:r>
        <w:rPr>
          <w:sz w:val="20"/>
        </w:rPr>
        <w:t xml:space="preserve">(b) where applicable, the fact that a decision is subject to a national or transboundary environmental impact assessment or to consultations between Member States in accordance with Article 26;</w:t>
      </w:r>
    </w:p>
    <w:p>
      <w:pPr>
        <w:pStyle w:val="0"/>
        <w:spacing w:before="200" w:line-rule="auto"/>
        <w:ind w:firstLine="540"/>
        <w:jc w:val="both"/>
      </w:pPr>
      <w:r>
        <w:rPr>
          <w:sz w:val="20"/>
        </w:rPr>
        <w:t xml:space="preserve">(c) details of the competent authorities responsible for taking the decision, those from which relevant information can be obtained, those to which comments or questions can be submitted, and details of the time schedule for transmitting comments or questions;</w:t>
      </w:r>
    </w:p>
    <w:p>
      <w:pPr>
        <w:pStyle w:val="0"/>
        <w:spacing w:before="200" w:line-rule="auto"/>
        <w:ind w:firstLine="540"/>
        <w:jc w:val="both"/>
      </w:pPr>
      <w:r>
        <w:rPr>
          <w:sz w:val="20"/>
        </w:rPr>
        <w:t xml:space="preserve">(d) the nature of possible decisions or, where there is one, the draft decision;</w:t>
      </w:r>
    </w:p>
    <w:p>
      <w:pPr>
        <w:pStyle w:val="0"/>
        <w:spacing w:before="200" w:line-rule="auto"/>
        <w:ind w:firstLine="540"/>
        <w:jc w:val="both"/>
      </w:pPr>
      <w:r>
        <w:rPr>
          <w:sz w:val="20"/>
        </w:rPr>
        <w:t xml:space="preserve">(e) where applicable, the details relating to a proposal for the updating of a permit or of permit conditions;</w:t>
      </w:r>
    </w:p>
    <w:p>
      <w:pPr>
        <w:pStyle w:val="0"/>
        <w:spacing w:before="200" w:line-rule="auto"/>
        <w:ind w:firstLine="540"/>
        <w:jc w:val="both"/>
      </w:pPr>
      <w:r>
        <w:rPr>
          <w:sz w:val="20"/>
        </w:rPr>
        <w:t xml:space="preserve">(f) an indication of the times and places where, or means by which, the relevant information will be made available;</w:t>
      </w:r>
    </w:p>
    <w:p>
      <w:pPr>
        <w:pStyle w:val="0"/>
        <w:spacing w:before="200" w:line-rule="auto"/>
        <w:ind w:firstLine="540"/>
        <w:jc w:val="both"/>
      </w:pPr>
      <w:r>
        <w:rPr>
          <w:sz w:val="20"/>
        </w:rPr>
        <w:t xml:space="preserve">(g) details of the arrangements for public participation and consultation made pursuant to point 5.</w:t>
      </w:r>
    </w:p>
    <w:p>
      <w:pPr>
        <w:pStyle w:val="0"/>
        <w:spacing w:before="200" w:line-rule="auto"/>
        <w:ind w:firstLine="540"/>
        <w:jc w:val="both"/>
      </w:pPr>
      <w:r>
        <w:rPr>
          <w:sz w:val="20"/>
        </w:rPr>
        <w:t xml:space="preserve">2. Member States shall ensure that, within appropriate time-frames, the following is made available to the public concerned:</w:t>
      </w:r>
    </w:p>
    <w:p>
      <w:pPr>
        <w:pStyle w:val="0"/>
        <w:spacing w:before="200" w:line-rule="auto"/>
        <w:ind w:firstLine="540"/>
        <w:jc w:val="both"/>
      </w:pPr>
      <w:r>
        <w:rPr>
          <w:sz w:val="20"/>
        </w:rPr>
        <w:t xml:space="preserve">(a) in accordance with national law, the main reports and advice issued to the competent authority or authorities at the time when the public concerned were informed in accordance with point 1;</w:t>
      </w:r>
    </w:p>
    <w:p>
      <w:pPr>
        <w:pStyle w:val="0"/>
        <w:spacing w:before="200" w:line-rule="auto"/>
        <w:ind w:firstLine="540"/>
        <w:jc w:val="both"/>
      </w:pPr>
      <w:r>
        <w:rPr>
          <w:sz w:val="20"/>
        </w:rPr>
        <w:t xml:space="preserve">(b) in accordance with Directive 2003/4/EC, information other than that referred to in point 1 which is relevant for the decision in accordance with Article 5 of this Directive and which only becomes available after the time the public concerned was informed in accordance with point 1.</w:t>
      </w:r>
    </w:p>
    <w:p>
      <w:pPr>
        <w:pStyle w:val="0"/>
        <w:spacing w:before="200" w:line-rule="auto"/>
        <w:ind w:firstLine="540"/>
        <w:jc w:val="both"/>
      </w:pPr>
      <w:r>
        <w:rPr>
          <w:sz w:val="20"/>
        </w:rPr>
        <w:t xml:space="preserve">3. The public concerned shall be entitled to express comments and opinions to the competent authority before a decision is taken.</w:t>
      </w:r>
    </w:p>
    <w:p>
      <w:pPr>
        <w:pStyle w:val="0"/>
        <w:spacing w:before="200" w:line-rule="auto"/>
        <w:ind w:firstLine="540"/>
        <w:jc w:val="both"/>
      </w:pPr>
      <w:r>
        <w:rPr>
          <w:sz w:val="20"/>
        </w:rPr>
        <w:t xml:space="preserve">4. The results of the consultations held pursuant to this Annex must be taken into due account in the taking of a decision.</w:t>
      </w:r>
    </w:p>
    <w:p>
      <w:pPr>
        <w:pStyle w:val="0"/>
        <w:spacing w:before="200" w:line-rule="auto"/>
        <w:ind w:firstLine="540"/>
        <w:jc w:val="both"/>
      </w:pPr>
      <w:r>
        <w:rPr>
          <w:sz w:val="20"/>
        </w:rPr>
        <w:t xml:space="preserve">5. The detailed arrangements for informing the public (for example by bill posting within a certain radius or publication in local newspapers) and consulting the public concerned (for example by written submissions or by way of a public inquiry) shall be determined by the Member States. Reasonable time-frames for the different phases shall be provided, allowing sufficient time to inform the public and for the public concerned to prepare and participate effectively in environmental decision-making subject to this Annex.</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Annex V</w:t>
      </w:r>
    </w:p>
    <w:p>
      <w:pPr>
        <w:pStyle w:val="0"/>
        <w:jc w:val="right"/>
      </w:pPr>
      <w:r>
        <w:rPr>
          <w:sz w:val="20"/>
        </w:rPr>
      </w:r>
    </w:p>
    <w:p>
      <w:pPr>
        <w:pStyle w:val="2"/>
        <w:jc w:val="center"/>
      </w:pPr>
      <w:r>
        <w:rPr>
          <w:sz w:val="20"/>
        </w:rPr>
        <w:t xml:space="preserve">TECHNICAL PROVISIONS RELATING TO COMBUSTION PLANTS</w:t>
      </w:r>
    </w:p>
    <w:p>
      <w:pPr>
        <w:pStyle w:val="0"/>
        <w:jc w:val="center"/>
      </w:pPr>
      <w:r>
        <w:rPr>
          <w:sz w:val="20"/>
        </w:rPr>
      </w:r>
    </w:p>
    <w:p>
      <w:pPr>
        <w:pStyle w:val="0"/>
        <w:outlineLvl w:val="1"/>
        <w:jc w:val="center"/>
      </w:pPr>
      <w:r>
        <w:rPr>
          <w:sz w:val="20"/>
        </w:rPr>
        <w:t xml:space="preserve">Part 1</w:t>
      </w:r>
    </w:p>
    <w:p>
      <w:pPr>
        <w:pStyle w:val="0"/>
        <w:jc w:val="center"/>
      </w:pPr>
      <w:r>
        <w:rPr>
          <w:sz w:val="20"/>
        </w:rPr>
      </w:r>
    </w:p>
    <w:p>
      <w:pPr>
        <w:pStyle w:val="0"/>
        <w:jc w:val="center"/>
      </w:pPr>
      <w:r>
        <w:rPr>
          <w:sz w:val="20"/>
        </w:rPr>
        <w:t xml:space="preserve">Emission limit values for combustion plants</w:t>
      </w:r>
    </w:p>
    <w:p>
      <w:pPr>
        <w:pStyle w:val="0"/>
        <w:jc w:val="center"/>
      </w:pPr>
      <w:r>
        <w:rPr>
          <w:sz w:val="20"/>
        </w:rPr>
        <w:t xml:space="preserve">referred to in Article 30 (2)</w:t>
      </w:r>
    </w:p>
    <w:p>
      <w:pPr>
        <w:pStyle w:val="0"/>
        <w:jc w:val="center"/>
      </w:pPr>
      <w:r>
        <w:rPr>
          <w:sz w:val="20"/>
        </w:rPr>
      </w:r>
    </w:p>
    <w:p>
      <w:pPr>
        <w:pStyle w:val="1"/>
        <w:jc w:val="both"/>
      </w:pPr>
      <w:r>
        <w:rPr>
          <w:sz w:val="20"/>
        </w:rPr>
        <w:t xml:space="preserve">    1.  All  emission  limit values shall be calculated at a temperature of</w:t>
      </w:r>
    </w:p>
    <w:p>
      <w:pPr>
        <w:pStyle w:val="1"/>
        <w:jc w:val="both"/>
      </w:pPr>
      <w:r>
        <w:rPr>
          <w:sz w:val="20"/>
        </w:rPr>
        <w:t xml:space="preserve">273,15 K, a pressure of 101,3 kPa and after correction for the water vapour</w:t>
      </w:r>
    </w:p>
    <w:p>
      <w:pPr>
        <w:pStyle w:val="1"/>
        <w:jc w:val="both"/>
      </w:pPr>
      <w:r>
        <w:rPr>
          <w:sz w:val="20"/>
        </w:rPr>
        <w:t xml:space="preserve">content of the waste gases and at a standardised O  content of 6% for solid</w:t>
      </w:r>
    </w:p>
    <w:p>
      <w:pPr>
        <w:pStyle w:val="1"/>
        <w:jc w:val="both"/>
      </w:pPr>
      <w:r>
        <w:rPr>
          <w:sz w:val="20"/>
        </w:rPr>
        <w:t xml:space="preserve">                                                  2</w:t>
      </w:r>
    </w:p>
    <w:p>
      <w:pPr>
        <w:pStyle w:val="1"/>
        <w:jc w:val="both"/>
      </w:pPr>
      <w:r>
        <w:rPr>
          <w:sz w:val="20"/>
        </w:rPr>
        <w:t xml:space="preserve">fuels,  3%  for  combustion plants, other than gas turbines and gas engines</w:t>
      </w:r>
    </w:p>
    <w:p>
      <w:pPr>
        <w:pStyle w:val="1"/>
        <w:jc w:val="both"/>
      </w:pPr>
      <w:r>
        <w:rPr>
          <w:sz w:val="20"/>
        </w:rPr>
        <w:t xml:space="preserve">using liquid and gaseous fuels and 15% for gas turbines and gas engines.</w:t>
      </w:r>
    </w:p>
    <w:p>
      <w:pPr>
        <w:pStyle w:val="1"/>
        <w:jc w:val="both"/>
      </w:pPr>
      <w:r>
        <w:rPr>
          <w:sz w:val="20"/>
        </w:rPr>
        <w:t xml:space="preserve">                                     3</w:t>
      </w:r>
    </w:p>
    <w:p>
      <w:pPr>
        <w:pStyle w:val="1"/>
        <w:jc w:val="both"/>
      </w:pPr>
      <w:r>
        <w:rPr>
          <w:sz w:val="20"/>
        </w:rPr>
        <w:t xml:space="preserve">    2.  Emission  limit values (mg/Nm ) for SO  for combustion plants using</w:t>
      </w:r>
    </w:p>
    <w:p>
      <w:pPr>
        <w:pStyle w:val="1"/>
        <w:jc w:val="both"/>
      </w:pPr>
      <w:r>
        <w:rPr>
          <w:sz w:val="20"/>
        </w:rPr>
        <w:t xml:space="preserve">                                              2</w:t>
      </w:r>
    </w:p>
    <w:p>
      <w:pPr>
        <w:pStyle w:val="1"/>
        <w:jc w:val="both"/>
      </w:pPr>
      <w:r>
        <w:rPr>
          <w:sz w:val="20"/>
        </w:rPr>
        <w:t xml:space="preserve">solid or liquid fuels with the exception of gas turbines and gas engines</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1638"/>
        <w:gridCol w:w="2340"/>
        <w:gridCol w:w="1287"/>
        <w:gridCol w:w="1521"/>
        <w:gridCol w:w="1872"/>
      </w:tblGrid>
      <w:tr>
        <w:trPr>
          <w:trHeight w:val="240" w:hRule="atLeast"/>
        </w:trPr>
        <w:tc>
          <w:tcPr>
            <w:tcW w:w="1755" w:type="dxa"/>
          </w:tcPr>
          <w:p>
            <w:pPr>
              <w:pStyle w:val="1"/>
              <w:jc w:val="both"/>
            </w:pPr>
            <w:r>
              <w:rPr>
                <w:sz w:val="20"/>
              </w:rPr>
              <w:t xml:space="preserve"> Total rated </w:t>
            </w:r>
          </w:p>
          <w:p>
            <w:pPr>
              <w:pStyle w:val="1"/>
              <w:jc w:val="both"/>
            </w:pPr>
            <w:r>
              <w:rPr>
                <w:sz w:val="20"/>
              </w:rPr>
              <w:t xml:space="preserve">   thermal   </w:t>
            </w:r>
          </w:p>
          <w:p>
            <w:pPr>
              <w:pStyle w:val="1"/>
              <w:jc w:val="both"/>
            </w:pPr>
            <w:r>
              <w:rPr>
                <w:sz w:val="20"/>
              </w:rPr>
              <w:t xml:space="preserve">  input (MW) </w:t>
            </w:r>
          </w:p>
        </w:tc>
        <w:tc>
          <w:tcPr>
            <w:tcW w:w="2457" w:type="dxa"/>
          </w:tcPr>
          <w:p>
            <w:pPr>
              <w:pStyle w:val="1"/>
              <w:jc w:val="both"/>
            </w:pPr>
            <w:r>
              <w:rPr>
                <w:sz w:val="20"/>
              </w:rPr>
              <w:t xml:space="preserve"> Coal and lignite  </w:t>
            </w:r>
          </w:p>
          <w:p>
            <w:pPr>
              <w:pStyle w:val="1"/>
              <w:jc w:val="both"/>
            </w:pPr>
            <w:r>
              <w:rPr>
                <w:sz w:val="20"/>
              </w:rPr>
              <w:t xml:space="preserve">  and other solid  </w:t>
            </w:r>
          </w:p>
          <w:p>
            <w:pPr>
              <w:pStyle w:val="1"/>
              <w:jc w:val="both"/>
            </w:pPr>
            <w:r>
              <w:rPr>
                <w:sz w:val="20"/>
              </w:rPr>
              <w:t xml:space="preserve">       fuels       </w:t>
            </w:r>
          </w:p>
        </w:tc>
        <w:tc>
          <w:tcPr>
            <w:tcW w:w="1404" w:type="dxa"/>
          </w:tcPr>
          <w:p>
            <w:pPr>
              <w:pStyle w:val="1"/>
              <w:jc w:val="both"/>
            </w:pPr>
            <w:r>
              <w:rPr>
                <w:sz w:val="20"/>
              </w:rPr>
              <w:t xml:space="preserve">  Biomass </w:t>
            </w:r>
          </w:p>
        </w:tc>
        <w:tc>
          <w:tcPr>
            <w:tcW w:w="1638" w:type="dxa"/>
          </w:tcPr>
          <w:p>
            <w:pPr>
              <w:pStyle w:val="1"/>
              <w:jc w:val="both"/>
            </w:pPr>
            <w:r>
              <w:rPr>
                <w:sz w:val="20"/>
              </w:rPr>
              <w:t xml:space="preserve">    Peat    </w:t>
            </w:r>
          </w:p>
        </w:tc>
        <w:tc>
          <w:tcPr>
            <w:tcW w:w="1989" w:type="dxa"/>
          </w:tcPr>
          <w:p>
            <w:pPr>
              <w:pStyle w:val="1"/>
              <w:jc w:val="both"/>
            </w:pPr>
            <w:r>
              <w:rPr>
                <w:sz w:val="20"/>
              </w:rPr>
              <w:t xml:space="preserve"> Liquid fuels  </w:t>
            </w:r>
          </w:p>
        </w:tc>
      </w:tr>
      <w:tr>
        <w:trPr>
          <w:trHeight w:val="240" w:hRule="atLeast"/>
        </w:trPr>
        <w:tc>
          <w:tcPr>
            <w:tcW w:w="1755" w:type="dxa"/>
            <w:tcBorders>
              <w:top w:val="nil"/>
            </w:tcBorders>
          </w:tcPr>
          <w:p>
            <w:pPr>
              <w:pStyle w:val="1"/>
              <w:jc w:val="both"/>
            </w:pPr>
            <w:r>
              <w:rPr>
                <w:sz w:val="20"/>
              </w:rPr>
              <w:t xml:space="preserve">   50 - 100  </w:t>
            </w:r>
          </w:p>
        </w:tc>
        <w:tc>
          <w:tcPr>
            <w:tcW w:w="2457" w:type="dxa"/>
            <w:tcBorders>
              <w:top w:val="nil"/>
            </w:tcBorders>
          </w:tcPr>
          <w:p>
            <w:pPr>
              <w:pStyle w:val="1"/>
              <w:jc w:val="both"/>
            </w:pPr>
            <w:r>
              <w:rPr>
                <w:sz w:val="20"/>
              </w:rPr>
              <w:t xml:space="preserve">                400</w:t>
            </w:r>
          </w:p>
        </w:tc>
        <w:tc>
          <w:tcPr>
            <w:tcW w:w="1404" w:type="dxa"/>
            <w:tcBorders>
              <w:top w:val="nil"/>
            </w:tcBorders>
          </w:tcPr>
          <w:p>
            <w:pPr>
              <w:pStyle w:val="1"/>
              <w:jc w:val="both"/>
            </w:pPr>
            <w:r>
              <w:rPr>
                <w:sz w:val="20"/>
              </w:rPr>
              <w:t xml:space="preserve">       200</w:t>
            </w:r>
          </w:p>
        </w:tc>
        <w:tc>
          <w:tcPr>
            <w:tcW w:w="1638" w:type="dxa"/>
            <w:tcBorders>
              <w:top w:val="nil"/>
            </w:tcBorders>
          </w:tcPr>
          <w:p>
            <w:pPr>
              <w:pStyle w:val="1"/>
              <w:jc w:val="both"/>
            </w:pPr>
            <w:r>
              <w:rPr>
                <w:sz w:val="20"/>
              </w:rPr>
              <w:t xml:space="preserve">         300</w:t>
            </w:r>
          </w:p>
        </w:tc>
        <w:tc>
          <w:tcPr>
            <w:tcW w:w="1989" w:type="dxa"/>
            <w:tcBorders>
              <w:top w:val="nil"/>
            </w:tcBorders>
          </w:tcPr>
          <w:p>
            <w:pPr>
              <w:pStyle w:val="1"/>
              <w:jc w:val="both"/>
            </w:pPr>
            <w:r>
              <w:rPr>
                <w:sz w:val="20"/>
              </w:rPr>
              <w:t xml:space="preserve">            350</w:t>
            </w:r>
          </w:p>
        </w:tc>
      </w:tr>
      <w:tr>
        <w:trPr>
          <w:trHeight w:val="240" w:hRule="atLeast"/>
        </w:trPr>
        <w:tc>
          <w:tcPr>
            <w:tcW w:w="1755" w:type="dxa"/>
            <w:tcBorders>
              <w:top w:val="nil"/>
            </w:tcBorders>
          </w:tcPr>
          <w:p>
            <w:pPr>
              <w:pStyle w:val="1"/>
              <w:jc w:val="both"/>
            </w:pPr>
            <w:r>
              <w:rPr>
                <w:sz w:val="20"/>
              </w:rPr>
              <w:t xml:space="preserve">  100 - 300  </w:t>
            </w:r>
          </w:p>
        </w:tc>
        <w:tc>
          <w:tcPr>
            <w:tcW w:w="2457" w:type="dxa"/>
            <w:tcBorders>
              <w:top w:val="nil"/>
            </w:tcBorders>
          </w:tcPr>
          <w:p>
            <w:pPr>
              <w:pStyle w:val="1"/>
              <w:jc w:val="both"/>
            </w:pPr>
            <w:r>
              <w:rPr>
                <w:sz w:val="20"/>
              </w:rPr>
              <w:t xml:space="preserve">                250</w:t>
            </w:r>
          </w:p>
        </w:tc>
        <w:tc>
          <w:tcPr>
            <w:tcW w:w="1404" w:type="dxa"/>
            <w:tcBorders>
              <w:top w:val="nil"/>
            </w:tcBorders>
          </w:tcPr>
          <w:p>
            <w:pPr>
              <w:pStyle w:val="1"/>
              <w:jc w:val="both"/>
            </w:pPr>
            <w:r>
              <w:rPr>
                <w:sz w:val="20"/>
              </w:rPr>
              <w:t xml:space="preserve">       200</w:t>
            </w:r>
          </w:p>
        </w:tc>
        <w:tc>
          <w:tcPr>
            <w:tcW w:w="1638" w:type="dxa"/>
            <w:tcBorders>
              <w:top w:val="nil"/>
            </w:tcBorders>
          </w:tcPr>
          <w:p>
            <w:pPr>
              <w:pStyle w:val="1"/>
              <w:jc w:val="both"/>
            </w:pPr>
            <w:r>
              <w:rPr>
                <w:sz w:val="20"/>
              </w:rPr>
              <w:t xml:space="preserve">         300</w:t>
            </w:r>
          </w:p>
        </w:tc>
        <w:tc>
          <w:tcPr>
            <w:tcW w:w="1989" w:type="dxa"/>
            <w:tcBorders>
              <w:top w:val="nil"/>
            </w:tcBorders>
          </w:tcPr>
          <w:p>
            <w:pPr>
              <w:pStyle w:val="1"/>
              <w:jc w:val="both"/>
            </w:pPr>
            <w:r>
              <w:rPr>
                <w:sz w:val="20"/>
              </w:rPr>
              <w:t xml:space="preserve">            250</w:t>
            </w:r>
          </w:p>
        </w:tc>
      </w:tr>
      <w:tr>
        <w:trPr>
          <w:trHeight w:val="240" w:hRule="atLeast"/>
        </w:trPr>
        <w:tc>
          <w:tcPr>
            <w:tcW w:w="1755" w:type="dxa"/>
            <w:tcBorders>
              <w:top w:val="nil"/>
            </w:tcBorders>
          </w:tcPr>
          <w:p>
            <w:pPr>
              <w:pStyle w:val="1"/>
              <w:jc w:val="both"/>
            </w:pPr>
            <w:r>
              <w:rPr>
                <w:sz w:val="20"/>
              </w:rPr>
              <w:t xml:space="preserve">      &gt; 300  </w:t>
            </w:r>
          </w:p>
        </w:tc>
        <w:tc>
          <w:tcPr>
            <w:tcW w:w="2457" w:type="dxa"/>
            <w:tcBorders>
              <w:top w:val="nil"/>
            </w:tcBorders>
          </w:tcPr>
          <w:p>
            <w:pPr>
              <w:pStyle w:val="1"/>
              <w:jc w:val="both"/>
            </w:pPr>
            <w:r>
              <w:rPr>
                <w:sz w:val="20"/>
              </w:rPr>
              <w:t xml:space="preserve">                200</w:t>
            </w:r>
          </w:p>
        </w:tc>
        <w:tc>
          <w:tcPr>
            <w:tcW w:w="1404" w:type="dxa"/>
            <w:tcBorders>
              <w:top w:val="nil"/>
            </w:tcBorders>
          </w:tcPr>
          <w:p>
            <w:pPr>
              <w:pStyle w:val="1"/>
              <w:jc w:val="both"/>
            </w:pPr>
            <w:r>
              <w:rPr>
                <w:sz w:val="20"/>
              </w:rPr>
              <w:t xml:space="preserve">       200</w:t>
            </w:r>
          </w:p>
        </w:tc>
        <w:tc>
          <w:tcPr>
            <w:tcW w:w="1638" w:type="dxa"/>
            <w:tcBorders>
              <w:top w:val="nil"/>
            </w:tcBorders>
          </w:tcPr>
          <w:p>
            <w:pPr>
              <w:pStyle w:val="1"/>
              <w:jc w:val="both"/>
            </w:pPr>
            <w:r>
              <w:rPr>
                <w:sz w:val="20"/>
              </w:rPr>
              <w:t xml:space="preserve">         200</w:t>
            </w:r>
          </w:p>
        </w:tc>
        <w:tc>
          <w:tcPr>
            <w:tcW w:w="1989" w:type="dxa"/>
            <w:tcBorders>
              <w:top w:val="nil"/>
            </w:tcBorders>
          </w:tcPr>
          <w:p>
            <w:pPr>
              <w:pStyle w:val="1"/>
              <w:jc w:val="both"/>
            </w:pPr>
            <w:r>
              <w:rPr>
                <w:sz w:val="20"/>
              </w:rPr>
              <w:t xml:space="preserve">            200</w:t>
            </w:r>
          </w:p>
        </w:tc>
      </w:tr>
    </w:tbl>
    <w:p>
      <w:pPr>
        <w:pStyle w:val="0"/>
        <w:ind w:firstLine="540"/>
        <w:jc w:val="both"/>
      </w:pPr>
      <w:r>
        <w:rPr>
          <w:sz w:val="20"/>
        </w:rPr>
      </w:r>
    </w:p>
    <w:p>
      <w:pPr>
        <w:pStyle w:val="1"/>
        <w:jc w:val="both"/>
      </w:pPr>
      <w:r>
        <w:rPr>
          <w:sz w:val="20"/>
        </w:rPr>
        <w:t xml:space="preserve">    Combustion plants, using solid fuels which were granted a permit before</w:t>
      </w:r>
    </w:p>
    <w:p>
      <w:pPr>
        <w:pStyle w:val="1"/>
        <w:jc w:val="both"/>
      </w:pPr>
      <w:r>
        <w:rPr>
          <w:sz w:val="20"/>
        </w:rPr>
        <w:t xml:space="preserve">27  November  2002  or  the  operators  of  which  had submitted a complete</w:t>
      </w:r>
    </w:p>
    <w:p>
      <w:pPr>
        <w:pStyle w:val="1"/>
        <w:jc w:val="both"/>
      </w:pPr>
      <w:r>
        <w:rPr>
          <w:sz w:val="20"/>
        </w:rPr>
        <w:t xml:space="preserve">application  for a permit before that date, provided that the plant was put</w:t>
      </w:r>
    </w:p>
    <w:p>
      <w:pPr>
        <w:pStyle w:val="1"/>
        <w:jc w:val="both"/>
      </w:pPr>
      <w:r>
        <w:rPr>
          <w:sz w:val="20"/>
        </w:rPr>
        <w:t xml:space="preserve">into  operation  no  later  than 27 November 2003, and which do not operate</w:t>
      </w:r>
    </w:p>
    <w:p>
      <w:pPr>
        <w:pStyle w:val="1"/>
        <w:jc w:val="both"/>
      </w:pPr>
      <w:r>
        <w:rPr>
          <w:sz w:val="20"/>
        </w:rPr>
        <w:t xml:space="preserve">more  than 1500 operating hours per year as a rolling average over a period</w:t>
      </w:r>
    </w:p>
    <w:p>
      <w:pPr>
        <w:pStyle w:val="1"/>
        <w:jc w:val="both"/>
      </w:pPr>
      <w:r>
        <w:rPr>
          <w:sz w:val="20"/>
        </w:rPr>
        <w:t xml:space="preserve">of  5  years,  shall  be  subject to an emission limit value for SO  of 800</w:t>
      </w:r>
    </w:p>
    <w:p>
      <w:pPr>
        <w:pStyle w:val="1"/>
        <w:jc w:val="both"/>
      </w:pPr>
      <w:r>
        <w:rPr>
          <w:sz w:val="20"/>
        </w:rPr>
        <w:t xml:space="preserve">     3                                                             2</w:t>
      </w:r>
    </w:p>
    <w:p>
      <w:pPr>
        <w:pStyle w:val="1"/>
        <w:jc w:val="both"/>
      </w:pPr>
      <w:r>
        <w:rPr>
          <w:sz w:val="20"/>
        </w:rPr>
        <w:t xml:space="preserve">mg/Nm .</w:t>
      </w:r>
    </w:p>
    <w:p>
      <w:pPr>
        <w:pStyle w:val="1"/>
        <w:jc w:val="both"/>
      </w:pPr>
      <w:r>
        <w:rPr>
          <w:sz w:val="20"/>
        </w:rPr>
        <w:t xml:space="preserve">    Combustion  plants  using  liquid  fuels,  which  were granted a permit</w:t>
      </w:r>
    </w:p>
    <w:p>
      <w:pPr>
        <w:pStyle w:val="1"/>
        <w:jc w:val="both"/>
      </w:pPr>
      <w:r>
        <w:rPr>
          <w:sz w:val="20"/>
        </w:rPr>
        <w:t xml:space="preserve">before  27 November 2002 or the operators of which had submitted a complete</w:t>
      </w:r>
    </w:p>
    <w:p>
      <w:pPr>
        <w:pStyle w:val="1"/>
        <w:jc w:val="both"/>
      </w:pPr>
      <w:r>
        <w:rPr>
          <w:sz w:val="20"/>
        </w:rPr>
        <w:t xml:space="preserve">application  for a permit before that date, provided that the plant was put</w:t>
      </w:r>
    </w:p>
    <w:p>
      <w:pPr>
        <w:pStyle w:val="1"/>
        <w:jc w:val="both"/>
      </w:pPr>
      <w:r>
        <w:rPr>
          <w:sz w:val="20"/>
        </w:rPr>
        <w:t xml:space="preserve">into  operation  no  later  than 27 November 2003, and which do not operate</w:t>
      </w:r>
    </w:p>
    <w:p>
      <w:pPr>
        <w:pStyle w:val="1"/>
        <w:jc w:val="both"/>
      </w:pPr>
      <w:r>
        <w:rPr>
          <w:sz w:val="20"/>
        </w:rPr>
        <w:t xml:space="preserve">more  than 1500 operating hours per year as a rolling average over a period</w:t>
      </w:r>
    </w:p>
    <w:p>
      <w:pPr>
        <w:pStyle w:val="1"/>
        <w:jc w:val="both"/>
      </w:pPr>
      <w:r>
        <w:rPr>
          <w:sz w:val="20"/>
        </w:rPr>
        <w:t xml:space="preserve">of  5  years,  shall  be  subject to an emission limit value for SO  of 850</w:t>
      </w:r>
    </w:p>
    <w:p>
      <w:pPr>
        <w:pStyle w:val="1"/>
        <w:jc w:val="both"/>
      </w:pPr>
      <w:r>
        <w:rPr>
          <w:sz w:val="20"/>
        </w:rPr>
        <w:t xml:space="preserve">     3                                                             2</w:t>
      </w:r>
    </w:p>
    <w:p>
      <w:pPr>
        <w:pStyle w:val="1"/>
        <w:jc w:val="both"/>
      </w:pPr>
      <w:r>
        <w:rPr>
          <w:sz w:val="20"/>
        </w:rPr>
        <w:t xml:space="preserve">mg/Nm  in case of plants with a total rated thermal input not exceeding 300</w:t>
      </w:r>
    </w:p>
    <w:p>
      <w:pPr>
        <w:pStyle w:val="1"/>
        <w:jc w:val="both"/>
      </w:pPr>
      <w:r>
        <w:rPr>
          <w:sz w:val="20"/>
        </w:rPr>
        <w:t xml:space="preserve">                       3</w:t>
      </w:r>
    </w:p>
    <w:p>
      <w:pPr>
        <w:pStyle w:val="1"/>
        <w:jc w:val="both"/>
      </w:pPr>
      <w:r>
        <w:rPr>
          <w:sz w:val="20"/>
        </w:rPr>
        <w:t xml:space="preserve">MW  and  of  400  mg/Nm  in case of plants with a total rated thermal input</w:t>
      </w:r>
    </w:p>
    <w:p>
      <w:pPr>
        <w:pStyle w:val="1"/>
        <w:jc w:val="both"/>
      </w:pPr>
      <w:r>
        <w:rPr>
          <w:sz w:val="20"/>
        </w:rPr>
        <w:t xml:space="preserve">greater than 300 MW.</w:t>
      </w:r>
    </w:p>
    <w:p>
      <w:pPr>
        <w:pStyle w:val="0"/>
        <w:ind w:firstLine="540"/>
        <w:jc w:val="both"/>
      </w:pPr>
      <w:r>
        <w:rPr>
          <w:sz w:val="20"/>
        </w:rPr>
        <w:t xml:space="preserve">A part of a combustion plant discharging its waste gases through one or more separate flues within a common stack, and which does not operate more than 1500 operating hours per year as a rolling average over a period of 5 years, may be subject to the emission limit values set out in the preceding two paragraphs in relation to the total rated thermal input of the entire combustion plant. In such cases the emissions through each of those flues shall be monitored separately.</w:t>
      </w:r>
    </w:p>
    <w:p>
      <w:pPr>
        <w:pStyle w:val="1"/>
        <w:spacing w:before="200" w:line-rule="auto"/>
        <w:jc w:val="both"/>
      </w:pPr>
      <w:r>
        <w:rPr>
          <w:sz w:val="20"/>
        </w:rPr>
        <w:t xml:space="preserve">                                     3</w:t>
      </w:r>
    </w:p>
    <w:p>
      <w:pPr>
        <w:pStyle w:val="1"/>
        <w:jc w:val="both"/>
      </w:pPr>
      <w:r>
        <w:rPr>
          <w:sz w:val="20"/>
        </w:rPr>
        <w:t xml:space="preserve">    3.  Emission  limit values (mg/Nm ) for SO  for combustion plants using</w:t>
      </w:r>
    </w:p>
    <w:p>
      <w:pPr>
        <w:pStyle w:val="1"/>
        <w:jc w:val="both"/>
      </w:pPr>
      <w:r>
        <w:rPr>
          <w:sz w:val="20"/>
        </w:rPr>
        <w:t xml:space="preserve">                                              2</w:t>
      </w:r>
    </w:p>
    <w:p>
      <w:pPr>
        <w:pStyle w:val="1"/>
        <w:jc w:val="both"/>
      </w:pPr>
      <w:r>
        <w:rPr>
          <w:sz w:val="20"/>
        </w:rPr>
        <w:t xml:space="preserve">gaseous fuels with the exception of gas turbines and gas engines</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6903"/>
        <w:gridCol w:w="1755"/>
      </w:tblGrid>
      <w:tr>
        <w:trPr>
          <w:trHeight w:val="240" w:hRule="atLeast"/>
        </w:trPr>
        <w:tc>
          <w:tcPr>
            <w:tcW w:w="7020" w:type="dxa"/>
          </w:tcPr>
          <w:p>
            <w:pPr>
              <w:pStyle w:val="1"/>
              <w:jc w:val="both"/>
            </w:pPr>
            <w:r>
              <w:rPr>
                <w:sz w:val="20"/>
              </w:rPr>
              <w:t xml:space="preserve">In general                                                </w:t>
            </w:r>
          </w:p>
        </w:tc>
        <w:tc>
          <w:tcPr>
            <w:tcW w:w="1872" w:type="dxa"/>
          </w:tcPr>
          <w:p>
            <w:pPr>
              <w:pStyle w:val="1"/>
              <w:jc w:val="both"/>
            </w:pPr>
            <w:r>
              <w:rPr>
                <w:sz w:val="20"/>
              </w:rPr>
              <w:t xml:space="preserve">            35</w:t>
            </w:r>
          </w:p>
        </w:tc>
      </w:tr>
      <w:tr>
        <w:trPr>
          <w:trHeight w:val="240" w:hRule="atLeast"/>
        </w:trPr>
        <w:tc>
          <w:tcPr>
            <w:tcW w:w="7020" w:type="dxa"/>
            <w:tcBorders>
              <w:top w:val="nil"/>
            </w:tcBorders>
          </w:tcPr>
          <w:p>
            <w:pPr>
              <w:pStyle w:val="1"/>
              <w:jc w:val="both"/>
            </w:pPr>
            <w:r>
              <w:rPr>
                <w:sz w:val="20"/>
              </w:rPr>
              <w:t xml:space="preserve">Liquefied gas                                             </w:t>
            </w:r>
          </w:p>
        </w:tc>
        <w:tc>
          <w:tcPr>
            <w:tcW w:w="1872" w:type="dxa"/>
            <w:tcBorders>
              <w:top w:val="nil"/>
            </w:tcBorders>
          </w:tcPr>
          <w:p>
            <w:pPr>
              <w:pStyle w:val="1"/>
              <w:jc w:val="both"/>
            </w:pPr>
            <w:r>
              <w:rPr>
                <w:sz w:val="20"/>
              </w:rPr>
              <w:t xml:space="preserve">             5</w:t>
            </w:r>
          </w:p>
        </w:tc>
      </w:tr>
      <w:tr>
        <w:trPr>
          <w:trHeight w:val="240" w:hRule="atLeast"/>
        </w:trPr>
        <w:tc>
          <w:tcPr>
            <w:tcW w:w="7020" w:type="dxa"/>
            <w:tcBorders>
              <w:top w:val="nil"/>
            </w:tcBorders>
          </w:tcPr>
          <w:p>
            <w:pPr>
              <w:pStyle w:val="1"/>
              <w:jc w:val="both"/>
            </w:pPr>
            <w:r>
              <w:rPr>
                <w:sz w:val="20"/>
              </w:rPr>
              <w:t xml:space="preserve">Low calorific gases from coke oven                        </w:t>
            </w:r>
          </w:p>
        </w:tc>
        <w:tc>
          <w:tcPr>
            <w:tcW w:w="1872" w:type="dxa"/>
            <w:tcBorders>
              <w:top w:val="nil"/>
            </w:tcBorders>
          </w:tcPr>
          <w:p>
            <w:pPr>
              <w:pStyle w:val="1"/>
              <w:jc w:val="both"/>
            </w:pPr>
            <w:r>
              <w:rPr>
                <w:sz w:val="20"/>
              </w:rPr>
              <w:t xml:space="preserve">           400</w:t>
            </w:r>
          </w:p>
        </w:tc>
      </w:tr>
      <w:tr>
        <w:trPr>
          <w:trHeight w:val="240" w:hRule="atLeast"/>
        </w:trPr>
        <w:tc>
          <w:tcPr>
            <w:tcW w:w="7020" w:type="dxa"/>
            <w:tcBorders>
              <w:top w:val="nil"/>
            </w:tcBorders>
          </w:tcPr>
          <w:p>
            <w:pPr>
              <w:pStyle w:val="1"/>
              <w:jc w:val="both"/>
            </w:pPr>
            <w:r>
              <w:rPr>
                <w:sz w:val="20"/>
              </w:rPr>
              <w:t xml:space="preserve">Low calorific gases from blast furnace                    </w:t>
            </w:r>
          </w:p>
        </w:tc>
        <w:tc>
          <w:tcPr>
            <w:tcW w:w="1872" w:type="dxa"/>
            <w:tcBorders>
              <w:top w:val="nil"/>
            </w:tcBorders>
          </w:tcPr>
          <w:p>
            <w:pPr>
              <w:pStyle w:val="1"/>
              <w:jc w:val="both"/>
            </w:pPr>
            <w:r>
              <w:rPr>
                <w:sz w:val="20"/>
              </w:rPr>
              <w:t xml:space="preserve">           200</w:t>
            </w:r>
          </w:p>
        </w:tc>
      </w:tr>
    </w:tbl>
    <w:p>
      <w:pPr>
        <w:pStyle w:val="0"/>
        <w:ind w:firstLine="540"/>
        <w:jc w:val="both"/>
      </w:pPr>
      <w:r>
        <w:rPr>
          <w:sz w:val="20"/>
        </w:rPr>
      </w:r>
    </w:p>
    <w:p>
      <w:pPr>
        <w:pStyle w:val="1"/>
        <w:jc w:val="both"/>
      </w:pPr>
      <w:r>
        <w:rPr>
          <w:sz w:val="20"/>
        </w:rPr>
        <w:t xml:space="preserve">    Combustion  plants,  firing  low  calorific  gases from gasification of</w:t>
      </w:r>
    </w:p>
    <w:p>
      <w:pPr>
        <w:pStyle w:val="1"/>
        <w:jc w:val="both"/>
      </w:pPr>
      <w:r>
        <w:rPr>
          <w:sz w:val="20"/>
        </w:rPr>
        <w:t xml:space="preserve">refinery  residues,  which were granted a permit before 27 November 2002 or</w:t>
      </w:r>
    </w:p>
    <w:p>
      <w:pPr>
        <w:pStyle w:val="1"/>
        <w:jc w:val="both"/>
      </w:pPr>
      <w:r>
        <w:rPr>
          <w:sz w:val="20"/>
        </w:rPr>
        <w:t xml:space="preserve">the  operators  of  which had submitted a complete application for a permit</w:t>
      </w:r>
    </w:p>
    <w:p>
      <w:pPr>
        <w:pStyle w:val="1"/>
        <w:jc w:val="both"/>
      </w:pPr>
      <w:r>
        <w:rPr>
          <w:sz w:val="20"/>
        </w:rPr>
        <w:t xml:space="preserve">before  that  date, provided that the plant was put into operation no later</w:t>
      </w:r>
    </w:p>
    <w:p>
      <w:pPr>
        <w:pStyle w:val="1"/>
        <w:jc w:val="both"/>
      </w:pPr>
      <w:r>
        <w:rPr>
          <w:sz w:val="20"/>
        </w:rPr>
        <w:t xml:space="preserve">than  27 November 2003, shall be subject to an emission limit value for SO</w:t>
      </w:r>
    </w:p>
    <w:p>
      <w:pPr>
        <w:pStyle w:val="1"/>
        <w:jc w:val="both"/>
      </w:pPr>
      <w:r>
        <w:rPr>
          <w:sz w:val="20"/>
        </w:rPr>
        <w:t xml:space="preserve">            3                                                             2</w:t>
      </w:r>
    </w:p>
    <w:p>
      <w:pPr>
        <w:pStyle w:val="1"/>
        <w:jc w:val="both"/>
      </w:pPr>
      <w:r>
        <w:rPr>
          <w:sz w:val="20"/>
        </w:rPr>
        <w:t xml:space="preserve">of 800 mg/Nm .</w:t>
      </w:r>
    </w:p>
    <w:p>
      <w:pPr>
        <w:pStyle w:val="1"/>
        <w:jc w:val="both"/>
      </w:pPr>
      <w:r>
        <w:rPr>
          <w:sz w:val="20"/>
        </w:rPr>
        <w:t xml:space="preserve">                                     3</w:t>
      </w:r>
    </w:p>
    <w:p>
      <w:pPr>
        <w:pStyle w:val="1"/>
        <w:jc w:val="both"/>
      </w:pPr>
      <w:r>
        <w:rPr>
          <w:sz w:val="20"/>
        </w:rPr>
        <w:t xml:space="preserve">    4.  Emission  limit values (mg/Nm ) for NO  for combustion plants using</w:t>
      </w:r>
    </w:p>
    <w:p>
      <w:pPr>
        <w:pStyle w:val="1"/>
        <w:jc w:val="both"/>
      </w:pPr>
      <w:r>
        <w:rPr>
          <w:sz w:val="20"/>
        </w:rPr>
        <w:t xml:space="preserve">                                              x</w:t>
      </w:r>
    </w:p>
    <w:p>
      <w:pPr>
        <w:pStyle w:val="1"/>
        <w:jc w:val="both"/>
      </w:pPr>
      <w:r>
        <w:rPr>
          <w:sz w:val="20"/>
        </w:rPr>
        <w:t xml:space="preserve">solid or liquid fuels with the exception of gas turbines and gas engines</w:t>
      </w:r>
    </w:p>
    <w:p>
      <w:pPr>
        <w:pStyle w:val="0"/>
        <w:ind w:firstLine="540"/>
        <w:jc w:val="both"/>
      </w:pPr>
      <w:r>
        <w:rPr>
          <w:sz w:val="20"/>
        </w:rPr>
      </w:r>
    </w:p>
    <w:p>
      <w:pPr>
        <w:pStyle w:val="3"/>
        <w:jc w:val="both"/>
      </w:pPr>
      <w:r>
        <w:rPr>
          <w:sz w:val="20"/>
        </w:rPr>
        <w:t xml:space="preserve">┌────────────┬──────────────────────────────────────┬──────────┬──────────┐</w:t>
      </w:r>
    </w:p>
    <w:p>
      <w:pPr>
        <w:pStyle w:val="3"/>
        <w:jc w:val="both"/>
      </w:pPr>
      <w:r>
        <w:rPr>
          <w:sz w:val="20"/>
        </w:rPr>
        <w:t xml:space="preserve">│Total rated │     Coal and lignite and other       │ Biomass  │  Liquid  │</w:t>
      </w:r>
    </w:p>
    <w:p>
      <w:pPr>
        <w:pStyle w:val="3"/>
        <w:jc w:val="both"/>
      </w:pPr>
      <w:r>
        <w:rPr>
          <w:sz w:val="20"/>
        </w:rPr>
        <w:t xml:space="preserve">│  thermal   │             solid fuels              │ and peat │  fuels   │</w:t>
      </w:r>
    </w:p>
    <w:p>
      <w:pPr>
        <w:pStyle w:val="3"/>
        <w:jc w:val="both"/>
      </w:pPr>
      <w:r>
        <w:rPr>
          <w:sz w:val="20"/>
        </w:rPr>
        <w:t xml:space="preserve">│ input (MW) │                                      │          │          │</w:t>
      </w:r>
    </w:p>
    <w:p>
      <w:pPr>
        <w:pStyle w:val="3"/>
        <w:jc w:val="both"/>
      </w:pPr>
      <w:r>
        <w:rPr>
          <w:sz w:val="20"/>
        </w:rPr>
        <w:t xml:space="preserve">├────────────┼──────────────────────────────────────┼──────────┼──────────┤</w:t>
      </w:r>
    </w:p>
    <w:p>
      <w:pPr>
        <w:pStyle w:val="3"/>
        <w:jc w:val="both"/>
      </w:pPr>
      <w:r>
        <w:rPr>
          <w:sz w:val="20"/>
        </w:rPr>
        <w:t xml:space="preserve">│  50 - 100  │300                                   │       300│   450    │</w:t>
      </w:r>
    </w:p>
    <w:p>
      <w:pPr>
        <w:pStyle w:val="3"/>
        <w:jc w:val="both"/>
      </w:pPr>
      <w:r>
        <w:rPr>
          <w:sz w:val="20"/>
        </w:rPr>
        <w:t xml:space="preserve">│            │450 in case of pulverised lignite     │          │          │</w:t>
      </w:r>
    </w:p>
    <w:p>
      <w:pPr>
        <w:pStyle w:val="3"/>
        <w:jc w:val="both"/>
      </w:pPr>
      <w:r>
        <w:rPr>
          <w:sz w:val="20"/>
        </w:rPr>
        <w:t xml:space="preserve">│            │combustion                            │          │          │</w:t>
      </w:r>
    </w:p>
    <w:p>
      <w:pPr>
        <w:pStyle w:val="3"/>
        <w:jc w:val="both"/>
      </w:pPr>
      <w:r>
        <w:rPr>
          <w:sz w:val="20"/>
        </w:rPr>
        <w:t xml:space="preserve">├────────────┼──────────────────────────────────────┼──────────┼──────────┤</w:t>
      </w:r>
    </w:p>
    <w:p>
      <w:pPr>
        <w:pStyle w:val="3"/>
        <w:jc w:val="both"/>
      </w:pPr>
      <w:r>
        <w:rPr>
          <w:sz w:val="20"/>
        </w:rPr>
        <w:t xml:space="preserve">│ 100 - 300  │200                                   │       250│   200 &lt;*&gt;│</w:t>
      </w:r>
    </w:p>
    <w:p>
      <w:pPr>
        <w:pStyle w:val="3"/>
        <w:jc w:val="both"/>
      </w:pPr>
      <w:r>
        <w:rPr>
          <w:sz w:val="20"/>
        </w:rPr>
        <w:t xml:space="preserve">├────────────┼──────────────────────────────────────┼──────────┼──────────┤</w:t>
      </w:r>
    </w:p>
    <w:p>
      <w:pPr>
        <w:pStyle w:val="3"/>
        <w:jc w:val="both"/>
      </w:pPr>
      <w:r>
        <w:rPr>
          <w:sz w:val="20"/>
        </w:rPr>
        <w:t xml:space="preserve">│     &gt; 300  │200                                   │       200│   150 &lt;*&gt;│</w:t>
      </w:r>
    </w:p>
    <w:p>
      <w:pPr>
        <w:pStyle w:val="3"/>
        <w:jc w:val="both"/>
      </w:pPr>
      <w:r>
        <w:rPr>
          <w:sz w:val="20"/>
        </w:rPr>
        <w:t xml:space="preserve">├────────────┴──────────────────────────────────────┴──────────┴──────────┤</w:t>
      </w:r>
    </w:p>
    <w:p>
      <w:pPr>
        <w:pStyle w:val="3"/>
        <w:jc w:val="both"/>
      </w:pPr>
      <w:r>
        <w:rPr>
          <w:sz w:val="20"/>
        </w:rPr>
        <w:t xml:space="preserve">│Note:                                                                    │</w:t>
      </w:r>
    </w:p>
    <w:p>
      <w:pPr>
        <w:pStyle w:val="3"/>
        <w:jc w:val="both"/>
      </w:pPr>
      <w:r>
        <w:rPr>
          <w:sz w:val="20"/>
        </w:rPr>
        <w:t xml:space="preserve">│                                         3                               │</w:t>
      </w:r>
    </w:p>
    <w:p>
      <w:pPr>
        <w:pStyle w:val="3"/>
        <w:jc w:val="both"/>
      </w:pPr>
      <w:r>
        <w:rPr>
          <w:sz w:val="20"/>
        </w:rPr>
        <w:t xml:space="preserve">│&lt;*&gt; The emission limit value is 450 mg/Nm  for the firing of distillation│</w:t>
      </w:r>
    </w:p>
    <w:p>
      <w:pPr>
        <w:pStyle w:val="3"/>
        <w:jc w:val="both"/>
      </w:pPr>
      <w:r>
        <w:rPr>
          <w:sz w:val="20"/>
        </w:rPr>
        <w:t xml:space="preserve">│and conversion residues from the refining of crude-oil for own           │</w:t>
      </w:r>
    </w:p>
    <w:p>
      <w:pPr>
        <w:pStyle w:val="3"/>
        <w:jc w:val="both"/>
      </w:pPr>
      <w:r>
        <w:rPr>
          <w:sz w:val="20"/>
        </w:rPr>
        <w:t xml:space="preserve">│consumption in combustion plants with a total rated thermal input not    │</w:t>
      </w:r>
    </w:p>
    <w:p>
      <w:pPr>
        <w:pStyle w:val="3"/>
        <w:jc w:val="both"/>
      </w:pPr>
      <w:r>
        <w:rPr>
          <w:sz w:val="20"/>
        </w:rPr>
        <w:t xml:space="preserve">│exceeding 500 MW which were granted a permit before 27 November 2002 or  │</w:t>
      </w:r>
    </w:p>
    <w:p>
      <w:pPr>
        <w:pStyle w:val="3"/>
        <w:jc w:val="both"/>
      </w:pPr>
      <w:r>
        <w:rPr>
          <w:sz w:val="20"/>
        </w:rPr>
        <w:t xml:space="preserve">│the operators of which had submitted a complete application for a permit │</w:t>
      </w:r>
    </w:p>
    <w:p>
      <w:pPr>
        <w:pStyle w:val="3"/>
        <w:jc w:val="both"/>
      </w:pPr>
      <w:r>
        <w:rPr>
          <w:sz w:val="20"/>
        </w:rPr>
        <w:t xml:space="preserve">│before that date, provided that the plant was put into operation no later│</w:t>
      </w:r>
    </w:p>
    <w:p>
      <w:pPr>
        <w:pStyle w:val="3"/>
        <w:jc w:val="both"/>
      </w:pPr>
      <w:r>
        <w:rPr>
          <w:sz w:val="20"/>
        </w:rPr>
        <w:t xml:space="preserve">│than 27 November 2003.                                                   │</w:t>
      </w:r>
    </w:p>
    <w:p>
      <w:pPr>
        <w:pStyle w:val="3"/>
        <w:jc w:val="both"/>
      </w:pPr>
      <w:r>
        <w:rPr>
          <w:sz w:val="20"/>
        </w:rPr>
        <w:t xml:space="preserve">└─────────────────────────────────────────────────────────────────────────┘</w:t>
      </w:r>
    </w:p>
    <w:p>
      <w:pPr>
        <w:pStyle w:val="0"/>
        <w:ind w:firstLine="540"/>
        <w:jc w:val="both"/>
      </w:pPr>
      <w:r>
        <w:rPr>
          <w:sz w:val="20"/>
        </w:rPr>
      </w:r>
    </w:p>
    <w:p>
      <w:pPr>
        <w:pStyle w:val="1"/>
        <w:jc w:val="both"/>
      </w:pPr>
      <w:r>
        <w:rPr>
          <w:sz w:val="20"/>
        </w:rPr>
        <w:t xml:space="preserve">    Combustion  plants  in  chemical  installations using liquid production</w:t>
      </w:r>
    </w:p>
    <w:p>
      <w:pPr>
        <w:pStyle w:val="1"/>
        <w:jc w:val="both"/>
      </w:pPr>
      <w:r>
        <w:rPr>
          <w:sz w:val="20"/>
        </w:rPr>
        <w:t xml:space="preserve">residues  as  non-commercial  fuel  for  own consumption with a total rated</w:t>
      </w:r>
    </w:p>
    <w:p>
      <w:pPr>
        <w:pStyle w:val="1"/>
        <w:jc w:val="both"/>
      </w:pPr>
      <w:r>
        <w:rPr>
          <w:sz w:val="20"/>
        </w:rPr>
        <w:t xml:space="preserve">thermal  input  not  exceeding 500 MW which were granted a permit before 27</w:t>
      </w:r>
    </w:p>
    <w:p>
      <w:pPr>
        <w:pStyle w:val="1"/>
        <w:jc w:val="both"/>
      </w:pPr>
      <w:r>
        <w:rPr>
          <w:sz w:val="20"/>
        </w:rPr>
        <w:t xml:space="preserve">November   2002  or  the  operators  of  which  had  submitted  a  complete</w:t>
      </w:r>
    </w:p>
    <w:p>
      <w:pPr>
        <w:pStyle w:val="1"/>
        <w:jc w:val="both"/>
      </w:pPr>
      <w:r>
        <w:rPr>
          <w:sz w:val="20"/>
        </w:rPr>
        <w:t xml:space="preserve">application  for a permit before that date, provided that the plant was put</w:t>
      </w:r>
    </w:p>
    <w:p>
      <w:pPr>
        <w:pStyle w:val="1"/>
        <w:jc w:val="both"/>
      </w:pPr>
      <w:r>
        <w:rPr>
          <w:sz w:val="20"/>
        </w:rPr>
        <w:t xml:space="preserve">into  operation  no  later  than  27  November 2003, shall be subject to an</w:t>
      </w:r>
    </w:p>
    <w:p>
      <w:pPr>
        <w:pStyle w:val="1"/>
        <w:jc w:val="both"/>
      </w:pPr>
      <w:r>
        <w:rPr>
          <w:sz w:val="20"/>
        </w:rPr>
        <w:t xml:space="preserve">                                         3</w:t>
      </w:r>
    </w:p>
    <w:p>
      <w:pPr>
        <w:pStyle w:val="1"/>
        <w:jc w:val="both"/>
      </w:pPr>
      <w:r>
        <w:rPr>
          <w:sz w:val="20"/>
        </w:rPr>
        <w:t xml:space="preserve">emission limit value for NO  of 450 mg/Nm .</w:t>
      </w:r>
    </w:p>
    <w:p>
      <w:pPr>
        <w:pStyle w:val="1"/>
        <w:jc w:val="both"/>
      </w:pPr>
      <w:r>
        <w:rPr>
          <w:sz w:val="20"/>
        </w:rPr>
        <w:t xml:space="preserve">                           x</w:t>
      </w:r>
    </w:p>
    <w:p>
      <w:pPr>
        <w:pStyle w:val="1"/>
        <w:jc w:val="both"/>
      </w:pPr>
      <w:r>
        <w:rPr>
          <w:sz w:val="20"/>
        </w:rPr>
        <w:t xml:space="preserve">    Combustion  plants  using  solid  or  liquid  fuels  with a total rated</w:t>
      </w:r>
    </w:p>
    <w:p>
      <w:pPr>
        <w:pStyle w:val="1"/>
        <w:jc w:val="both"/>
      </w:pPr>
      <w:r>
        <w:rPr>
          <w:sz w:val="20"/>
        </w:rPr>
        <w:t xml:space="preserve">thermal  input  not  exceeding 500 MW which were granted a permit before 27</w:t>
      </w:r>
    </w:p>
    <w:p>
      <w:pPr>
        <w:pStyle w:val="1"/>
        <w:jc w:val="both"/>
      </w:pPr>
      <w:r>
        <w:rPr>
          <w:sz w:val="20"/>
        </w:rPr>
        <w:t xml:space="preserve">November   2002  or  the  operators  of  which  had  submitted  a  complete</w:t>
      </w:r>
    </w:p>
    <w:p>
      <w:pPr>
        <w:pStyle w:val="1"/>
        <w:jc w:val="both"/>
      </w:pPr>
      <w:r>
        <w:rPr>
          <w:sz w:val="20"/>
        </w:rPr>
        <w:t xml:space="preserve">application  for a permit before that date, provided that the plant was put</w:t>
      </w:r>
    </w:p>
    <w:p>
      <w:pPr>
        <w:pStyle w:val="1"/>
        <w:jc w:val="both"/>
      </w:pPr>
      <w:r>
        <w:rPr>
          <w:sz w:val="20"/>
        </w:rPr>
        <w:t xml:space="preserve">into  operation  no  later  than 27 November 2003, and which do not operate</w:t>
      </w:r>
    </w:p>
    <w:p>
      <w:pPr>
        <w:pStyle w:val="1"/>
        <w:jc w:val="both"/>
      </w:pPr>
      <w:r>
        <w:rPr>
          <w:sz w:val="20"/>
        </w:rPr>
        <w:t xml:space="preserve">more  than 1500 operating hours per year as a rolling average over a period</w:t>
      </w:r>
    </w:p>
    <w:p>
      <w:pPr>
        <w:pStyle w:val="1"/>
        <w:jc w:val="both"/>
      </w:pPr>
      <w:r>
        <w:rPr>
          <w:sz w:val="20"/>
        </w:rPr>
        <w:t xml:space="preserve">of  5  years,  shall  be  subject to an emission limit value for NO  of 450</w:t>
      </w:r>
    </w:p>
    <w:p>
      <w:pPr>
        <w:pStyle w:val="1"/>
        <w:jc w:val="both"/>
      </w:pPr>
      <w:r>
        <w:rPr>
          <w:sz w:val="20"/>
        </w:rPr>
        <w:t xml:space="preserve">     3                                                             x</w:t>
      </w:r>
    </w:p>
    <w:p>
      <w:pPr>
        <w:pStyle w:val="1"/>
        <w:jc w:val="both"/>
      </w:pPr>
      <w:r>
        <w:rPr>
          <w:sz w:val="20"/>
        </w:rPr>
        <w:t xml:space="preserve">mg/Nm .</w:t>
      </w:r>
    </w:p>
    <w:p>
      <w:pPr>
        <w:pStyle w:val="1"/>
        <w:jc w:val="both"/>
      </w:pPr>
      <w:r>
        <w:rPr>
          <w:sz w:val="20"/>
        </w:rPr>
        <w:t xml:space="preserve">    Combustion  plants  using  solid fuels with a total rated thermal input</w:t>
      </w:r>
    </w:p>
    <w:p>
      <w:pPr>
        <w:pStyle w:val="1"/>
        <w:jc w:val="both"/>
      </w:pPr>
      <w:r>
        <w:rPr>
          <w:sz w:val="20"/>
        </w:rPr>
        <w:t xml:space="preserve">greater  than  500  MW,  which were granted a permit before 1 July 1987 and</w:t>
      </w:r>
    </w:p>
    <w:p>
      <w:pPr>
        <w:pStyle w:val="1"/>
        <w:jc w:val="both"/>
      </w:pPr>
      <w:r>
        <w:rPr>
          <w:sz w:val="20"/>
        </w:rPr>
        <w:t xml:space="preserve">which  do  not operate more than 1500 operating hours per year as a rolling</w:t>
      </w:r>
    </w:p>
    <w:p>
      <w:pPr>
        <w:pStyle w:val="1"/>
        <w:jc w:val="both"/>
      </w:pPr>
      <w:r>
        <w:rPr>
          <w:sz w:val="20"/>
        </w:rPr>
        <w:t xml:space="preserve">average  over  a  period  of 5 years, shall be subject to an emission limit</w:t>
      </w:r>
    </w:p>
    <w:p>
      <w:pPr>
        <w:pStyle w:val="1"/>
        <w:jc w:val="both"/>
      </w:pPr>
      <w:r>
        <w:rPr>
          <w:sz w:val="20"/>
        </w:rPr>
        <w:t xml:space="preserve">                          3</w:t>
      </w:r>
    </w:p>
    <w:p>
      <w:pPr>
        <w:pStyle w:val="1"/>
        <w:jc w:val="both"/>
      </w:pPr>
      <w:r>
        <w:rPr>
          <w:sz w:val="20"/>
        </w:rPr>
        <w:t xml:space="preserve">value for NO  of 450 mg/Nm .</w:t>
      </w:r>
    </w:p>
    <w:p>
      <w:pPr>
        <w:pStyle w:val="1"/>
        <w:jc w:val="both"/>
      </w:pPr>
      <w:r>
        <w:rPr>
          <w:sz w:val="20"/>
        </w:rPr>
        <w:t xml:space="preserve">            x</w:t>
      </w:r>
    </w:p>
    <w:p>
      <w:pPr>
        <w:pStyle w:val="1"/>
        <w:jc w:val="both"/>
      </w:pPr>
      <w:r>
        <w:rPr>
          <w:sz w:val="20"/>
        </w:rPr>
        <w:t xml:space="preserve">    Combustion  plants using liquid fuels, with a total rated thermal input</w:t>
      </w:r>
    </w:p>
    <w:p>
      <w:pPr>
        <w:pStyle w:val="1"/>
        <w:jc w:val="both"/>
      </w:pPr>
      <w:r>
        <w:rPr>
          <w:sz w:val="20"/>
        </w:rPr>
        <w:t xml:space="preserve">greater  than 500 MW which were granted a permit before 27 November 2002 or</w:t>
      </w:r>
    </w:p>
    <w:p>
      <w:pPr>
        <w:pStyle w:val="1"/>
        <w:jc w:val="both"/>
      </w:pPr>
      <w:r>
        <w:rPr>
          <w:sz w:val="20"/>
        </w:rPr>
        <w:t xml:space="preserve">the  operators  of  which had submitted a complete application for a permit</w:t>
      </w:r>
    </w:p>
    <w:p>
      <w:pPr>
        <w:pStyle w:val="1"/>
        <w:jc w:val="both"/>
      </w:pPr>
      <w:r>
        <w:rPr>
          <w:sz w:val="20"/>
        </w:rPr>
        <w:t xml:space="preserve">before  that  date, provided that the plant was put into operation no later</w:t>
      </w:r>
    </w:p>
    <w:p>
      <w:pPr>
        <w:pStyle w:val="1"/>
        <w:jc w:val="both"/>
      </w:pPr>
      <w:r>
        <w:rPr>
          <w:sz w:val="20"/>
        </w:rPr>
        <w:t xml:space="preserve">than  27  November  2003, and which do not operate more than 1500 operating</w:t>
      </w:r>
    </w:p>
    <w:p>
      <w:pPr>
        <w:pStyle w:val="1"/>
        <w:jc w:val="both"/>
      </w:pPr>
      <w:r>
        <w:rPr>
          <w:sz w:val="20"/>
        </w:rPr>
        <w:t xml:space="preserve">hours  per  year  as  a  rolling average over a period of 5 years, shall be</w:t>
      </w:r>
    </w:p>
    <w:p>
      <w:pPr>
        <w:pStyle w:val="1"/>
        <w:jc w:val="both"/>
      </w:pPr>
      <w:r>
        <w:rPr>
          <w:sz w:val="20"/>
        </w:rPr>
        <w:t xml:space="preserve">                                                       3</w:t>
      </w:r>
    </w:p>
    <w:p>
      <w:pPr>
        <w:pStyle w:val="1"/>
        <w:jc w:val="both"/>
      </w:pPr>
      <w:r>
        <w:rPr>
          <w:sz w:val="20"/>
        </w:rPr>
        <w:t xml:space="preserve">subject to an emission limit value for NO  of 400 mg/Nm .</w:t>
      </w:r>
    </w:p>
    <w:p>
      <w:pPr>
        <w:pStyle w:val="1"/>
        <w:jc w:val="both"/>
      </w:pPr>
      <w:r>
        <w:rPr>
          <w:sz w:val="20"/>
        </w:rPr>
        <w:t xml:space="preserve">                                         x</w:t>
      </w:r>
    </w:p>
    <w:p>
      <w:pPr>
        <w:pStyle w:val="0"/>
        <w:ind w:firstLine="540"/>
        <w:jc w:val="both"/>
      </w:pPr>
      <w:r>
        <w:rPr>
          <w:sz w:val="20"/>
        </w:rPr>
        <w:t xml:space="preserve">A part of a combustion plant discharging its waste gases through one or more separate flues within a common stack, and which does not operate more than 1500 operating hours per year as a rolling average over a period of 5 years, may be subject to the emission limit values set out in the preceding three paragraphs in relation to the total rated thermal input of the entire combustion plant. In such cases the emissions through each of those flues shall be monitored separately.</w:t>
      </w:r>
    </w:p>
    <w:p>
      <w:pPr>
        <w:pStyle w:val="1"/>
        <w:spacing w:before="200" w:line-rule="auto"/>
        <w:jc w:val="both"/>
      </w:pPr>
      <w:r>
        <w:rPr>
          <w:sz w:val="20"/>
        </w:rPr>
        <w:t xml:space="preserve">    5.  Gas  turbines  (including combined cycle gas turbines (CCGT)) using</w:t>
      </w:r>
    </w:p>
    <w:p>
      <w:pPr>
        <w:pStyle w:val="1"/>
        <w:jc w:val="both"/>
      </w:pPr>
      <w:r>
        <w:rPr>
          <w:sz w:val="20"/>
        </w:rPr>
        <w:t xml:space="preserve">light  and  middle  distillates  as  liquid  fuels  shall  be subject to an</w:t>
      </w:r>
    </w:p>
    <w:p>
      <w:pPr>
        <w:pStyle w:val="1"/>
        <w:jc w:val="both"/>
      </w:pPr>
      <w:r>
        <w:rPr>
          <w:sz w:val="20"/>
        </w:rPr>
        <w:t xml:space="preserve">                                        3                        3</w:t>
      </w:r>
    </w:p>
    <w:p>
      <w:pPr>
        <w:pStyle w:val="1"/>
        <w:jc w:val="both"/>
      </w:pPr>
      <w:r>
        <w:rPr>
          <w:sz w:val="20"/>
        </w:rPr>
        <w:t xml:space="preserve">emission limit value for NO  of 90 mg/Nm  and for CO of 100 mg/Nm .</w:t>
      </w:r>
    </w:p>
    <w:p>
      <w:pPr>
        <w:pStyle w:val="1"/>
        <w:jc w:val="both"/>
      </w:pPr>
      <w:r>
        <w:rPr>
          <w:sz w:val="20"/>
        </w:rPr>
        <w:t xml:space="preserve">                           x</w:t>
      </w:r>
    </w:p>
    <w:p>
      <w:pPr>
        <w:pStyle w:val="0"/>
        <w:ind w:firstLine="540"/>
        <w:jc w:val="both"/>
      </w:pPr>
      <w:r>
        <w:rPr>
          <w:sz w:val="20"/>
        </w:rPr>
        <w:t xml:space="preserve">Gas turbines for emergency use that operate less than 500 operating hours per year are not covered by the emission limit values set out in this point. The operator of such plants shall record the used operating hours.</w:t>
      </w:r>
    </w:p>
    <w:p>
      <w:pPr>
        <w:pStyle w:val="1"/>
        <w:spacing w:before="200" w:line-rule="auto"/>
        <w:jc w:val="both"/>
      </w:pPr>
      <w:r>
        <w:rPr>
          <w:sz w:val="20"/>
        </w:rPr>
        <w:t xml:space="preserve">                                       3</w:t>
      </w:r>
    </w:p>
    <w:p>
      <w:pPr>
        <w:pStyle w:val="1"/>
        <w:jc w:val="both"/>
      </w:pPr>
      <w:r>
        <w:rPr>
          <w:sz w:val="20"/>
        </w:rPr>
        <w:t xml:space="preserve">    6.  Emission  limit  values  (mg/Nm )  for  NO   and  CO  for gas fired</w:t>
      </w:r>
    </w:p>
    <w:p>
      <w:pPr>
        <w:pStyle w:val="1"/>
        <w:jc w:val="both"/>
      </w:pPr>
      <w:r>
        <w:rPr>
          <w:sz w:val="20"/>
        </w:rPr>
        <w:t xml:space="preserve">                                                  x</w:t>
      </w:r>
    </w:p>
    <w:p>
      <w:pPr>
        <w:pStyle w:val="1"/>
        <w:jc w:val="both"/>
      </w:pPr>
      <w:r>
        <w:rPr>
          <w:sz w:val="20"/>
        </w:rPr>
        <w:t xml:space="preserve">combustion plants</w:t>
      </w:r>
    </w:p>
    <w:p>
      <w:pPr>
        <w:pStyle w:val="0"/>
        <w:ind w:firstLine="540"/>
        <w:jc w:val="both"/>
      </w:pPr>
      <w:r>
        <w:rPr>
          <w:sz w:val="20"/>
        </w:rPr>
      </w:r>
    </w:p>
    <w:p>
      <w:pPr>
        <w:pStyle w:val="3"/>
        <w:jc w:val="both"/>
      </w:pPr>
      <w:r>
        <w:rPr>
          <w:sz w:val="20"/>
        </w:rPr>
        <w:t xml:space="preserve">┌─────────────────────────────────────────────┬──────────────┬────────────┐</w:t>
      </w:r>
    </w:p>
    <w:p>
      <w:pPr>
        <w:pStyle w:val="3"/>
        <w:jc w:val="both"/>
      </w:pPr>
      <w:r>
        <w:rPr>
          <w:sz w:val="20"/>
        </w:rPr>
        <w:t xml:space="preserve">│                                             │      NO      │    CO      │</w:t>
      </w:r>
    </w:p>
    <w:p>
      <w:pPr>
        <w:pStyle w:val="3"/>
        <w:jc w:val="both"/>
      </w:pPr>
      <w:r>
        <w:rPr>
          <w:sz w:val="20"/>
        </w:rPr>
        <w:t xml:space="preserve">│                                             │        x     │            │</w:t>
      </w:r>
    </w:p>
    <w:p>
      <w:pPr>
        <w:pStyle w:val="3"/>
        <w:jc w:val="both"/>
      </w:pPr>
      <w:r>
        <w:rPr>
          <w:sz w:val="20"/>
        </w:rPr>
        <w:t xml:space="preserve">├─────────────────────────────────────────────┼──────────────┼────────────┤</w:t>
      </w:r>
    </w:p>
    <w:p>
      <w:pPr>
        <w:pStyle w:val="3"/>
        <w:jc w:val="both"/>
      </w:pPr>
      <w:r>
        <w:rPr>
          <w:sz w:val="20"/>
        </w:rPr>
        <w:t xml:space="preserve">│Combustion plants firing natural gas with the│   100        │         100│</w:t>
      </w:r>
    </w:p>
    <w:p>
      <w:pPr>
        <w:pStyle w:val="3"/>
        <w:jc w:val="both"/>
      </w:pPr>
      <w:r>
        <w:rPr>
          <w:sz w:val="20"/>
        </w:rPr>
        <w:t xml:space="preserve">│exception of gas turbines and gas engines    │              │            │</w:t>
      </w:r>
    </w:p>
    <w:p>
      <w:pPr>
        <w:pStyle w:val="3"/>
        <w:jc w:val="both"/>
      </w:pPr>
      <w:r>
        <w:rPr>
          <w:sz w:val="20"/>
        </w:rPr>
        <w:t xml:space="preserve">├─────────────────────────────────────────────┼──────────────┼────────────┤</w:t>
      </w:r>
    </w:p>
    <w:p>
      <w:pPr>
        <w:pStyle w:val="3"/>
        <w:jc w:val="both"/>
      </w:pPr>
      <w:r>
        <w:rPr>
          <w:sz w:val="20"/>
        </w:rPr>
        <w:t xml:space="preserve">│Combustion plants firing blast furnace gas,  │   200 &lt;4&gt;    │    -       │</w:t>
      </w:r>
    </w:p>
    <w:p>
      <w:pPr>
        <w:pStyle w:val="3"/>
        <w:jc w:val="both"/>
      </w:pPr>
      <w:r>
        <w:rPr>
          <w:sz w:val="20"/>
        </w:rPr>
        <w:t xml:space="preserve">│coke oven gas or low calorific gases from    │              │            │</w:t>
      </w:r>
    </w:p>
    <w:p>
      <w:pPr>
        <w:pStyle w:val="3"/>
        <w:jc w:val="both"/>
      </w:pPr>
      <w:r>
        <w:rPr>
          <w:sz w:val="20"/>
        </w:rPr>
        <w:t xml:space="preserve">│gasification of refinery residues, with the  │              │            │</w:t>
      </w:r>
    </w:p>
    <w:p>
      <w:pPr>
        <w:pStyle w:val="3"/>
        <w:jc w:val="both"/>
      </w:pPr>
      <w:r>
        <w:rPr>
          <w:sz w:val="20"/>
        </w:rPr>
        <w:t xml:space="preserve">│exception of gas turbines and gas engines    │              │            │</w:t>
      </w:r>
    </w:p>
    <w:p>
      <w:pPr>
        <w:pStyle w:val="3"/>
        <w:jc w:val="both"/>
      </w:pPr>
      <w:r>
        <w:rPr>
          <w:sz w:val="20"/>
        </w:rPr>
        <w:t xml:space="preserve">├─────────────────────────────────────────────┼──────────────┼────────────┤</w:t>
      </w:r>
    </w:p>
    <w:p>
      <w:pPr>
        <w:pStyle w:val="3"/>
        <w:jc w:val="both"/>
      </w:pPr>
      <w:r>
        <w:rPr>
          <w:sz w:val="20"/>
        </w:rPr>
        <w:t xml:space="preserve">│Combustion plants firing other gases, with   │   200 &lt;4&gt;    │    -       │</w:t>
      </w:r>
    </w:p>
    <w:p>
      <w:pPr>
        <w:pStyle w:val="3"/>
        <w:jc w:val="both"/>
      </w:pPr>
      <w:r>
        <w:rPr>
          <w:sz w:val="20"/>
        </w:rPr>
        <w:t xml:space="preserve">│the exception of gas turbines and gas engines│              │            │</w:t>
      </w:r>
    </w:p>
    <w:p>
      <w:pPr>
        <w:pStyle w:val="3"/>
        <w:jc w:val="both"/>
      </w:pPr>
      <w:r>
        <w:rPr>
          <w:sz w:val="20"/>
        </w:rPr>
        <w:t xml:space="preserve">├─────────────────────────────────────────────┼──────────────┼────────────┤</w:t>
      </w:r>
    </w:p>
    <w:p>
      <w:pPr>
        <w:pStyle w:val="3"/>
        <w:jc w:val="both"/>
      </w:pPr>
      <w:r>
        <w:rPr>
          <w:sz w:val="20"/>
        </w:rPr>
        <w:t xml:space="preserve">│Gas turbines (including CCGT), using natural │    50 &lt;2&gt; &lt;3&gt;│         100│</w:t>
      </w:r>
    </w:p>
    <w:p>
      <w:pPr>
        <w:pStyle w:val="3"/>
        <w:jc w:val="both"/>
      </w:pPr>
      <w:r>
        <w:rPr>
          <w:sz w:val="20"/>
        </w:rPr>
        <w:t xml:space="preserve">│gas &lt;1&gt; as fuel                              │              │            │</w:t>
      </w:r>
    </w:p>
    <w:p>
      <w:pPr>
        <w:pStyle w:val="3"/>
        <w:jc w:val="both"/>
      </w:pPr>
      <w:r>
        <w:rPr>
          <w:sz w:val="20"/>
        </w:rPr>
        <w:t xml:space="preserve">├─────────────────────────────────────────────┼──────────────┼────────────┤</w:t>
      </w:r>
    </w:p>
    <w:p>
      <w:pPr>
        <w:pStyle w:val="3"/>
        <w:jc w:val="both"/>
      </w:pPr>
      <w:r>
        <w:rPr>
          <w:sz w:val="20"/>
        </w:rPr>
        <w:t xml:space="preserve">│Gas turbines (including CCGT), using other   │   120        │    -       │</w:t>
      </w:r>
    </w:p>
    <w:p>
      <w:pPr>
        <w:pStyle w:val="3"/>
        <w:jc w:val="both"/>
      </w:pPr>
      <w:r>
        <w:rPr>
          <w:sz w:val="20"/>
        </w:rPr>
        <w:t xml:space="preserve">│gases as fuel                                │              │            │</w:t>
      </w:r>
    </w:p>
    <w:p>
      <w:pPr>
        <w:pStyle w:val="3"/>
        <w:jc w:val="both"/>
      </w:pPr>
      <w:r>
        <w:rPr>
          <w:sz w:val="20"/>
        </w:rPr>
        <w:t xml:space="preserve">├─────────────────────────────────────────────┼──────────────┼────────────┤</w:t>
      </w:r>
    </w:p>
    <w:p>
      <w:pPr>
        <w:pStyle w:val="3"/>
        <w:jc w:val="both"/>
      </w:pPr>
      <w:r>
        <w:rPr>
          <w:sz w:val="20"/>
        </w:rPr>
        <w:t xml:space="preserve">│Gas engines                                  │   100        │         100│</w:t>
      </w:r>
    </w:p>
    <w:p>
      <w:pPr>
        <w:pStyle w:val="3"/>
        <w:jc w:val="both"/>
      </w:pPr>
      <w:r>
        <w:rPr>
          <w:sz w:val="20"/>
        </w:rPr>
        <w:t xml:space="preserve">├─────────────────────────────────────────────┴──────────────┴────────────┤</w:t>
      </w:r>
    </w:p>
    <w:p>
      <w:pPr>
        <w:pStyle w:val="3"/>
        <w:jc w:val="both"/>
      </w:pPr>
      <w:r>
        <w:rPr>
          <w:sz w:val="20"/>
        </w:rPr>
        <w:t xml:space="preserve">│Notes:                                                                   │</w:t>
      </w:r>
    </w:p>
    <w:p>
      <w:pPr>
        <w:pStyle w:val="3"/>
        <w:jc w:val="both"/>
      </w:pPr>
      <w:r>
        <w:rPr>
          <w:sz w:val="20"/>
        </w:rPr>
        <w:t xml:space="preserve">│&lt;1&gt; Natural gas is naturally occurring methane with not more than 20% (by│</w:t>
      </w:r>
    </w:p>
    <w:p>
      <w:pPr>
        <w:pStyle w:val="3"/>
        <w:jc w:val="both"/>
      </w:pPr>
      <w:r>
        <w:rPr>
          <w:sz w:val="20"/>
        </w:rPr>
        <w:t xml:space="preserve">│volume) of inerts and other constituents.                                │</w:t>
      </w:r>
    </w:p>
    <w:p>
      <w:pPr>
        <w:pStyle w:val="3"/>
        <w:jc w:val="both"/>
      </w:pPr>
      <w:r>
        <w:rPr>
          <w:sz w:val="20"/>
        </w:rPr>
        <w:t xml:space="preserve">│            3                                                            │</w:t>
      </w:r>
    </w:p>
    <w:p>
      <w:pPr>
        <w:pStyle w:val="3"/>
        <w:jc w:val="both"/>
      </w:pPr>
      <w:r>
        <w:rPr>
          <w:sz w:val="20"/>
        </w:rPr>
        <w:t xml:space="preserve">│&lt;2&gt; 75 mg/Nm  in the following cases, where the efficiency of the gas    │</w:t>
      </w:r>
    </w:p>
    <w:p>
      <w:pPr>
        <w:pStyle w:val="3"/>
        <w:jc w:val="both"/>
      </w:pPr>
      <w:r>
        <w:rPr>
          <w:sz w:val="20"/>
        </w:rPr>
        <w:t xml:space="preserve">│turbine is determined at ISO base load conditions:                       │</w:t>
      </w:r>
    </w:p>
    <w:p>
      <w:pPr>
        <w:pStyle w:val="3"/>
        <w:jc w:val="both"/>
      </w:pPr>
      <w:r>
        <w:rPr>
          <w:sz w:val="20"/>
        </w:rPr>
        <w:t xml:space="preserve">│(i) gas turbines, used in combined heat and power systems having an      │</w:t>
      </w:r>
    </w:p>
    <w:p>
      <w:pPr>
        <w:pStyle w:val="3"/>
        <w:jc w:val="both"/>
      </w:pPr>
      <w:r>
        <w:rPr>
          <w:sz w:val="20"/>
        </w:rPr>
        <w:t xml:space="preserve">│overall efficiency greater than 75%;                                     │</w:t>
      </w:r>
    </w:p>
    <w:p>
      <w:pPr>
        <w:pStyle w:val="3"/>
        <w:jc w:val="both"/>
      </w:pPr>
      <w:r>
        <w:rPr>
          <w:sz w:val="20"/>
        </w:rPr>
        <w:t xml:space="preserve">│(ii) gas turbines used in combined cycle plants having an annual average │</w:t>
      </w:r>
    </w:p>
    <w:p>
      <w:pPr>
        <w:pStyle w:val="3"/>
        <w:jc w:val="both"/>
      </w:pPr>
      <w:r>
        <w:rPr>
          <w:sz w:val="20"/>
        </w:rPr>
        <w:t xml:space="preserve">│overall electrical efficiency greater than 55%;                          │</w:t>
      </w:r>
    </w:p>
    <w:p>
      <w:pPr>
        <w:pStyle w:val="3"/>
        <w:jc w:val="both"/>
      </w:pPr>
      <w:r>
        <w:rPr>
          <w:sz w:val="20"/>
        </w:rPr>
        <w:t xml:space="preserve">│(iii) gas turbines for mechanical drives.                                │</w:t>
      </w:r>
    </w:p>
    <w:p>
      <w:pPr>
        <w:pStyle w:val="3"/>
        <w:jc w:val="both"/>
      </w:pPr>
      <w:r>
        <w:rPr>
          <w:sz w:val="20"/>
        </w:rPr>
        <w:t xml:space="preserve">│&lt;3&gt; For single cycle gas turbines not falling into any of the categories │</w:t>
      </w:r>
    </w:p>
    <w:p>
      <w:pPr>
        <w:pStyle w:val="3"/>
        <w:jc w:val="both"/>
      </w:pPr>
      <w:r>
        <w:rPr>
          <w:sz w:val="20"/>
        </w:rPr>
        <w:t xml:space="preserve">│mentioned under note &lt;2&gt;, but having an efficiency greater than 35% -    │</w:t>
      </w:r>
    </w:p>
    <w:p>
      <w:pPr>
        <w:pStyle w:val="3"/>
        <w:jc w:val="both"/>
      </w:pPr>
      <w:r>
        <w:rPr>
          <w:sz w:val="20"/>
        </w:rPr>
        <w:t xml:space="preserve">│determined at ISO base load conditions - the emission limit value for NO │</w:t>
      </w:r>
    </w:p>
    <w:p>
      <w:pPr>
        <w:pStyle w:val="3"/>
        <w:jc w:val="both"/>
      </w:pPr>
      <w:r>
        <w:rPr>
          <w:sz w:val="20"/>
        </w:rPr>
        <w:t xml:space="preserve">│                                                                        x│</w:t>
      </w:r>
    </w:p>
    <w:p>
      <w:pPr>
        <w:pStyle w:val="3"/>
        <w:jc w:val="both"/>
      </w:pPr>
      <w:r>
        <w:rPr>
          <w:sz w:val="20"/>
        </w:rPr>
        <w:t xml:space="preserve">│shall be 50 xeta/35 where eta is the gas turbine efficiency at ISO base  │</w:t>
      </w:r>
    </w:p>
    <w:p>
      <w:pPr>
        <w:pStyle w:val="3"/>
        <w:jc w:val="both"/>
      </w:pPr>
      <w:r>
        <w:rPr>
          <w:sz w:val="20"/>
        </w:rPr>
        <w:t xml:space="preserve">│load conditions expressed as a percentage.                               │</w:t>
      </w:r>
    </w:p>
    <w:p>
      <w:pPr>
        <w:pStyle w:val="3"/>
        <w:jc w:val="both"/>
      </w:pPr>
      <w:r>
        <w:rPr>
          <w:sz w:val="20"/>
        </w:rPr>
        <w:t xml:space="preserve">│             3                                                           │</w:t>
      </w:r>
    </w:p>
    <w:p>
      <w:pPr>
        <w:pStyle w:val="3"/>
        <w:jc w:val="both"/>
      </w:pPr>
      <w:r>
        <w:rPr>
          <w:sz w:val="20"/>
        </w:rPr>
        <w:t xml:space="preserve">│&lt;4&gt; 300 mg/Nm  for such combustion plants with a total rated thermal     │</w:t>
      </w:r>
    </w:p>
    <w:p>
      <w:pPr>
        <w:pStyle w:val="3"/>
        <w:jc w:val="both"/>
      </w:pPr>
      <w:r>
        <w:rPr>
          <w:sz w:val="20"/>
        </w:rPr>
        <w:t xml:space="preserve">│input not exceeding 500 MW which were granted a permit before 27 November│</w:t>
      </w:r>
    </w:p>
    <w:p>
      <w:pPr>
        <w:pStyle w:val="3"/>
        <w:jc w:val="both"/>
      </w:pPr>
      <w:r>
        <w:rPr>
          <w:sz w:val="20"/>
        </w:rPr>
        <w:t xml:space="preserve">│2002 or the operators of which had submitted a complete application for a│</w:t>
      </w:r>
    </w:p>
    <w:p>
      <w:pPr>
        <w:pStyle w:val="3"/>
        <w:jc w:val="both"/>
      </w:pPr>
      <w:r>
        <w:rPr>
          <w:sz w:val="20"/>
        </w:rPr>
        <w:t xml:space="preserve">│permit before that date, provided that the plant was put into operation  │</w:t>
      </w:r>
    </w:p>
    <w:p>
      <w:pPr>
        <w:pStyle w:val="3"/>
        <w:jc w:val="both"/>
      </w:pPr>
      <w:r>
        <w:rPr>
          <w:sz w:val="20"/>
        </w:rPr>
        <w:t xml:space="preserve">│no later than 27 November 2003.                                          │</w:t>
      </w:r>
    </w:p>
    <w:p>
      <w:pPr>
        <w:pStyle w:val="3"/>
        <w:jc w:val="both"/>
      </w:pPr>
      <w:r>
        <w:rPr>
          <w:sz w:val="20"/>
        </w:rPr>
        <w:t xml:space="preserve">└─────────────────────────────────────────────────────────────────────────┘</w:t>
      </w:r>
    </w:p>
    <w:p>
      <w:pPr>
        <w:pStyle w:val="0"/>
        <w:ind w:firstLine="540"/>
        <w:jc w:val="both"/>
      </w:pPr>
      <w:r>
        <w:rPr>
          <w:sz w:val="20"/>
        </w:rPr>
      </w:r>
    </w:p>
    <w:p>
      <w:pPr>
        <w:pStyle w:val="1"/>
        <w:jc w:val="both"/>
      </w:pPr>
      <w:r>
        <w:rPr>
          <w:sz w:val="20"/>
        </w:rPr>
        <w:t xml:space="preserve">    For gas turbines (including CCGT), the NO  and CO emission limit values</w:t>
      </w:r>
    </w:p>
    <w:p>
      <w:pPr>
        <w:pStyle w:val="1"/>
        <w:jc w:val="both"/>
      </w:pPr>
      <w:r>
        <w:rPr>
          <w:sz w:val="20"/>
        </w:rPr>
        <w:t xml:space="preserve">                                             x</w:t>
      </w:r>
    </w:p>
    <w:p>
      <w:pPr>
        <w:pStyle w:val="1"/>
        <w:jc w:val="both"/>
      </w:pPr>
      <w:r>
        <w:rPr>
          <w:sz w:val="20"/>
        </w:rPr>
        <w:t xml:space="preserve">set out in the table contained in this point apply only above 70% load.</w:t>
      </w:r>
    </w:p>
    <w:p>
      <w:pPr>
        <w:pStyle w:val="1"/>
        <w:jc w:val="both"/>
      </w:pPr>
      <w:r>
        <w:rPr>
          <w:sz w:val="20"/>
        </w:rPr>
        <w:t xml:space="preserve">    For gas turbines (including CCGT) which were granted a permit before 27</w:t>
      </w:r>
    </w:p>
    <w:p>
      <w:pPr>
        <w:pStyle w:val="1"/>
        <w:jc w:val="both"/>
      </w:pPr>
      <w:r>
        <w:rPr>
          <w:sz w:val="20"/>
        </w:rPr>
        <w:t xml:space="preserve">November   2002  or  the  operators  of  which  had  submitted  a  complete</w:t>
      </w:r>
    </w:p>
    <w:p>
      <w:pPr>
        <w:pStyle w:val="1"/>
        <w:jc w:val="both"/>
      </w:pPr>
      <w:r>
        <w:rPr>
          <w:sz w:val="20"/>
        </w:rPr>
        <w:t xml:space="preserve">application  for a permit before that date, provided that the plant was put</w:t>
      </w:r>
    </w:p>
    <w:p>
      <w:pPr>
        <w:pStyle w:val="1"/>
        <w:jc w:val="both"/>
      </w:pPr>
      <w:r>
        <w:rPr>
          <w:sz w:val="20"/>
        </w:rPr>
        <w:t xml:space="preserve">into  operation  no  later  than 27 November 2003, and which do not operate</w:t>
      </w:r>
    </w:p>
    <w:p>
      <w:pPr>
        <w:pStyle w:val="1"/>
        <w:jc w:val="both"/>
      </w:pPr>
      <w:r>
        <w:rPr>
          <w:sz w:val="20"/>
        </w:rPr>
        <w:t xml:space="preserve">more  than 1500 operating hours per year as a rolling average over a period</w:t>
      </w:r>
    </w:p>
    <w:p>
      <w:pPr>
        <w:pStyle w:val="1"/>
        <w:jc w:val="both"/>
      </w:pPr>
      <w:r>
        <w:rPr>
          <w:sz w:val="20"/>
        </w:rPr>
        <w:t xml:space="preserve">                                                              3</w:t>
      </w:r>
    </w:p>
    <w:p>
      <w:pPr>
        <w:pStyle w:val="1"/>
        <w:jc w:val="both"/>
      </w:pPr>
      <w:r>
        <w:rPr>
          <w:sz w:val="20"/>
        </w:rPr>
        <w:t xml:space="preserve">of  5  years,  the  emission  limit value for NO  is 150 mg/Nm  when firing</w:t>
      </w:r>
    </w:p>
    <w:p>
      <w:pPr>
        <w:pStyle w:val="1"/>
        <w:jc w:val="both"/>
      </w:pPr>
      <w:r>
        <w:rPr>
          <w:sz w:val="20"/>
        </w:rPr>
        <w:t xml:space="preserve">                         3                      x</w:t>
      </w:r>
    </w:p>
    <w:p>
      <w:pPr>
        <w:pStyle w:val="1"/>
        <w:jc w:val="both"/>
      </w:pPr>
      <w:r>
        <w:rPr>
          <w:sz w:val="20"/>
        </w:rPr>
        <w:t xml:space="preserve">natural gas and 200 mg/Nm  when firing other gases or liquid fuels.</w:t>
      </w:r>
    </w:p>
    <w:p>
      <w:pPr>
        <w:pStyle w:val="0"/>
        <w:ind w:firstLine="540"/>
        <w:jc w:val="both"/>
      </w:pPr>
      <w:r>
        <w:rPr>
          <w:sz w:val="20"/>
        </w:rPr>
        <w:t xml:space="preserve">A part of a combustion plant discharging its waste gases through one or more separate flues within a common stack, and which does not operate more than 1500 operating hours per year as a rolling average over a period of 5 years, may be subject to the emission limit values set out in the preceding paragraph in relation to the total rated thermal input of the entire combustion plant. In such cases the emissions through each of those flues shall be monitored separately.</w:t>
      </w:r>
    </w:p>
    <w:p>
      <w:pPr>
        <w:pStyle w:val="0"/>
        <w:spacing w:before="200" w:line-rule="auto"/>
        <w:ind w:firstLine="540"/>
        <w:jc w:val="both"/>
      </w:pPr>
      <w:r>
        <w:rPr>
          <w:sz w:val="20"/>
        </w:rPr>
        <w:t xml:space="preserve">Gas turbines and gas engines for emergency use that operate less than 500 operating hours per year are not covered by the emission limit values set out in this point. The operator of such plants shall record the used operating hours.</w:t>
      </w:r>
    </w:p>
    <w:p>
      <w:pPr>
        <w:pStyle w:val="1"/>
        <w:spacing w:before="200" w:line-rule="auto"/>
        <w:jc w:val="both"/>
      </w:pPr>
      <w:r>
        <w:rPr>
          <w:sz w:val="20"/>
        </w:rPr>
        <w:t xml:space="preserve">                                    3</w:t>
      </w:r>
    </w:p>
    <w:p>
      <w:pPr>
        <w:pStyle w:val="1"/>
        <w:jc w:val="both"/>
      </w:pPr>
      <w:r>
        <w:rPr>
          <w:sz w:val="20"/>
        </w:rPr>
        <w:t xml:space="preserve">    7.  Emission limit values (mg/Nm ) for dust for combustion plants using</w:t>
      </w:r>
    </w:p>
    <w:p>
      <w:pPr>
        <w:pStyle w:val="1"/>
        <w:jc w:val="both"/>
      </w:pPr>
      <w:r>
        <w:rPr>
          <w:sz w:val="20"/>
        </w:rPr>
        <w:t xml:space="preserve">solid or liquid fuels with the exception of gas turbines and gas engines</w:t>
      </w:r>
    </w:p>
    <w:p>
      <w:pPr>
        <w:pStyle w:val="0"/>
        <w:ind w:firstLine="540"/>
        <w:jc w:val="both"/>
      </w:pPr>
      <w:r>
        <w:rPr>
          <w:sz w:val="20"/>
        </w:rPr>
      </w:r>
    </w:p>
    <w:p>
      <w:pPr>
        <w:pStyle w:val="3"/>
        <w:jc w:val="both"/>
      </w:pPr>
      <w:r>
        <w:rPr>
          <w:sz w:val="20"/>
        </w:rPr>
        <w:t xml:space="preserve">┌────────────┬──────────────────────────┬────────────────┬────────────────┐</w:t>
      </w:r>
    </w:p>
    <w:p>
      <w:pPr>
        <w:pStyle w:val="3"/>
        <w:jc w:val="both"/>
      </w:pPr>
      <w:r>
        <w:rPr>
          <w:sz w:val="20"/>
        </w:rPr>
        <w:t xml:space="preserve">│Total rated │Coal and lignite and other│Biomass and peat│Liquid fuels &lt;*&gt;│</w:t>
      </w:r>
    </w:p>
    <w:p>
      <w:pPr>
        <w:pStyle w:val="3"/>
        <w:jc w:val="both"/>
      </w:pPr>
      <w:r>
        <w:rPr>
          <w:sz w:val="20"/>
        </w:rPr>
        <w:t xml:space="preserve">│  thermal   │      solid fuels         │                │                │</w:t>
      </w:r>
    </w:p>
    <w:p>
      <w:pPr>
        <w:pStyle w:val="3"/>
        <w:jc w:val="both"/>
      </w:pPr>
      <w:r>
        <w:rPr>
          <w:sz w:val="20"/>
        </w:rPr>
        <w:t xml:space="preserve">│ input (MW) │                          │                │                │</w:t>
      </w:r>
    </w:p>
    <w:p>
      <w:pPr>
        <w:pStyle w:val="3"/>
        <w:jc w:val="both"/>
      </w:pPr>
      <w:r>
        <w:rPr>
          <w:sz w:val="20"/>
        </w:rPr>
        <w:t xml:space="preserve">├────────────┼──────────────────────────┼────────────────┼────────────────┤</w:t>
      </w:r>
    </w:p>
    <w:p>
      <w:pPr>
        <w:pStyle w:val="3"/>
        <w:jc w:val="both"/>
      </w:pPr>
      <w:r>
        <w:rPr>
          <w:sz w:val="20"/>
        </w:rPr>
        <w:t xml:space="preserve">│  50 - 100  │                        30│              30│              30│</w:t>
      </w:r>
    </w:p>
    <w:p>
      <w:pPr>
        <w:pStyle w:val="3"/>
        <w:jc w:val="both"/>
      </w:pPr>
      <w:r>
        <w:rPr>
          <w:sz w:val="20"/>
        </w:rPr>
        <w:t xml:space="preserve">├────────────┼──────────────────────────┼────────────────┼────────────────┤</w:t>
      </w:r>
    </w:p>
    <w:p>
      <w:pPr>
        <w:pStyle w:val="3"/>
        <w:jc w:val="both"/>
      </w:pPr>
      <w:r>
        <w:rPr>
          <w:sz w:val="20"/>
        </w:rPr>
        <w:t xml:space="preserve">│ 100 - 300  │                        25│              25│              25│</w:t>
      </w:r>
    </w:p>
    <w:p>
      <w:pPr>
        <w:pStyle w:val="3"/>
        <w:jc w:val="both"/>
      </w:pPr>
      <w:r>
        <w:rPr>
          <w:sz w:val="20"/>
        </w:rPr>
        <w:t xml:space="preserve">├────────────┼──────────────────────────┼────────────────┼────────────────┤</w:t>
      </w:r>
    </w:p>
    <w:p>
      <w:pPr>
        <w:pStyle w:val="3"/>
        <w:jc w:val="both"/>
      </w:pPr>
      <w:r>
        <w:rPr>
          <w:sz w:val="20"/>
        </w:rPr>
        <w:t xml:space="preserve">│     &gt; 300  │                        20│              20│              20│</w:t>
      </w:r>
    </w:p>
    <w:p>
      <w:pPr>
        <w:pStyle w:val="3"/>
        <w:jc w:val="both"/>
      </w:pPr>
      <w:r>
        <w:rPr>
          <w:sz w:val="20"/>
        </w:rPr>
        <w:t xml:space="preserve">├────────────┴──────────────────────────┴────────────────┴────────────────┤</w:t>
      </w:r>
    </w:p>
    <w:p>
      <w:pPr>
        <w:pStyle w:val="3"/>
        <w:jc w:val="both"/>
      </w:pPr>
      <w:r>
        <w:rPr>
          <w:sz w:val="20"/>
        </w:rPr>
        <w:t xml:space="preserve">│Note:                                                                    │</w:t>
      </w:r>
    </w:p>
    <w:p>
      <w:pPr>
        <w:pStyle w:val="3"/>
        <w:jc w:val="both"/>
      </w:pPr>
      <w:r>
        <w:rPr>
          <w:sz w:val="20"/>
        </w:rPr>
        <w:t xml:space="preserve">│                                        3                                │</w:t>
      </w:r>
    </w:p>
    <w:p>
      <w:pPr>
        <w:pStyle w:val="3"/>
        <w:jc w:val="both"/>
      </w:pPr>
      <w:r>
        <w:rPr>
          <w:sz w:val="20"/>
        </w:rPr>
        <w:t xml:space="preserve">│&lt;*&gt; The emission limit value is 50 mg/Nm  for the firing of distillation │</w:t>
      </w:r>
    </w:p>
    <w:p>
      <w:pPr>
        <w:pStyle w:val="3"/>
        <w:jc w:val="both"/>
      </w:pPr>
      <w:r>
        <w:rPr>
          <w:sz w:val="20"/>
        </w:rPr>
        <w:t xml:space="preserve">│and conversion residues from the refining of crude oil for own           │</w:t>
      </w:r>
    </w:p>
    <w:p>
      <w:pPr>
        <w:pStyle w:val="3"/>
        <w:jc w:val="both"/>
      </w:pPr>
      <w:r>
        <w:rPr>
          <w:sz w:val="20"/>
        </w:rPr>
        <w:t xml:space="preserve">│consumption in combustion plants which were granted a permit before 27   │</w:t>
      </w:r>
    </w:p>
    <w:p>
      <w:pPr>
        <w:pStyle w:val="3"/>
        <w:jc w:val="both"/>
      </w:pPr>
      <w:r>
        <w:rPr>
          <w:sz w:val="20"/>
        </w:rPr>
        <w:t xml:space="preserve">│November 2002 or the operators of which had submitted a complete         │</w:t>
      </w:r>
    </w:p>
    <w:p>
      <w:pPr>
        <w:pStyle w:val="3"/>
        <w:jc w:val="both"/>
      </w:pPr>
      <w:r>
        <w:rPr>
          <w:sz w:val="20"/>
        </w:rPr>
        <w:t xml:space="preserve">│application for a permit before that date, provided that the plant was   │</w:t>
      </w:r>
    </w:p>
    <w:p>
      <w:pPr>
        <w:pStyle w:val="3"/>
        <w:jc w:val="both"/>
      </w:pPr>
      <w:r>
        <w:rPr>
          <w:sz w:val="20"/>
        </w:rPr>
        <w:t xml:space="preserve">│put into operation no later than 27 November 2003.                       │</w:t>
      </w:r>
    </w:p>
    <w:p>
      <w:pPr>
        <w:pStyle w:val="3"/>
        <w:jc w:val="both"/>
      </w:pPr>
      <w:r>
        <w:rPr>
          <w:sz w:val="20"/>
        </w:rPr>
        <w:t xml:space="preserve">└─────────────────────────────────────────────────────────────────────────┘</w:t>
      </w:r>
    </w:p>
    <w:p>
      <w:pPr>
        <w:pStyle w:val="0"/>
        <w:ind w:firstLine="540"/>
        <w:jc w:val="both"/>
      </w:pPr>
      <w:r>
        <w:rPr>
          <w:sz w:val="20"/>
        </w:rPr>
      </w:r>
    </w:p>
    <w:p>
      <w:pPr>
        <w:pStyle w:val="1"/>
        <w:jc w:val="both"/>
      </w:pPr>
      <w:r>
        <w:rPr>
          <w:sz w:val="20"/>
        </w:rPr>
        <w:t xml:space="preserve">                                    3</w:t>
      </w:r>
    </w:p>
    <w:p>
      <w:pPr>
        <w:pStyle w:val="1"/>
        <w:jc w:val="both"/>
      </w:pPr>
      <w:r>
        <w:rPr>
          <w:sz w:val="20"/>
        </w:rPr>
        <w:t xml:space="preserve">    8.  Emission limit values (mg/Nm ) for dust for combustion plants using</w:t>
      </w:r>
    </w:p>
    <w:p>
      <w:pPr>
        <w:pStyle w:val="1"/>
        <w:jc w:val="both"/>
      </w:pPr>
      <w:r>
        <w:rPr>
          <w:sz w:val="20"/>
        </w:rPr>
        <w:t xml:space="preserve">gaseous fuels with the exception of gas turbines and gas engines</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6903"/>
        <w:gridCol w:w="1755"/>
      </w:tblGrid>
      <w:tr>
        <w:trPr>
          <w:trHeight w:val="240" w:hRule="atLeast"/>
        </w:trPr>
        <w:tc>
          <w:tcPr>
            <w:tcW w:w="7020" w:type="dxa"/>
          </w:tcPr>
          <w:p>
            <w:pPr>
              <w:pStyle w:val="1"/>
              <w:jc w:val="both"/>
            </w:pPr>
            <w:r>
              <w:rPr>
                <w:sz w:val="20"/>
              </w:rPr>
              <w:t xml:space="preserve">In general                                                </w:t>
            </w:r>
          </w:p>
        </w:tc>
        <w:tc>
          <w:tcPr>
            <w:tcW w:w="1872" w:type="dxa"/>
          </w:tcPr>
          <w:p>
            <w:pPr>
              <w:pStyle w:val="1"/>
              <w:jc w:val="both"/>
            </w:pPr>
            <w:r>
              <w:rPr>
                <w:sz w:val="20"/>
              </w:rPr>
              <w:t xml:space="preserve">             5</w:t>
            </w:r>
          </w:p>
        </w:tc>
      </w:tr>
      <w:tr>
        <w:trPr>
          <w:trHeight w:val="240" w:hRule="atLeast"/>
        </w:trPr>
        <w:tc>
          <w:tcPr>
            <w:tcW w:w="7020" w:type="dxa"/>
            <w:tcBorders>
              <w:top w:val="nil"/>
            </w:tcBorders>
          </w:tcPr>
          <w:p>
            <w:pPr>
              <w:pStyle w:val="1"/>
              <w:jc w:val="both"/>
            </w:pPr>
            <w:r>
              <w:rPr>
                <w:sz w:val="20"/>
              </w:rPr>
              <w:t xml:space="preserve">Blast furnace gas                                         </w:t>
            </w:r>
          </w:p>
        </w:tc>
        <w:tc>
          <w:tcPr>
            <w:tcW w:w="1872" w:type="dxa"/>
            <w:tcBorders>
              <w:top w:val="nil"/>
            </w:tcBorders>
          </w:tcPr>
          <w:p>
            <w:pPr>
              <w:pStyle w:val="1"/>
              <w:jc w:val="both"/>
            </w:pPr>
            <w:r>
              <w:rPr>
                <w:sz w:val="20"/>
              </w:rPr>
              <w:t xml:space="preserve">            10</w:t>
            </w:r>
          </w:p>
        </w:tc>
      </w:tr>
      <w:tr>
        <w:trPr>
          <w:trHeight w:val="240" w:hRule="atLeast"/>
        </w:trPr>
        <w:tc>
          <w:tcPr>
            <w:tcW w:w="7020" w:type="dxa"/>
            <w:tcBorders>
              <w:top w:val="nil"/>
            </w:tcBorders>
          </w:tcPr>
          <w:p>
            <w:pPr>
              <w:pStyle w:val="1"/>
              <w:jc w:val="both"/>
            </w:pPr>
            <w:r>
              <w:rPr>
                <w:sz w:val="20"/>
              </w:rPr>
              <w:t xml:space="preserve">Gases produced by the steel industry which can be used    </w:t>
            </w:r>
          </w:p>
          <w:p>
            <w:pPr>
              <w:pStyle w:val="1"/>
              <w:jc w:val="both"/>
            </w:pPr>
            <w:r>
              <w:rPr>
                <w:sz w:val="20"/>
              </w:rPr>
              <w:t xml:space="preserve">elsewhere                                                 </w:t>
            </w:r>
          </w:p>
        </w:tc>
        <w:tc>
          <w:tcPr>
            <w:tcW w:w="1872" w:type="dxa"/>
            <w:tcBorders>
              <w:top w:val="nil"/>
            </w:tcBorders>
          </w:tcPr>
          <w:p>
            <w:pPr>
              <w:pStyle w:val="1"/>
              <w:jc w:val="both"/>
            </w:pPr>
            <w:r>
              <w:rPr>
                <w:sz w:val="20"/>
              </w:rPr>
              <w:t xml:space="preserve">            30</w:t>
            </w:r>
          </w:p>
        </w:tc>
      </w:tr>
    </w:tbl>
    <w:p>
      <w:pPr>
        <w:pStyle w:val="0"/>
        <w:jc w:val="center"/>
      </w:pPr>
      <w:r>
        <w:rPr>
          <w:sz w:val="20"/>
        </w:rPr>
      </w:r>
    </w:p>
    <w:p>
      <w:pPr>
        <w:pStyle w:val="0"/>
        <w:outlineLvl w:val="1"/>
        <w:jc w:val="center"/>
      </w:pPr>
      <w:r>
        <w:rPr>
          <w:sz w:val="20"/>
        </w:rPr>
        <w:t xml:space="preserve">Part 2</w:t>
      </w:r>
    </w:p>
    <w:p>
      <w:pPr>
        <w:pStyle w:val="0"/>
        <w:jc w:val="center"/>
      </w:pPr>
      <w:r>
        <w:rPr>
          <w:sz w:val="20"/>
        </w:rPr>
      </w:r>
    </w:p>
    <w:p>
      <w:pPr>
        <w:pStyle w:val="0"/>
        <w:jc w:val="center"/>
      </w:pPr>
      <w:r>
        <w:rPr>
          <w:sz w:val="20"/>
        </w:rPr>
        <w:t xml:space="preserve">Emission limit values for combustion plants</w:t>
      </w:r>
    </w:p>
    <w:p>
      <w:pPr>
        <w:pStyle w:val="0"/>
        <w:jc w:val="center"/>
      </w:pPr>
      <w:r>
        <w:rPr>
          <w:sz w:val="20"/>
        </w:rPr>
        <w:t xml:space="preserve">referred to in Article 30 (3)</w:t>
      </w:r>
    </w:p>
    <w:p>
      <w:pPr>
        <w:pStyle w:val="0"/>
        <w:jc w:val="center"/>
      </w:pPr>
      <w:r>
        <w:rPr>
          <w:sz w:val="20"/>
        </w:rPr>
      </w:r>
    </w:p>
    <w:p>
      <w:pPr>
        <w:pStyle w:val="1"/>
        <w:jc w:val="both"/>
      </w:pPr>
      <w:r>
        <w:rPr>
          <w:sz w:val="20"/>
        </w:rPr>
        <w:t xml:space="preserve">    1.  All  emission  limit values shall be calculated at a temperature of</w:t>
      </w:r>
    </w:p>
    <w:p>
      <w:pPr>
        <w:pStyle w:val="1"/>
        <w:jc w:val="both"/>
      </w:pPr>
      <w:r>
        <w:rPr>
          <w:sz w:val="20"/>
        </w:rPr>
        <w:t xml:space="preserve">273,15 K, a pressure of 101,3 kPa and after correction for the water vapour</w:t>
      </w:r>
    </w:p>
    <w:p>
      <w:pPr>
        <w:pStyle w:val="1"/>
        <w:jc w:val="both"/>
      </w:pPr>
      <w:r>
        <w:rPr>
          <w:sz w:val="20"/>
        </w:rPr>
        <w:t xml:space="preserve">content of the waste gases and at a standardised O  content of 6% for solid</w:t>
      </w:r>
    </w:p>
    <w:p>
      <w:pPr>
        <w:pStyle w:val="1"/>
        <w:jc w:val="both"/>
      </w:pPr>
      <w:r>
        <w:rPr>
          <w:sz w:val="20"/>
        </w:rPr>
        <w:t xml:space="preserve">                                                  2</w:t>
      </w:r>
    </w:p>
    <w:p>
      <w:pPr>
        <w:pStyle w:val="1"/>
        <w:jc w:val="both"/>
      </w:pPr>
      <w:r>
        <w:rPr>
          <w:sz w:val="20"/>
        </w:rPr>
        <w:t xml:space="preserve">fuels,  3%  for  combustion plants other than gas turbines and  gas engines</w:t>
      </w:r>
    </w:p>
    <w:p>
      <w:pPr>
        <w:pStyle w:val="1"/>
        <w:jc w:val="both"/>
      </w:pPr>
      <w:r>
        <w:rPr>
          <w:sz w:val="20"/>
        </w:rPr>
        <w:t xml:space="preserve">using liquid and gaseous fuels and 15% for gas turbines and gas engines.</w:t>
      </w:r>
    </w:p>
    <w:p>
      <w:pPr>
        <w:pStyle w:val="1"/>
        <w:jc w:val="both"/>
      </w:pPr>
      <w:r>
        <w:rPr>
          <w:sz w:val="20"/>
        </w:rPr>
        <w:t xml:space="preserve">    In  case  of combined cycle gas turbines with supplementary firing, the</w:t>
      </w:r>
    </w:p>
    <w:p>
      <w:pPr>
        <w:pStyle w:val="1"/>
        <w:jc w:val="both"/>
      </w:pPr>
      <w:r>
        <w:rPr>
          <w:sz w:val="20"/>
        </w:rPr>
        <w:t xml:space="preserve">standardised  O   content may be defined by the competent authority, taking</w:t>
      </w:r>
    </w:p>
    <w:p>
      <w:pPr>
        <w:pStyle w:val="1"/>
        <w:jc w:val="both"/>
      </w:pPr>
      <w:r>
        <w:rPr>
          <w:sz w:val="20"/>
        </w:rPr>
        <w:t xml:space="preserve">               2</w:t>
      </w:r>
    </w:p>
    <w:p>
      <w:pPr>
        <w:pStyle w:val="1"/>
        <w:jc w:val="both"/>
      </w:pPr>
      <w:r>
        <w:rPr>
          <w:sz w:val="20"/>
        </w:rPr>
        <w:t xml:space="preserve">into account the specific characteristics of the installation concerned.</w:t>
      </w:r>
    </w:p>
    <w:p>
      <w:pPr>
        <w:pStyle w:val="1"/>
        <w:jc w:val="both"/>
      </w:pPr>
      <w:r>
        <w:rPr>
          <w:sz w:val="20"/>
        </w:rPr>
        <w:t xml:space="preserve">                                     3</w:t>
      </w:r>
    </w:p>
    <w:p>
      <w:pPr>
        <w:pStyle w:val="1"/>
        <w:jc w:val="both"/>
      </w:pPr>
      <w:r>
        <w:rPr>
          <w:sz w:val="20"/>
        </w:rPr>
        <w:t xml:space="preserve">    2.  Emission  limit values (mg/Nm ) for SO  for combustion plants using</w:t>
      </w:r>
    </w:p>
    <w:p>
      <w:pPr>
        <w:pStyle w:val="1"/>
        <w:jc w:val="both"/>
      </w:pPr>
      <w:r>
        <w:rPr>
          <w:sz w:val="20"/>
        </w:rPr>
        <w:t xml:space="preserve">                                              2</w:t>
      </w:r>
    </w:p>
    <w:p>
      <w:pPr>
        <w:pStyle w:val="1"/>
        <w:jc w:val="both"/>
      </w:pPr>
      <w:r>
        <w:rPr>
          <w:sz w:val="20"/>
        </w:rPr>
        <w:t xml:space="preserve">solid or liquid fuels with the exception of gas turbines and gas engines</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1521"/>
        <w:gridCol w:w="2574"/>
        <w:gridCol w:w="936"/>
        <w:gridCol w:w="2106"/>
        <w:gridCol w:w="1521"/>
      </w:tblGrid>
      <w:tr>
        <w:trPr>
          <w:trHeight w:val="240" w:hRule="atLeast"/>
        </w:trPr>
        <w:tc>
          <w:tcPr>
            <w:tcW w:w="1638" w:type="dxa"/>
          </w:tcPr>
          <w:p>
            <w:pPr>
              <w:pStyle w:val="1"/>
              <w:jc w:val="both"/>
            </w:pPr>
            <w:r>
              <w:rPr>
                <w:sz w:val="20"/>
              </w:rPr>
              <w:t xml:space="preserve">Total rated </w:t>
            </w:r>
          </w:p>
          <w:p>
            <w:pPr>
              <w:pStyle w:val="1"/>
              <w:jc w:val="both"/>
            </w:pPr>
            <w:r>
              <w:rPr>
                <w:sz w:val="20"/>
              </w:rPr>
              <w:t xml:space="preserve">  thermal   </w:t>
            </w:r>
          </w:p>
          <w:p>
            <w:pPr>
              <w:pStyle w:val="1"/>
              <w:jc w:val="both"/>
            </w:pPr>
            <w:r>
              <w:rPr>
                <w:sz w:val="20"/>
              </w:rPr>
              <w:t xml:space="preserve"> input (MW) </w:t>
            </w:r>
          </w:p>
        </w:tc>
        <w:tc>
          <w:tcPr>
            <w:tcW w:w="2691" w:type="dxa"/>
          </w:tcPr>
          <w:p>
            <w:pPr>
              <w:pStyle w:val="1"/>
              <w:jc w:val="both"/>
            </w:pPr>
            <w:r>
              <w:rPr>
                <w:sz w:val="20"/>
              </w:rPr>
              <w:t xml:space="preserve">Coal and lignite and </w:t>
            </w:r>
          </w:p>
          <w:p>
            <w:pPr>
              <w:pStyle w:val="1"/>
              <w:jc w:val="both"/>
            </w:pPr>
            <w:r>
              <w:rPr>
                <w:sz w:val="20"/>
              </w:rPr>
              <w:t xml:space="preserve">  other solid fuels  </w:t>
            </w:r>
          </w:p>
        </w:tc>
        <w:tc>
          <w:tcPr>
            <w:tcW w:w="1053" w:type="dxa"/>
          </w:tcPr>
          <w:p>
            <w:pPr>
              <w:pStyle w:val="1"/>
              <w:jc w:val="both"/>
            </w:pPr>
            <w:r>
              <w:rPr>
                <w:sz w:val="20"/>
              </w:rPr>
              <w:t xml:space="preserve">Biomass</w:t>
            </w:r>
          </w:p>
        </w:tc>
        <w:tc>
          <w:tcPr>
            <w:tcW w:w="2223" w:type="dxa"/>
          </w:tcPr>
          <w:p>
            <w:pPr>
              <w:pStyle w:val="1"/>
              <w:jc w:val="both"/>
            </w:pPr>
            <w:r>
              <w:rPr>
                <w:sz w:val="20"/>
              </w:rPr>
              <w:t xml:space="preserve">       Peat      </w:t>
            </w:r>
          </w:p>
        </w:tc>
        <w:tc>
          <w:tcPr>
            <w:tcW w:w="1638" w:type="dxa"/>
          </w:tcPr>
          <w:p>
            <w:pPr>
              <w:pStyle w:val="1"/>
              <w:jc w:val="both"/>
            </w:pPr>
            <w:r>
              <w:rPr>
                <w:sz w:val="20"/>
              </w:rPr>
              <w:t xml:space="preserve">Liquid fuels</w:t>
            </w:r>
          </w:p>
        </w:tc>
      </w:tr>
      <w:tr>
        <w:trPr>
          <w:trHeight w:val="240" w:hRule="atLeast"/>
        </w:trPr>
        <w:tc>
          <w:tcPr>
            <w:tcW w:w="1638" w:type="dxa"/>
            <w:tcBorders>
              <w:top w:val="nil"/>
            </w:tcBorders>
          </w:tcPr>
          <w:p>
            <w:pPr>
              <w:pStyle w:val="1"/>
              <w:jc w:val="both"/>
            </w:pPr>
            <w:r>
              <w:rPr>
                <w:sz w:val="20"/>
              </w:rPr>
              <w:t xml:space="preserve">  50 - 100  </w:t>
            </w:r>
          </w:p>
        </w:tc>
        <w:tc>
          <w:tcPr>
            <w:tcW w:w="2691" w:type="dxa"/>
            <w:tcBorders>
              <w:top w:val="nil"/>
            </w:tcBorders>
          </w:tcPr>
          <w:p>
            <w:pPr>
              <w:pStyle w:val="1"/>
              <w:jc w:val="both"/>
            </w:pPr>
            <w:r>
              <w:rPr>
                <w:sz w:val="20"/>
              </w:rPr>
              <w:t xml:space="preserve">400                  </w:t>
            </w:r>
          </w:p>
        </w:tc>
        <w:tc>
          <w:tcPr>
            <w:tcW w:w="1053" w:type="dxa"/>
            <w:tcBorders>
              <w:top w:val="nil"/>
            </w:tcBorders>
          </w:tcPr>
          <w:p>
            <w:pPr>
              <w:pStyle w:val="1"/>
              <w:jc w:val="both"/>
            </w:pPr>
            <w:r>
              <w:rPr>
                <w:sz w:val="20"/>
              </w:rPr>
              <w:t xml:space="preserve">    200</w:t>
            </w:r>
          </w:p>
        </w:tc>
        <w:tc>
          <w:tcPr>
            <w:tcW w:w="2223" w:type="dxa"/>
            <w:tcBorders>
              <w:top w:val="nil"/>
            </w:tcBorders>
          </w:tcPr>
          <w:p>
            <w:pPr>
              <w:pStyle w:val="1"/>
              <w:jc w:val="both"/>
            </w:pPr>
            <w:r>
              <w:rPr>
                <w:sz w:val="20"/>
              </w:rPr>
              <w:t xml:space="preserve">300              </w:t>
            </w:r>
          </w:p>
        </w:tc>
        <w:tc>
          <w:tcPr>
            <w:tcW w:w="1638" w:type="dxa"/>
            <w:tcBorders>
              <w:top w:val="nil"/>
            </w:tcBorders>
          </w:tcPr>
          <w:p>
            <w:pPr>
              <w:pStyle w:val="1"/>
              <w:jc w:val="both"/>
            </w:pPr>
            <w:r>
              <w:rPr>
                <w:sz w:val="20"/>
              </w:rPr>
              <w:t xml:space="preserve">         350</w:t>
            </w:r>
          </w:p>
        </w:tc>
      </w:tr>
      <w:tr>
        <w:trPr>
          <w:trHeight w:val="240" w:hRule="atLeast"/>
        </w:trPr>
        <w:tc>
          <w:tcPr>
            <w:tcW w:w="1638" w:type="dxa"/>
            <w:tcBorders>
              <w:top w:val="nil"/>
            </w:tcBorders>
          </w:tcPr>
          <w:p>
            <w:pPr>
              <w:pStyle w:val="1"/>
              <w:jc w:val="both"/>
            </w:pPr>
            <w:r>
              <w:rPr>
                <w:sz w:val="20"/>
              </w:rPr>
              <w:t xml:space="preserve"> 100 - 300  </w:t>
            </w:r>
          </w:p>
        </w:tc>
        <w:tc>
          <w:tcPr>
            <w:tcW w:w="2691" w:type="dxa"/>
            <w:tcBorders>
              <w:top w:val="nil"/>
            </w:tcBorders>
          </w:tcPr>
          <w:p>
            <w:pPr>
              <w:pStyle w:val="1"/>
              <w:jc w:val="both"/>
            </w:pPr>
            <w:r>
              <w:rPr>
                <w:sz w:val="20"/>
              </w:rPr>
              <w:t xml:space="preserve">200                  </w:t>
            </w:r>
          </w:p>
        </w:tc>
        <w:tc>
          <w:tcPr>
            <w:tcW w:w="1053" w:type="dxa"/>
            <w:tcBorders>
              <w:top w:val="nil"/>
            </w:tcBorders>
          </w:tcPr>
          <w:p>
            <w:pPr>
              <w:pStyle w:val="1"/>
              <w:jc w:val="both"/>
            </w:pPr>
            <w:r>
              <w:rPr>
                <w:sz w:val="20"/>
              </w:rPr>
              <w:t xml:space="preserve">    200</w:t>
            </w:r>
          </w:p>
        </w:tc>
        <w:tc>
          <w:tcPr>
            <w:tcW w:w="2223" w:type="dxa"/>
            <w:tcBorders>
              <w:top w:val="nil"/>
            </w:tcBorders>
          </w:tcPr>
          <w:p>
            <w:pPr>
              <w:pStyle w:val="1"/>
              <w:jc w:val="both"/>
            </w:pPr>
            <w:r>
              <w:rPr>
                <w:sz w:val="20"/>
              </w:rPr>
              <w:t xml:space="preserve">300              </w:t>
            </w:r>
          </w:p>
          <w:p>
            <w:pPr>
              <w:pStyle w:val="1"/>
              <w:jc w:val="both"/>
            </w:pPr>
            <w:r>
              <w:rPr>
                <w:sz w:val="20"/>
              </w:rPr>
              <w:t xml:space="preserve">250 in case of   </w:t>
            </w:r>
          </w:p>
          <w:p>
            <w:pPr>
              <w:pStyle w:val="1"/>
              <w:jc w:val="both"/>
            </w:pPr>
            <w:r>
              <w:rPr>
                <w:sz w:val="20"/>
              </w:rPr>
              <w:t xml:space="preserve">fluidised bed    </w:t>
            </w:r>
          </w:p>
          <w:p>
            <w:pPr>
              <w:pStyle w:val="1"/>
              <w:jc w:val="both"/>
            </w:pPr>
            <w:r>
              <w:rPr>
                <w:sz w:val="20"/>
              </w:rPr>
              <w:t xml:space="preserve">combustion       </w:t>
            </w:r>
          </w:p>
        </w:tc>
        <w:tc>
          <w:tcPr>
            <w:tcW w:w="1638" w:type="dxa"/>
            <w:tcBorders>
              <w:top w:val="nil"/>
            </w:tcBorders>
          </w:tcPr>
          <w:p>
            <w:pPr>
              <w:pStyle w:val="1"/>
              <w:jc w:val="both"/>
            </w:pPr>
            <w:r>
              <w:rPr>
                <w:sz w:val="20"/>
              </w:rPr>
              <w:t xml:space="preserve">         200</w:t>
            </w:r>
          </w:p>
        </w:tc>
      </w:tr>
      <w:tr>
        <w:trPr>
          <w:trHeight w:val="240" w:hRule="atLeast"/>
        </w:trPr>
        <w:tc>
          <w:tcPr>
            <w:tcW w:w="1638" w:type="dxa"/>
            <w:tcBorders>
              <w:top w:val="nil"/>
            </w:tcBorders>
          </w:tcPr>
          <w:p>
            <w:pPr>
              <w:pStyle w:val="1"/>
              <w:jc w:val="both"/>
            </w:pPr>
            <w:r>
              <w:rPr>
                <w:sz w:val="20"/>
              </w:rPr>
              <w:t xml:space="preserve">     &gt; 300  </w:t>
            </w:r>
          </w:p>
        </w:tc>
        <w:tc>
          <w:tcPr>
            <w:tcW w:w="2691" w:type="dxa"/>
            <w:tcBorders>
              <w:top w:val="nil"/>
            </w:tcBorders>
          </w:tcPr>
          <w:p>
            <w:pPr>
              <w:pStyle w:val="1"/>
              <w:jc w:val="both"/>
            </w:pPr>
            <w:r>
              <w:rPr>
                <w:sz w:val="20"/>
              </w:rPr>
              <w:t xml:space="preserve">150                  </w:t>
            </w:r>
          </w:p>
          <w:p>
            <w:pPr>
              <w:pStyle w:val="1"/>
              <w:jc w:val="both"/>
            </w:pPr>
            <w:r>
              <w:rPr>
                <w:sz w:val="20"/>
              </w:rPr>
              <w:t xml:space="preserve">200 in case of       </w:t>
            </w:r>
          </w:p>
          <w:p>
            <w:pPr>
              <w:pStyle w:val="1"/>
              <w:jc w:val="both"/>
            </w:pPr>
            <w:r>
              <w:rPr>
                <w:sz w:val="20"/>
              </w:rPr>
              <w:t xml:space="preserve">circulating or       </w:t>
            </w:r>
          </w:p>
          <w:p>
            <w:pPr>
              <w:pStyle w:val="1"/>
              <w:jc w:val="both"/>
            </w:pPr>
            <w:r>
              <w:rPr>
                <w:sz w:val="20"/>
              </w:rPr>
              <w:t xml:space="preserve">pressurised fluidised</w:t>
            </w:r>
          </w:p>
          <w:p>
            <w:pPr>
              <w:pStyle w:val="1"/>
              <w:jc w:val="both"/>
            </w:pPr>
            <w:r>
              <w:rPr>
                <w:sz w:val="20"/>
              </w:rPr>
              <w:t xml:space="preserve">bed combustion       </w:t>
            </w:r>
          </w:p>
        </w:tc>
        <w:tc>
          <w:tcPr>
            <w:tcW w:w="1053" w:type="dxa"/>
            <w:tcBorders>
              <w:top w:val="nil"/>
            </w:tcBorders>
          </w:tcPr>
          <w:p>
            <w:pPr>
              <w:pStyle w:val="1"/>
              <w:jc w:val="both"/>
            </w:pPr>
            <w:r>
              <w:rPr>
                <w:sz w:val="20"/>
              </w:rPr>
              <w:t xml:space="preserve">    150</w:t>
            </w:r>
          </w:p>
        </w:tc>
        <w:tc>
          <w:tcPr>
            <w:tcW w:w="2223" w:type="dxa"/>
            <w:tcBorders>
              <w:top w:val="nil"/>
            </w:tcBorders>
          </w:tcPr>
          <w:p>
            <w:pPr>
              <w:pStyle w:val="1"/>
              <w:jc w:val="both"/>
            </w:pPr>
            <w:r>
              <w:rPr>
                <w:sz w:val="20"/>
              </w:rPr>
              <w:t xml:space="preserve">150              </w:t>
            </w:r>
          </w:p>
          <w:p>
            <w:pPr>
              <w:pStyle w:val="1"/>
              <w:jc w:val="both"/>
            </w:pPr>
            <w:r>
              <w:rPr>
                <w:sz w:val="20"/>
              </w:rPr>
              <w:t xml:space="preserve">200 in case of   </w:t>
            </w:r>
          </w:p>
          <w:p>
            <w:pPr>
              <w:pStyle w:val="1"/>
              <w:jc w:val="both"/>
            </w:pPr>
            <w:r>
              <w:rPr>
                <w:sz w:val="20"/>
              </w:rPr>
              <w:t xml:space="preserve">fluidised bed    </w:t>
            </w:r>
          </w:p>
          <w:p>
            <w:pPr>
              <w:pStyle w:val="1"/>
              <w:jc w:val="both"/>
            </w:pPr>
            <w:r>
              <w:rPr>
                <w:sz w:val="20"/>
              </w:rPr>
              <w:t xml:space="preserve">combustion       </w:t>
            </w:r>
          </w:p>
        </w:tc>
        <w:tc>
          <w:tcPr>
            <w:tcW w:w="1638" w:type="dxa"/>
            <w:tcBorders>
              <w:top w:val="nil"/>
            </w:tcBorders>
          </w:tcPr>
          <w:p>
            <w:pPr>
              <w:pStyle w:val="1"/>
              <w:jc w:val="both"/>
            </w:pPr>
            <w:r>
              <w:rPr>
                <w:sz w:val="20"/>
              </w:rPr>
              <w:t xml:space="preserve">         150</w:t>
            </w:r>
          </w:p>
        </w:tc>
      </w:tr>
    </w:tbl>
    <w:p>
      <w:pPr>
        <w:pStyle w:val="0"/>
        <w:ind w:firstLine="540"/>
        <w:jc w:val="both"/>
      </w:pPr>
      <w:r>
        <w:rPr>
          <w:sz w:val="20"/>
        </w:rPr>
      </w:r>
    </w:p>
    <w:p>
      <w:pPr>
        <w:pStyle w:val="1"/>
        <w:jc w:val="both"/>
      </w:pPr>
      <w:r>
        <w:rPr>
          <w:sz w:val="20"/>
        </w:rPr>
        <w:t xml:space="preserve">                                     3</w:t>
      </w:r>
    </w:p>
    <w:p>
      <w:pPr>
        <w:pStyle w:val="1"/>
        <w:jc w:val="both"/>
      </w:pPr>
      <w:r>
        <w:rPr>
          <w:sz w:val="20"/>
        </w:rPr>
        <w:t xml:space="preserve">    3.  Emission  limit values (mg/Nm ) for SO  for combustion plants using</w:t>
      </w:r>
    </w:p>
    <w:p>
      <w:pPr>
        <w:pStyle w:val="1"/>
        <w:jc w:val="both"/>
      </w:pPr>
      <w:r>
        <w:rPr>
          <w:sz w:val="20"/>
        </w:rPr>
        <w:t xml:space="preserve">                                              2</w:t>
      </w:r>
    </w:p>
    <w:p>
      <w:pPr>
        <w:pStyle w:val="1"/>
        <w:jc w:val="both"/>
      </w:pPr>
      <w:r>
        <w:rPr>
          <w:sz w:val="20"/>
        </w:rPr>
        <w:t xml:space="preserve">gaseous fuels with the exception of gas turbines and gas engines</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6903"/>
        <w:gridCol w:w="1755"/>
      </w:tblGrid>
      <w:tr>
        <w:trPr>
          <w:trHeight w:val="240" w:hRule="atLeast"/>
        </w:trPr>
        <w:tc>
          <w:tcPr>
            <w:tcW w:w="7020" w:type="dxa"/>
          </w:tcPr>
          <w:p>
            <w:pPr>
              <w:pStyle w:val="1"/>
              <w:jc w:val="both"/>
            </w:pPr>
            <w:r>
              <w:rPr>
                <w:sz w:val="20"/>
              </w:rPr>
              <w:t xml:space="preserve">In general                                                </w:t>
            </w:r>
          </w:p>
        </w:tc>
        <w:tc>
          <w:tcPr>
            <w:tcW w:w="1872" w:type="dxa"/>
          </w:tcPr>
          <w:p>
            <w:pPr>
              <w:pStyle w:val="1"/>
              <w:jc w:val="both"/>
            </w:pPr>
            <w:r>
              <w:rPr>
                <w:sz w:val="20"/>
              </w:rPr>
              <w:t xml:space="preserve">            35</w:t>
            </w:r>
          </w:p>
        </w:tc>
      </w:tr>
      <w:tr>
        <w:trPr>
          <w:trHeight w:val="240" w:hRule="atLeast"/>
        </w:trPr>
        <w:tc>
          <w:tcPr>
            <w:tcW w:w="7020" w:type="dxa"/>
            <w:tcBorders>
              <w:top w:val="nil"/>
            </w:tcBorders>
          </w:tcPr>
          <w:p>
            <w:pPr>
              <w:pStyle w:val="1"/>
              <w:jc w:val="both"/>
            </w:pPr>
            <w:r>
              <w:rPr>
                <w:sz w:val="20"/>
              </w:rPr>
              <w:t xml:space="preserve">Liquefied gas                                             </w:t>
            </w:r>
          </w:p>
        </w:tc>
        <w:tc>
          <w:tcPr>
            <w:tcW w:w="1872" w:type="dxa"/>
            <w:tcBorders>
              <w:top w:val="nil"/>
            </w:tcBorders>
          </w:tcPr>
          <w:p>
            <w:pPr>
              <w:pStyle w:val="1"/>
              <w:jc w:val="both"/>
            </w:pPr>
            <w:r>
              <w:rPr>
                <w:sz w:val="20"/>
              </w:rPr>
              <w:t xml:space="preserve">             5</w:t>
            </w:r>
          </w:p>
        </w:tc>
      </w:tr>
      <w:tr>
        <w:trPr>
          <w:trHeight w:val="240" w:hRule="atLeast"/>
        </w:trPr>
        <w:tc>
          <w:tcPr>
            <w:tcW w:w="7020" w:type="dxa"/>
            <w:tcBorders>
              <w:top w:val="nil"/>
            </w:tcBorders>
          </w:tcPr>
          <w:p>
            <w:pPr>
              <w:pStyle w:val="1"/>
              <w:jc w:val="both"/>
            </w:pPr>
            <w:r>
              <w:rPr>
                <w:sz w:val="20"/>
              </w:rPr>
              <w:t xml:space="preserve">Low calorific gases from coke oven                        </w:t>
            </w:r>
          </w:p>
        </w:tc>
        <w:tc>
          <w:tcPr>
            <w:tcW w:w="1872" w:type="dxa"/>
            <w:tcBorders>
              <w:top w:val="nil"/>
            </w:tcBorders>
          </w:tcPr>
          <w:p>
            <w:pPr>
              <w:pStyle w:val="1"/>
              <w:jc w:val="both"/>
            </w:pPr>
            <w:r>
              <w:rPr>
                <w:sz w:val="20"/>
              </w:rPr>
              <w:t xml:space="preserve">           400</w:t>
            </w:r>
          </w:p>
        </w:tc>
      </w:tr>
      <w:tr>
        <w:trPr>
          <w:trHeight w:val="240" w:hRule="atLeast"/>
        </w:trPr>
        <w:tc>
          <w:tcPr>
            <w:tcW w:w="7020" w:type="dxa"/>
            <w:tcBorders>
              <w:top w:val="nil"/>
            </w:tcBorders>
          </w:tcPr>
          <w:p>
            <w:pPr>
              <w:pStyle w:val="1"/>
              <w:jc w:val="both"/>
            </w:pPr>
            <w:r>
              <w:rPr>
                <w:sz w:val="20"/>
              </w:rPr>
              <w:t xml:space="preserve">Low calorific gases from blast furnace                    </w:t>
            </w:r>
          </w:p>
        </w:tc>
        <w:tc>
          <w:tcPr>
            <w:tcW w:w="1872" w:type="dxa"/>
            <w:tcBorders>
              <w:top w:val="nil"/>
            </w:tcBorders>
          </w:tcPr>
          <w:p>
            <w:pPr>
              <w:pStyle w:val="1"/>
              <w:jc w:val="both"/>
            </w:pPr>
            <w:r>
              <w:rPr>
                <w:sz w:val="20"/>
              </w:rPr>
              <w:t xml:space="preserve">           200</w:t>
            </w:r>
          </w:p>
        </w:tc>
      </w:tr>
    </w:tbl>
    <w:p>
      <w:pPr>
        <w:pStyle w:val="0"/>
        <w:ind w:firstLine="540"/>
        <w:jc w:val="both"/>
      </w:pPr>
      <w:r>
        <w:rPr>
          <w:sz w:val="20"/>
        </w:rPr>
      </w:r>
    </w:p>
    <w:p>
      <w:pPr>
        <w:pStyle w:val="1"/>
        <w:jc w:val="both"/>
      </w:pPr>
      <w:r>
        <w:rPr>
          <w:sz w:val="20"/>
        </w:rPr>
        <w:t xml:space="preserve">                                     3</w:t>
      </w:r>
    </w:p>
    <w:p>
      <w:pPr>
        <w:pStyle w:val="1"/>
        <w:jc w:val="both"/>
      </w:pPr>
      <w:r>
        <w:rPr>
          <w:sz w:val="20"/>
        </w:rPr>
        <w:t xml:space="preserve">    4.  Emission  limit values (mg/Nm ) for NO  for combustion plants using</w:t>
      </w:r>
    </w:p>
    <w:p>
      <w:pPr>
        <w:pStyle w:val="1"/>
        <w:jc w:val="both"/>
      </w:pPr>
      <w:r>
        <w:rPr>
          <w:sz w:val="20"/>
        </w:rPr>
        <w:t xml:space="preserve">                                              x</w:t>
      </w:r>
    </w:p>
    <w:p>
      <w:pPr>
        <w:pStyle w:val="1"/>
        <w:jc w:val="both"/>
      </w:pPr>
      <w:r>
        <w:rPr>
          <w:sz w:val="20"/>
        </w:rPr>
        <w:t xml:space="preserve">solid or liquid fuels with the exception of gas turbines and gas engines</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1638"/>
        <w:gridCol w:w="3510"/>
        <w:gridCol w:w="1755"/>
        <w:gridCol w:w="1755"/>
      </w:tblGrid>
      <w:tr>
        <w:trPr>
          <w:trHeight w:val="240" w:hRule="atLeast"/>
        </w:trPr>
        <w:tc>
          <w:tcPr>
            <w:tcW w:w="1755" w:type="dxa"/>
          </w:tcPr>
          <w:p>
            <w:pPr>
              <w:pStyle w:val="1"/>
              <w:jc w:val="both"/>
            </w:pPr>
            <w:r>
              <w:rPr>
                <w:sz w:val="20"/>
              </w:rPr>
              <w:t xml:space="preserve"> Total rated </w:t>
            </w:r>
          </w:p>
          <w:p>
            <w:pPr>
              <w:pStyle w:val="1"/>
              <w:jc w:val="both"/>
            </w:pPr>
            <w:r>
              <w:rPr>
                <w:sz w:val="20"/>
              </w:rPr>
              <w:t xml:space="preserve">thermal input</w:t>
            </w:r>
          </w:p>
          <w:p>
            <w:pPr>
              <w:pStyle w:val="1"/>
              <w:jc w:val="both"/>
            </w:pPr>
            <w:r>
              <w:rPr>
                <w:sz w:val="20"/>
              </w:rPr>
              <w:t xml:space="preserve">    (MW)     </w:t>
            </w:r>
          </w:p>
        </w:tc>
        <w:tc>
          <w:tcPr>
            <w:tcW w:w="3627" w:type="dxa"/>
          </w:tcPr>
          <w:p>
            <w:pPr>
              <w:pStyle w:val="1"/>
              <w:jc w:val="both"/>
            </w:pPr>
            <w:r>
              <w:rPr>
                <w:sz w:val="20"/>
              </w:rPr>
              <w:t xml:space="preserve">    Coal and lignite and     </w:t>
            </w:r>
          </w:p>
          <w:p>
            <w:pPr>
              <w:pStyle w:val="1"/>
              <w:jc w:val="both"/>
            </w:pPr>
            <w:r>
              <w:rPr>
                <w:sz w:val="20"/>
              </w:rPr>
              <w:t xml:space="preserve">     other solid fuels       </w:t>
            </w:r>
          </w:p>
        </w:tc>
        <w:tc>
          <w:tcPr>
            <w:tcW w:w="1872" w:type="dxa"/>
          </w:tcPr>
          <w:p>
            <w:pPr>
              <w:pStyle w:val="1"/>
              <w:jc w:val="both"/>
            </w:pPr>
            <w:r>
              <w:rPr>
                <w:sz w:val="20"/>
              </w:rPr>
              <w:t xml:space="preserve"> Biomass and  </w:t>
            </w:r>
          </w:p>
          <w:p>
            <w:pPr>
              <w:pStyle w:val="1"/>
              <w:jc w:val="both"/>
            </w:pPr>
            <w:r>
              <w:rPr>
                <w:sz w:val="20"/>
              </w:rPr>
              <w:t xml:space="preserve">     peat     </w:t>
            </w:r>
          </w:p>
        </w:tc>
        <w:tc>
          <w:tcPr>
            <w:tcW w:w="1872" w:type="dxa"/>
          </w:tcPr>
          <w:p>
            <w:pPr>
              <w:pStyle w:val="1"/>
              <w:jc w:val="both"/>
            </w:pPr>
            <w:r>
              <w:rPr>
                <w:sz w:val="20"/>
              </w:rPr>
              <w:t xml:space="preserve"> Liquid fuels </w:t>
            </w:r>
          </w:p>
        </w:tc>
      </w:tr>
      <w:tr>
        <w:trPr>
          <w:trHeight w:val="240" w:hRule="atLeast"/>
        </w:trPr>
        <w:tc>
          <w:tcPr>
            <w:tcW w:w="1755" w:type="dxa"/>
            <w:tcBorders>
              <w:top w:val="nil"/>
            </w:tcBorders>
          </w:tcPr>
          <w:p>
            <w:pPr>
              <w:pStyle w:val="1"/>
              <w:jc w:val="both"/>
            </w:pPr>
            <w:r>
              <w:rPr>
                <w:sz w:val="20"/>
              </w:rPr>
              <w:t xml:space="preserve">   50 - 100  </w:t>
            </w:r>
          </w:p>
        </w:tc>
        <w:tc>
          <w:tcPr>
            <w:tcW w:w="3627" w:type="dxa"/>
            <w:tcBorders>
              <w:top w:val="nil"/>
            </w:tcBorders>
          </w:tcPr>
          <w:p>
            <w:pPr>
              <w:pStyle w:val="1"/>
              <w:jc w:val="both"/>
            </w:pPr>
            <w:r>
              <w:rPr>
                <w:sz w:val="20"/>
              </w:rPr>
              <w:t xml:space="preserve">300                          </w:t>
            </w:r>
          </w:p>
          <w:p>
            <w:pPr>
              <w:pStyle w:val="1"/>
              <w:jc w:val="both"/>
            </w:pPr>
            <w:r>
              <w:rPr>
                <w:sz w:val="20"/>
              </w:rPr>
              <w:t xml:space="preserve">400 in case of pulverised    </w:t>
            </w:r>
          </w:p>
          <w:p>
            <w:pPr>
              <w:pStyle w:val="1"/>
              <w:jc w:val="both"/>
            </w:pPr>
            <w:r>
              <w:rPr>
                <w:sz w:val="20"/>
              </w:rPr>
              <w:t xml:space="preserve">lignite combustion           </w:t>
            </w:r>
          </w:p>
        </w:tc>
        <w:tc>
          <w:tcPr>
            <w:tcW w:w="1872" w:type="dxa"/>
            <w:tcBorders>
              <w:top w:val="nil"/>
            </w:tcBorders>
          </w:tcPr>
          <w:p>
            <w:pPr>
              <w:pStyle w:val="1"/>
              <w:jc w:val="both"/>
            </w:pPr>
            <w:r>
              <w:rPr>
                <w:sz w:val="20"/>
              </w:rPr>
              <w:t xml:space="preserve">           250</w:t>
            </w:r>
          </w:p>
        </w:tc>
        <w:tc>
          <w:tcPr>
            <w:tcW w:w="1872" w:type="dxa"/>
            <w:tcBorders>
              <w:top w:val="nil"/>
            </w:tcBorders>
          </w:tcPr>
          <w:p>
            <w:pPr>
              <w:pStyle w:val="1"/>
              <w:jc w:val="both"/>
            </w:pPr>
            <w:r>
              <w:rPr>
                <w:sz w:val="20"/>
              </w:rPr>
              <w:t xml:space="preserve">           300</w:t>
            </w:r>
          </w:p>
        </w:tc>
      </w:tr>
      <w:tr>
        <w:trPr>
          <w:trHeight w:val="240" w:hRule="atLeast"/>
        </w:trPr>
        <w:tc>
          <w:tcPr>
            <w:tcW w:w="1755" w:type="dxa"/>
            <w:tcBorders>
              <w:top w:val="nil"/>
            </w:tcBorders>
          </w:tcPr>
          <w:p>
            <w:pPr>
              <w:pStyle w:val="1"/>
              <w:jc w:val="both"/>
            </w:pPr>
            <w:r>
              <w:rPr>
                <w:sz w:val="20"/>
              </w:rPr>
              <w:t xml:space="preserve">  100 - 300  </w:t>
            </w:r>
          </w:p>
        </w:tc>
        <w:tc>
          <w:tcPr>
            <w:tcW w:w="3627" w:type="dxa"/>
            <w:tcBorders>
              <w:top w:val="nil"/>
            </w:tcBorders>
          </w:tcPr>
          <w:p>
            <w:pPr>
              <w:pStyle w:val="1"/>
              <w:jc w:val="both"/>
            </w:pPr>
            <w:r>
              <w:rPr>
                <w:sz w:val="20"/>
              </w:rPr>
              <w:t xml:space="preserve">200                          </w:t>
            </w:r>
          </w:p>
        </w:tc>
        <w:tc>
          <w:tcPr>
            <w:tcW w:w="1872" w:type="dxa"/>
            <w:tcBorders>
              <w:top w:val="nil"/>
            </w:tcBorders>
          </w:tcPr>
          <w:p>
            <w:pPr>
              <w:pStyle w:val="1"/>
              <w:jc w:val="both"/>
            </w:pPr>
            <w:r>
              <w:rPr>
                <w:sz w:val="20"/>
              </w:rPr>
              <w:t xml:space="preserve">           200</w:t>
            </w:r>
          </w:p>
        </w:tc>
        <w:tc>
          <w:tcPr>
            <w:tcW w:w="1872" w:type="dxa"/>
            <w:tcBorders>
              <w:top w:val="nil"/>
            </w:tcBorders>
          </w:tcPr>
          <w:p>
            <w:pPr>
              <w:pStyle w:val="1"/>
              <w:jc w:val="both"/>
            </w:pPr>
            <w:r>
              <w:rPr>
                <w:sz w:val="20"/>
              </w:rPr>
              <w:t xml:space="preserve">           150</w:t>
            </w:r>
          </w:p>
        </w:tc>
      </w:tr>
      <w:tr>
        <w:trPr>
          <w:trHeight w:val="240" w:hRule="atLeast"/>
        </w:trPr>
        <w:tc>
          <w:tcPr>
            <w:tcW w:w="1755" w:type="dxa"/>
            <w:tcBorders>
              <w:top w:val="nil"/>
            </w:tcBorders>
          </w:tcPr>
          <w:p>
            <w:pPr>
              <w:pStyle w:val="1"/>
              <w:jc w:val="both"/>
            </w:pPr>
            <w:r>
              <w:rPr>
                <w:sz w:val="20"/>
              </w:rPr>
              <w:t xml:space="preserve">      &gt; 300  </w:t>
            </w:r>
          </w:p>
        </w:tc>
        <w:tc>
          <w:tcPr>
            <w:tcW w:w="3627" w:type="dxa"/>
            <w:tcBorders>
              <w:top w:val="nil"/>
            </w:tcBorders>
          </w:tcPr>
          <w:p>
            <w:pPr>
              <w:pStyle w:val="1"/>
              <w:jc w:val="both"/>
            </w:pPr>
            <w:r>
              <w:rPr>
                <w:sz w:val="20"/>
              </w:rPr>
              <w:t xml:space="preserve">150                          </w:t>
            </w:r>
          </w:p>
          <w:p>
            <w:pPr>
              <w:pStyle w:val="1"/>
              <w:jc w:val="both"/>
            </w:pPr>
            <w:r>
              <w:rPr>
                <w:sz w:val="20"/>
              </w:rPr>
              <w:t xml:space="preserve">200 in case of pulverised    </w:t>
            </w:r>
          </w:p>
          <w:p>
            <w:pPr>
              <w:pStyle w:val="1"/>
              <w:jc w:val="both"/>
            </w:pPr>
            <w:r>
              <w:rPr>
                <w:sz w:val="20"/>
              </w:rPr>
              <w:t xml:space="preserve">lignite combustion           </w:t>
            </w:r>
          </w:p>
        </w:tc>
        <w:tc>
          <w:tcPr>
            <w:tcW w:w="1872" w:type="dxa"/>
            <w:tcBorders>
              <w:top w:val="nil"/>
            </w:tcBorders>
          </w:tcPr>
          <w:p>
            <w:pPr>
              <w:pStyle w:val="1"/>
              <w:jc w:val="both"/>
            </w:pPr>
            <w:r>
              <w:rPr>
                <w:sz w:val="20"/>
              </w:rPr>
              <w:t xml:space="preserve">           150</w:t>
            </w:r>
          </w:p>
        </w:tc>
        <w:tc>
          <w:tcPr>
            <w:tcW w:w="1872" w:type="dxa"/>
            <w:tcBorders>
              <w:top w:val="nil"/>
            </w:tcBorders>
          </w:tcPr>
          <w:p>
            <w:pPr>
              <w:pStyle w:val="1"/>
              <w:jc w:val="both"/>
            </w:pPr>
            <w:r>
              <w:rPr>
                <w:sz w:val="20"/>
              </w:rPr>
              <w:t xml:space="preserve">           100</w:t>
            </w:r>
          </w:p>
        </w:tc>
      </w:tr>
    </w:tbl>
    <w:p>
      <w:pPr>
        <w:pStyle w:val="0"/>
        <w:ind w:firstLine="540"/>
        <w:jc w:val="both"/>
      </w:pPr>
      <w:r>
        <w:rPr>
          <w:sz w:val="20"/>
        </w:rPr>
      </w:r>
    </w:p>
    <w:p>
      <w:pPr>
        <w:pStyle w:val="1"/>
        <w:jc w:val="both"/>
      </w:pPr>
      <w:r>
        <w:rPr>
          <w:sz w:val="20"/>
        </w:rPr>
        <w:t xml:space="preserve">    5.  Gas turbines (including CCGT) using light and middle distillates as</w:t>
      </w:r>
    </w:p>
    <w:p>
      <w:pPr>
        <w:pStyle w:val="1"/>
        <w:jc w:val="both"/>
      </w:pPr>
      <w:r>
        <w:rPr>
          <w:sz w:val="20"/>
        </w:rPr>
        <w:t xml:space="preserve">liquid  fuels  shall  be  subject  to an emission limit value for NO  of 50</w:t>
      </w:r>
    </w:p>
    <w:p>
      <w:pPr>
        <w:pStyle w:val="1"/>
        <w:jc w:val="both"/>
      </w:pPr>
      <w:r>
        <w:rPr>
          <w:sz w:val="20"/>
        </w:rPr>
        <w:t xml:space="preserve">     3                        3                                     x</w:t>
      </w:r>
    </w:p>
    <w:p>
      <w:pPr>
        <w:pStyle w:val="1"/>
        <w:jc w:val="both"/>
      </w:pPr>
      <w:r>
        <w:rPr>
          <w:sz w:val="20"/>
        </w:rPr>
        <w:t xml:space="preserve">mg/Nm  and for CO of 100 mg/Nm</w:t>
      </w:r>
    </w:p>
    <w:p>
      <w:pPr>
        <w:pStyle w:val="0"/>
        <w:ind w:firstLine="540"/>
        <w:jc w:val="both"/>
      </w:pPr>
      <w:r>
        <w:rPr>
          <w:sz w:val="20"/>
        </w:rPr>
        <w:t xml:space="preserve">Gas turbines for emergency use that operate less than 500 operating hours per year are not covered by the emission limit values set out in this point. The operator of such plants shall record the used operating hours.</w:t>
      </w:r>
    </w:p>
    <w:p>
      <w:pPr>
        <w:pStyle w:val="1"/>
        <w:spacing w:before="200" w:line-rule="auto"/>
        <w:jc w:val="both"/>
      </w:pPr>
      <w:r>
        <w:rPr>
          <w:sz w:val="20"/>
        </w:rPr>
        <w:t xml:space="preserve">                                       3</w:t>
      </w:r>
    </w:p>
    <w:p>
      <w:pPr>
        <w:pStyle w:val="1"/>
        <w:jc w:val="both"/>
      </w:pPr>
      <w:r>
        <w:rPr>
          <w:sz w:val="20"/>
        </w:rPr>
        <w:t xml:space="preserve">    6.  Emission  limit  values  (mg/Nm )  for  NO   and  CO  for gas fired</w:t>
      </w:r>
    </w:p>
    <w:p>
      <w:pPr>
        <w:pStyle w:val="1"/>
        <w:jc w:val="both"/>
      </w:pPr>
      <w:r>
        <w:rPr>
          <w:sz w:val="20"/>
        </w:rPr>
        <w:t xml:space="preserve">                                                  x</w:t>
      </w:r>
    </w:p>
    <w:p>
      <w:pPr>
        <w:pStyle w:val="1"/>
        <w:jc w:val="both"/>
      </w:pPr>
      <w:r>
        <w:rPr>
          <w:sz w:val="20"/>
        </w:rPr>
        <w:t xml:space="preserve">combustion plants</w:t>
      </w:r>
    </w:p>
    <w:p>
      <w:pPr>
        <w:pStyle w:val="0"/>
        <w:ind w:firstLine="540"/>
        <w:jc w:val="both"/>
      </w:pPr>
      <w:r>
        <w:rPr>
          <w:sz w:val="20"/>
        </w:rPr>
      </w:r>
    </w:p>
    <w:p>
      <w:pPr>
        <w:pStyle w:val="3"/>
        <w:jc w:val="both"/>
      </w:pPr>
      <w:r>
        <w:rPr>
          <w:sz w:val="20"/>
        </w:rPr>
        <w:t xml:space="preserve">┌────────────────────────────────┬────────────────┬───────────────────────┐</w:t>
      </w:r>
    </w:p>
    <w:p>
      <w:pPr>
        <w:pStyle w:val="3"/>
        <w:jc w:val="both"/>
      </w:pPr>
      <w:r>
        <w:rPr>
          <w:sz w:val="20"/>
        </w:rPr>
        <w:t xml:space="preserve">│                                │      NO        │           CO          │</w:t>
      </w:r>
    </w:p>
    <w:p>
      <w:pPr>
        <w:pStyle w:val="3"/>
        <w:jc w:val="both"/>
      </w:pPr>
      <w:r>
        <w:rPr>
          <w:sz w:val="20"/>
        </w:rPr>
        <w:t xml:space="preserve">│                                │        x       │                       │</w:t>
      </w:r>
    </w:p>
    <w:p>
      <w:pPr>
        <w:pStyle w:val="3"/>
        <w:jc w:val="both"/>
      </w:pPr>
      <w:r>
        <w:rPr>
          <w:sz w:val="20"/>
        </w:rPr>
        <w:t xml:space="preserve">├────────────────────────────────┼────────────────┼───────────────────────┤</w:t>
      </w:r>
    </w:p>
    <w:p>
      <w:pPr>
        <w:pStyle w:val="3"/>
        <w:jc w:val="both"/>
      </w:pPr>
      <w:r>
        <w:rPr>
          <w:sz w:val="20"/>
        </w:rPr>
        <w:t xml:space="preserve">│Combustion plants other than gas│         100    │                    100│</w:t>
      </w:r>
    </w:p>
    <w:p>
      <w:pPr>
        <w:pStyle w:val="3"/>
        <w:jc w:val="both"/>
      </w:pPr>
      <w:r>
        <w:rPr>
          <w:sz w:val="20"/>
        </w:rPr>
        <w:t xml:space="preserve">│turbines and gas engines        │                │                       │</w:t>
      </w:r>
    </w:p>
    <w:p>
      <w:pPr>
        <w:pStyle w:val="3"/>
        <w:jc w:val="both"/>
      </w:pPr>
      <w:r>
        <w:rPr>
          <w:sz w:val="20"/>
        </w:rPr>
        <w:t xml:space="preserve">├────────────────────────────────┼────────────────┼───────────────────────┤</w:t>
      </w:r>
    </w:p>
    <w:p>
      <w:pPr>
        <w:pStyle w:val="3"/>
        <w:jc w:val="both"/>
      </w:pPr>
      <w:r>
        <w:rPr>
          <w:sz w:val="20"/>
        </w:rPr>
        <w:t xml:space="preserve">│Gas turbines (including CCGT)   │          50 &lt;*&gt;│                    100│</w:t>
      </w:r>
    </w:p>
    <w:p>
      <w:pPr>
        <w:pStyle w:val="3"/>
        <w:jc w:val="both"/>
      </w:pPr>
      <w:r>
        <w:rPr>
          <w:sz w:val="20"/>
        </w:rPr>
        <w:t xml:space="preserve">├────────────────────────────────┼────────────────┼───────────────────────┤</w:t>
      </w:r>
    </w:p>
    <w:p>
      <w:pPr>
        <w:pStyle w:val="3"/>
        <w:jc w:val="both"/>
      </w:pPr>
      <w:r>
        <w:rPr>
          <w:sz w:val="20"/>
        </w:rPr>
        <w:t xml:space="preserve">│Gas engines                     │          75    │                    100│</w:t>
      </w:r>
    </w:p>
    <w:p>
      <w:pPr>
        <w:pStyle w:val="3"/>
        <w:jc w:val="both"/>
      </w:pPr>
      <w:r>
        <w:rPr>
          <w:sz w:val="20"/>
        </w:rPr>
        <w:t xml:space="preserve">├────────────────────────────────┴────────────────┴───────────────────────┤</w:t>
      </w:r>
    </w:p>
    <w:p>
      <w:pPr>
        <w:pStyle w:val="3"/>
        <w:jc w:val="both"/>
      </w:pPr>
      <w:r>
        <w:rPr>
          <w:sz w:val="20"/>
        </w:rPr>
        <w:t xml:space="preserve">│Note:                                                                    │</w:t>
      </w:r>
    </w:p>
    <w:p>
      <w:pPr>
        <w:pStyle w:val="3"/>
        <w:jc w:val="both"/>
      </w:pPr>
      <w:r>
        <w:rPr>
          <w:sz w:val="20"/>
        </w:rPr>
        <w:t xml:space="preserve">│&lt;*&gt; For single cycle gas turbines having an efficiency greater than      │</w:t>
      </w:r>
    </w:p>
    <w:p>
      <w:pPr>
        <w:pStyle w:val="3"/>
        <w:jc w:val="both"/>
      </w:pPr>
      <w:r>
        <w:rPr>
          <w:sz w:val="20"/>
        </w:rPr>
        <w:t xml:space="preserve">│35% - determined at ISO base load conditions - the emission limit value  │</w:t>
      </w:r>
    </w:p>
    <w:p>
      <w:pPr>
        <w:pStyle w:val="3"/>
        <w:jc w:val="both"/>
      </w:pPr>
      <w:r>
        <w:rPr>
          <w:sz w:val="20"/>
        </w:rPr>
        <w:t xml:space="preserve">│for NO  shall be 50xeta/35 where eta is the gas turbine efficiency at ISO│</w:t>
      </w:r>
    </w:p>
    <w:p>
      <w:pPr>
        <w:pStyle w:val="3"/>
        <w:jc w:val="both"/>
      </w:pPr>
      <w:r>
        <w:rPr>
          <w:sz w:val="20"/>
        </w:rPr>
        <w:t xml:space="preserve">│      x                                                                  │</w:t>
      </w:r>
    </w:p>
    <w:p>
      <w:pPr>
        <w:pStyle w:val="3"/>
        <w:jc w:val="both"/>
      </w:pPr>
      <w:r>
        <w:rPr>
          <w:sz w:val="20"/>
        </w:rPr>
        <w:t xml:space="preserve">│base load conditions expressed as a percentage.                          │</w:t>
      </w:r>
    </w:p>
    <w:p>
      <w:pPr>
        <w:pStyle w:val="3"/>
        <w:jc w:val="both"/>
      </w:pPr>
      <w:r>
        <w:rPr>
          <w:sz w:val="20"/>
        </w:rPr>
        <w:t xml:space="preserve">└─────────────────────────────────────────────────────────────────────────┘</w:t>
      </w:r>
    </w:p>
    <w:p>
      <w:pPr>
        <w:pStyle w:val="0"/>
        <w:ind w:firstLine="540"/>
        <w:jc w:val="both"/>
      </w:pPr>
      <w:r>
        <w:rPr>
          <w:sz w:val="20"/>
        </w:rPr>
      </w:r>
    </w:p>
    <w:p>
      <w:pPr>
        <w:pStyle w:val="1"/>
        <w:jc w:val="both"/>
      </w:pPr>
      <w:r>
        <w:rPr>
          <w:sz w:val="20"/>
        </w:rPr>
        <w:t xml:space="preserve">    For gas turbines (including CCGT), the NO  and CO emission limit values</w:t>
      </w:r>
    </w:p>
    <w:p>
      <w:pPr>
        <w:pStyle w:val="1"/>
        <w:jc w:val="both"/>
      </w:pPr>
      <w:r>
        <w:rPr>
          <w:sz w:val="20"/>
        </w:rPr>
        <w:t xml:space="preserve">                                             x</w:t>
      </w:r>
    </w:p>
    <w:p>
      <w:pPr>
        <w:pStyle w:val="1"/>
        <w:jc w:val="both"/>
      </w:pPr>
      <w:r>
        <w:rPr>
          <w:sz w:val="20"/>
        </w:rPr>
        <w:t xml:space="preserve">set out in this point apply only above 70% load.</w:t>
      </w:r>
    </w:p>
    <w:p>
      <w:pPr>
        <w:pStyle w:val="0"/>
        <w:ind w:firstLine="540"/>
        <w:jc w:val="both"/>
      </w:pPr>
      <w:r>
        <w:rPr>
          <w:sz w:val="20"/>
        </w:rPr>
        <w:t xml:space="preserve">Gas turbines and gas engines for emergency use that operate less than 500 operating hours per year are not covered by the emission limit values set out in this point. The operator of such plants shall record the used operating hours.</w:t>
      </w:r>
    </w:p>
    <w:p>
      <w:pPr>
        <w:pStyle w:val="1"/>
        <w:spacing w:before="200" w:line-rule="auto"/>
        <w:jc w:val="both"/>
      </w:pPr>
      <w:r>
        <w:rPr>
          <w:sz w:val="20"/>
        </w:rPr>
        <w:t xml:space="preserve">                                    3</w:t>
      </w:r>
    </w:p>
    <w:p>
      <w:pPr>
        <w:pStyle w:val="1"/>
        <w:jc w:val="both"/>
      </w:pPr>
      <w:r>
        <w:rPr>
          <w:sz w:val="20"/>
        </w:rPr>
        <w:t xml:space="preserve">    7.  Emission limit values (mg/Nm ) for dust for combustion plants using</w:t>
      </w:r>
    </w:p>
    <w:p>
      <w:pPr>
        <w:pStyle w:val="1"/>
        <w:jc w:val="both"/>
      </w:pPr>
      <w:r>
        <w:rPr>
          <w:sz w:val="20"/>
        </w:rPr>
        <w:t xml:space="preserve">solid or liquid fuels with the exception of gas turbines and gas engines</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4212"/>
        <w:gridCol w:w="4446"/>
      </w:tblGrid>
      <w:tr>
        <w:trPr>
          <w:trHeight w:val="240" w:hRule="atLeast"/>
        </w:trPr>
        <w:tc>
          <w:tcPr>
            <w:tcW w:w="4329" w:type="dxa"/>
          </w:tcPr>
          <w:p>
            <w:pPr>
              <w:pStyle w:val="1"/>
              <w:jc w:val="both"/>
            </w:pPr>
            <w:r>
              <w:rPr>
                <w:sz w:val="20"/>
              </w:rPr>
              <w:t xml:space="preserve">  Total rated thermal input (MW)   </w:t>
            </w:r>
          </w:p>
        </w:tc>
        <w:tc>
          <w:tcPr>
            <w:tcW w:w="4563" w:type="dxa"/>
          </w:tcPr>
          <w:p>
            <w:pPr>
              <w:pStyle w:val="1"/>
              <w:jc w:val="both"/>
            </w:pPr>
            <w:r>
              <w:rPr>
                <w:sz w:val="20"/>
              </w:rPr>
            </w:r>
          </w:p>
        </w:tc>
      </w:tr>
      <w:tr>
        <w:trPr>
          <w:trHeight w:val="240" w:hRule="atLeast"/>
        </w:trPr>
        <w:tc>
          <w:tcPr>
            <w:tcW w:w="4329" w:type="dxa"/>
            <w:tcBorders>
              <w:top w:val="nil"/>
            </w:tcBorders>
          </w:tcPr>
          <w:p>
            <w:pPr>
              <w:pStyle w:val="1"/>
              <w:jc w:val="both"/>
            </w:pPr>
            <w:r>
              <w:rPr>
                <w:sz w:val="20"/>
              </w:rPr>
              <w:t xml:space="preserve">             50 - 300              </w:t>
            </w:r>
          </w:p>
        </w:tc>
        <w:tc>
          <w:tcPr>
            <w:tcW w:w="4563" w:type="dxa"/>
            <w:tcBorders>
              <w:top w:val="nil"/>
            </w:tcBorders>
          </w:tcPr>
          <w:p>
            <w:pPr>
              <w:pStyle w:val="1"/>
              <w:jc w:val="both"/>
            </w:pPr>
            <w:r>
              <w:rPr>
                <w:sz w:val="20"/>
              </w:rPr>
              <w:t xml:space="preserve">20                                   </w:t>
            </w:r>
          </w:p>
        </w:tc>
      </w:tr>
      <w:tr>
        <w:trPr>
          <w:trHeight w:val="240" w:hRule="atLeast"/>
        </w:trPr>
        <w:tc>
          <w:tcPr>
            <w:tcW w:w="4329" w:type="dxa"/>
            <w:tcBorders>
              <w:top w:val="nil"/>
            </w:tcBorders>
          </w:tcPr>
          <w:p>
            <w:pPr>
              <w:pStyle w:val="1"/>
              <w:jc w:val="both"/>
            </w:pPr>
            <w:r>
              <w:rPr>
                <w:sz w:val="20"/>
              </w:rPr>
              <w:t xml:space="preserve">                &gt; 300              </w:t>
            </w:r>
          </w:p>
        </w:tc>
        <w:tc>
          <w:tcPr>
            <w:tcW w:w="4563" w:type="dxa"/>
            <w:tcBorders>
              <w:top w:val="nil"/>
            </w:tcBorders>
          </w:tcPr>
          <w:p>
            <w:pPr>
              <w:pStyle w:val="1"/>
              <w:jc w:val="both"/>
            </w:pPr>
            <w:r>
              <w:rPr>
                <w:sz w:val="20"/>
              </w:rPr>
              <w:t xml:space="preserve">10                                   </w:t>
            </w:r>
          </w:p>
          <w:p>
            <w:pPr>
              <w:pStyle w:val="1"/>
              <w:jc w:val="both"/>
            </w:pPr>
            <w:r>
              <w:rPr>
                <w:sz w:val="20"/>
              </w:rPr>
              <w:t xml:space="preserve">20 for biomass and peat              </w:t>
            </w:r>
          </w:p>
        </w:tc>
      </w:tr>
    </w:tbl>
    <w:p>
      <w:pPr>
        <w:pStyle w:val="0"/>
        <w:ind w:firstLine="540"/>
        <w:jc w:val="both"/>
      </w:pPr>
      <w:r>
        <w:rPr>
          <w:sz w:val="20"/>
        </w:rPr>
      </w:r>
    </w:p>
    <w:p>
      <w:pPr>
        <w:pStyle w:val="1"/>
        <w:jc w:val="both"/>
      </w:pPr>
      <w:r>
        <w:rPr>
          <w:sz w:val="20"/>
        </w:rPr>
        <w:t xml:space="preserve">                                    3</w:t>
      </w:r>
    </w:p>
    <w:p>
      <w:pPr>
        <w:pStyle w:val="1"/>
        <w:jc w:val="both"/>
      </w:pPr>
      <w:r>
        <w:rPr>
          <w:sz w:val="20"/>
        </w:rPr>
        <w:t xml:space="preserve">    8.  Emission limit values (mg/Nm ) for dust for combustion plants using</w:t>
      </w:r>
    </w:p>
    <w:p>
      <w:pPr>
        <w:pStyle w:val="1"/>
        <w:jc w:val="both"/>
      </w:pPr>
      <w:r>
        <w:rPr>
          <w:sz w:val="20"/>
        </w:rPr>
        <w:t xml:space="preserve">gaseous fuels with the exception of gas turbines and gas engines</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6903"/>
        <w:gridCol w:w="1755"/>
      </w:tblGrid>
      <w:tr>
        <w:trPr>
          <w:trHeight w:val="240" w:hRule="atLeast"/>
        </w:trPr>
        <w:tc>
          <w:tcPr>
            <w:tcW w:w="7020" w:type="dxa"/>
          </w:tcPr>
          <w:p>
            <w:pPr>
              <w:pStyle w:val="1"/>
              <w:jc w:val="both"/>
            </w:pPr>
            <w:r>
              <w:rPr>
                <w:sz w:val="20"/>
              </w:rPr>
              <w:t xml:space="preserve">In general                                                </w:t>
            </w:r>
          </w:p>
        </w:tc>
        <w:tc>
          <w:tcPr>
            <w:tcW w:w="1872" w:type="dxa"/>
          </w:tcPr>
          <w:p>
            <w:pPr>
              <w:pStyle w:val="1"/>
              <w:jc w:val="both"/>
            </w:pPr>
            <w:r>
              <w:rPr>
                <w:sz w:val="20"/>
              </w:rPr>
              <w:t xml:space="preserve">             5</w:t>
            </w:r>
          </w:p>
        </w:tc>
      </w:tr>
      <w:tr>
        <w:trPr>
          <w:trHeight w:val="240" w:hRule="atLeast"/>
        </w:trPr>
        <w:tc>
          <w:tcPr>
            <w:tcW w:w="7020" w:type="dxa"/>
            <w:tcBorders>
              <w:top w:val="nil"/>
            </w:tcBorders>
          </w:tcPr>
          <w:p>
            <w:pPr>
              <w:pStyle w:val="1"/>
              <w:jc w:val="both"/>
            </w:pPr>
            <w:r>
              <w:rPr>
                <w:sz w:val="20"/>
              </w:rPr>
              <w:t xml:space="preserve">Blast furnace gas                                         </w:t>
            </w:r>
          </w:p>
        </w:tc>
        <w:tc>
          <w:tcPr>
            <w:tcW w:w="1872" w:type="dxa"/>
            <w:tcBorders>
              <w:top w:val="nil"/>
            </w:tcBorders>
          </w:tcPr>
          <w:p>
            <w:pPr>
              <w:pStyle w:val="1"/>
              <w:jc w:val="both"/>
            </w:pPr>
            <w:r>
              <w:rPr>
                <w:sz w:val="20"/>
              </w:rPr>
              <w:t xml:space="preserve">            10</w:t>
            </w:r>
          </w:p>
        </w:tc>
      </w:tr>
      <w:tr>
        <w:trPr>
          <w:trHeight w:val="240" w:hRule="atLeast"/>
        </w:trPr>
        <w:tc>
          <w:tcPr>
            <w:tcW w:w="7020" w:type="dxa"/>
            <w:tcBorders>
              <w:top w:val="nil"/>
            </w:tcBorders>
          </w:tcPr>
          <w:p>
            <w:pPr>
              <w:pStyle w:val="1"/>
              <w:jc w:val="both"/>
            </w:pPr>
            <w:r>
              <w:rPr>
                <w:sz w:val="20"/>
              </w:rPr>
              <w:t xml:space="preserve">Gases produced by the steel industry which can be used    </w:t>
            </w:r>
          </w:p>
          <w:p>
            <w:pPr>
              <w:pStyle w:val="1"/>
              <w:jc w:val="both"/>
            </w:pPr>
            <w:r>
              <w:rPr>
                <w:sz w:val="20"/>
              </w:rPr>
              <w:t xml:space="preserve">elsewhere                                                 </w:t>
            </w:r>
          </w:p>
        </w:tc>
        <w:tc>
          <w:tcPr>
            <w:tcW w:w="1872" w:type="dxa"/>
            <w:tcBorders>
              <w:top w:val="nil"/>
            </w:tcBorders>
          </w:tcPr>
          <w:p>
            <w:pPr>
              <w:pStyle w:val="1"/>
              <w:jc w:val="both"/>
            </w:pPr>
            <w:r>
              <w:rPr>
                <w:sz w:val="20"/>
              </w:rPr>
              <w:t xml:space="preserve">            30</w:t>
            </w:r>
          </w:p>
        </w:tc>
      </w:tr>
    </w:tbl>
    <w:p>
      <w:pPr>
        <w:pStyle w:val="0"/>
        <w:jc w:val="center"/>
      </w:pPr>
      <w:r>
        <w:rPr>
          <w:sz w:val="20"/>
        </w:rPr>
      </w:r>
    </w:p>
    <w:p>
      <w:pPr>
        <w:pStyle w:val="0"/>
        <w:outlineLvl w:val="1"/>
        <w:jc w:val="center"/>
      </w:pPr>
      <w:r>
        <w:rPr>
          <w:sz w:val="20"/>
        </w:rPr>
        <w:t xml:space="preserve">Part 3</w:t>
      </w:r>
    </w:p>
    <w:p>
      <w:pPr>
        <w:pStyle w:val="0"/>
        <w:jc w:val="center"/>
      </w:pPr>
      <w:r>
        <w:rPr>
          <w:sz w:val="20"/>
        </w:rPr>
      </w:r>
    </w:p>
    <w:p>
      <w:pPr>
        <w:pStyle w:val="0"/>
        <w:jc w:val="center"/>
      </w:pPr>
      <w:r>
        <w:rPr>
          <w:sz w:val="20"/>
        </w:rPr>
        <w:t xml:space="preserve">Emission monitoring</w:t>
      </w:r>
    </w:p>
    <w:p>
      <w:pPr>
        <w:pStyle w:val="0"/>
        <w:jc w:val="center"/>
      </w:pPr>
      <w:r>
        <w:rPr>
          <w:sz w:val="20"/>
        </w:rPr>
      </w:r>
    </w:p>
    <w:p>
      <w:pPr>
        <w:pStyle w:val="1"/>
        <w:jc w:val="both"/>
      </w:pPr>
      <w:r>
        <w:rPr>
          <w:sz w:val="20"/>
        </w:rPr>
        <w:t xml:space="preserve">    1.  The  concentrations  of  SO , NO  and dust in waste gases from each</w:t>
      </w:r>
    </w:p>
    <w:p>
      <w:pPr>
        <w:pStyle w:val="1"/>
        <w:jc w:val="both"/>
      </w:pPr>
      <w:r>
        <w:rPr>
          <w:sz w:val="20"/>
        </w:rPr>
        <w:t xml:space="preserve">                                   2    x</w:t>
      </w:r>
    </w:p>
    <w:p>
      <w:pPr>
        <w:pStyle w:val="1"/>
        <w:jc w:val="both"/>
      </w:pPr>
      <w:r>
        <w:rPr>
          <w:sz w:val="20"/>
        </w:rPr>
        <w:t xml:space="preserve">combustion  plant  with a total rated thermal input of 100 MW or more shall</w:t>
      </w:r>
    </w:p>
    <w:p>
      <w:pPr>
        <w:pStyle w:val="1"/>
        <w:jc w:val="both"/>
      </w:pPr>
      <w:r>
        <w:rPr>
          <w:sz w:val="20"/>
        </w:rPr>
        <w:t xml:space="preserve">be measured continuously.</w:t>
      </w:r>
    </w:p>
    <w:p>
      <w:pPr>
        <w:pStyle w:val="0"/>
        <w:ind w:firstLine="540"/>
        <w:jc w:val="both"/>
      </w:pPr>
      <w:r>
        <w:rPr>
          <w:sz w:val="20"/>
        </w:rPr>
        <w:t xml:space="preserve">The concentration of CO in waste gases from each combustion plant firing gaseous fuels with a total rated thermal input of 100 MW or more shall be measured continuously.</w:t>
      </w:r>
    </w:p>
    <w:p>
      <w:pPr>
        <w:pStyle w:val="0"/>
        <w:spacing w:before="200" w:line-rule="auto"/>
        <w:ind w:firstLine="540"/>
        <w:jc w:val="both"/>
      </w:pPr>
      <w:r>
        <w:rPr>
          <w:sz w:val="20"/>
        </w:rPr>
        <w:t xml:space="preserve">2. The competent authority may decide not to require the continuous measurements referred to in point 1 in the following cases:</w:t>
      </w:r>
    </w:p>
    <w:p>
      <w:pPr>
        <w:pStyle w:val="0"/>
        <w:spacing w:before="200" w:line-rule="auto"/>
        <w:ind w:firstLine="540"/>
        <w:jc w:val="both"/>
      </w:pPr>
      <w:r>
        <w:rPr>
          <w:sz w:val="20"/>
        </w:rPr>
        <w:t xml:space="preserve">(a) for combustion plants with a life span of less than 10000 operational hours;</w:t>
      </w:r>
    </w:p>
    <w:p>
      <w:pPr>
        <w:pStyle w:val="1"/>
        <w:spacing w:before="200" w:line-rule="auto"/>
        <w:jc w:val="both"/>
      </w:pPr>
      <w:r>
        <w:rPr>
          <w:sz w:val="20"/>
        </w:rPr>
        <w:t xml:space="preserve">    (b) for SO  and dust from combustion plants firing natural gas;</w:t>
      </w:r>
    </w:p>
    <w:p>
      <w:pPr>
        <w:pStyle w:val="1"/>
        <w:jc w:val="both"/>
      </w:pPr>
      <w:r>
        <w:rPr>
          <w:sz w:val="20"/>
        </w:rPr>
        <w:t xml:space="preserve">              2</w:t>
      </w:r>
    </w:p>
    <w:p>
      <w:pPr>
        <w:pStyle w:val="1"/>
        <w:jc w:val="both"/>
      </w:pPr>
      <w:r>
        <w:rPr>
          <w:sz w:val="20"/>
        </w:rPr>
        <w:t xml:space="preserve">    (c)  for  SO  from combustion  plants  firing  oil  with  known sulphur</w:t>
      </w:r>
    </w:p>
    <w:p>
      <w:pPr>
        <w:pStyle w:val="1"/>
        <w:jc w:val="both"/>
      </w:pPr>
      <w:r>
        <w:rPr>
          <w:sz w:val="20"/>
        </w:rPr>
        <w:t xml:space="preserve">                2</w:t>
      </w:r>
    </w:p>
    <w:p>
      <w:pPr>
        <w:pStyle w:val="1"/>
        <w:jc w:val="both"/>
      </w:pPr>
      <w:r>
        <w:rPr>
          <w:sz w:val="20"/>
        </w:rPr>
        <w:t xml:space="preserve">content in cases where there is no waste gas desulphurisation equipment;</w:t>
      </w:r>
    </w:p>
    <w:p>
      <w:pPr>
        <w:pStyle w:val="1"/>
        <w:jc w:val="both"/>
      </w:pPr>
      <w:r>
        <w:rPr>
          <w:sz w:val="20"/>
        </w:rPr>
        <w:t xml:space="preserve">    (d)  for SO  from  combustion plants firing biomass if the operator can</w:t>
      </w:r>
    </w:p>
    <w:p>
      <w:pPr>
        <w:pStyle w:val="1"/>
        <w:jc w:val="both"/>
      </w:pPr>
      <w:r>
        <w:rPr>
          <w:sz w:val="20"/>
        </w:rPr>
        <w:t xml:space="preserve">               2</w:t>
      </w:r>
    </w:p>
    <w:p>
      <w:pPr>
        <w:pStyle w:val="1"/>
        <w:jc w:val="both"/>
      </w:pPr>
      <w:r>
        <w:rPr>
          <w:sz w:val="20"/>
        </w:rPr>
        <w:t xml:space="preserve">prove that the SO  emissions  can under no circumstances be higher than the</w:t>
      </w:r>
    </w:p>
    <w:p>
      <w:pPr>
        <w:pStyle w:val="1"/>
        <w:jc w:val="both"/>
      </w:pPr>
      <w:r>
        <w:rPr>
          <w:sz w:val="20"/>
        </w:rPr>
        <w:t xml:space="preserve">                 2</w:t>
      </w:r>
    </w:p>
    <w:p>
      <w:pPr>
        <w:pStyle w:val="1"/>
        <w:jc w:val="both"/>
      </w:pPr>
      <w:r>
        <w:rPr>
          <w:sz w:val="20"/>
        </w:rPr>
        <w:t xml:space="preserve">prescribed emission limit values.</w:t>
      </w:r>
    </w:p>
    <w:p>
      <w:pPr>
        <w:pStyle w:val="1"/>
        <w:jc w:val="both"/>
      </w:pPr>
      <w:r>
        <w:rPr>
          <w:sz w:val="20"/>
        </w:rPr>
        <w:t xml:space="preserve">    3. Where continuous measurements are not required, measurements of SO ,</w:t>
      </w:r>
    </w:p>
    <w:p>
      <w:pPr>
        <w:pStyle w:val="1"/>
        <w:jc w:val="both"/>
      </w:pPr>
      <w:r>
        <w:rPr>
          <w:sz w:val="20"/>
        </w:rPr>
        <w:t xml:space="preserve">                                                                         2</w:t>
      </w:r>
    </w:p>
    <w:p>
      <w:pPr>
        <w:pStyle w:val="1"/>
        <w:jc w:val="both"/>
      </w:pPr>
      <w:r>
        <w:rPr>
          <w:sz w:val="20"/>
        </w:rPr>
        <w:t xml:space="preserve">NO ,  dust and, for gas fired plants, also of CO shall be required at least</w:t>
      </w:r>
    </w:p>
    <w:p>
      <w:pPr>
        <w:pStyle w:val="1"/>
        <w:jc w:val="both"/>
      </w:pPr>
      <w:r>
        <w:rPr>
          <w:sz w:val="20"/>
        </w:rPr>
        <w:t xml:space="preserve">  x</w:t>
      </w:r>
    </w:p>
    <w:p>
      <w:pPr>
        <w:pStyle w:val="1"/>
        <w:jc w:val="both"/>
      </w:pPr>
      <w:r>
        <w:rPr>
          <w:sz w:val="20"/>
        </w:rPr>
        <w:t xml:space="preserve">once every 6 months.</w:t>
      </w:r>
    </w:p>
    <w:p>
      <w:pPr>
        <w:pStyle w:val="0"/>
        <w:ind w:firstLine="540"/>
        <w:jc w:val="both"/>
      </w:pPr>
      <w:r>
        <w:rPr>
          <w:sz w:val="20"/>
        </w:rPr>
        <w:t xml:space="preserve">4. For combustion plants firing coal or lignite, the emissions of total mercury shall be measured at least once per year.</w:t>
      </w:r>
    </w:p>
    <w:p>
      <w:pPr>
        <w:pStyle w:val="1"/>
        <w:spacing w:before="200" w:line-rule="auto"/>
        <w:jc w:val="both"/>
      </w:pPr>
      <w:r>
        <w:rPr>
          <w:sz w:val="20"/>
        </w:rPr>
        <w:t xml:space="preserve">    5.  As an alternative to the measurements of SO  and NO  referred to in</w:t>
      </w:r>
    </w:p>
    <w:p>
      <w:pPr>
        <w:pStyle w:val="1"/>
        <w:jc w:val="both"/>
      </w:pPr>
      <w:r>
        <w:rPr>
          <w:sz w:val="20"/>
        </w:rPr>
        <w:t xml:space="preserve">                                                   2       x</w:t>
      </w:r>
    </w:p>
    <w:p>
      <w:pPr>
        <w:pStyle w:val="1"/>
        <w:jc w:val="both"/>
      </w:pPr>
      <w:r>
        <w:rPr>
          <w:sz w:val="20"/>
        </w:rPr>
        <w:t xml:space="preserve">point   3,  other  procedures,  verified  and  approved  by  the  competent</w:t>
      </w:r>
    </w:p>
    <w:p>
      <w:pPr>
        <w:pStyle w:val="1"/>
        <w:jc w:val="both"/>
      </w:pPr>
      <w:r>
        <w:rPr>
          <w:sz w:val="20"/>
        </w:rPr>
        <w:t xml:space="preserve">authority,  may  be  used  to  determine  the  SO   and NO  emissions. Such</w:t>
      </w:r>
    </w:p>
    <w:p>
      <w:pPr>
        <w:pStyle w:val="1"/>
        <w:jc w:val="both"/>
      </w:pPr>
      <w:r>
        <w:rPr>
          <w:sz w:val="20"/>
        </w:rPr>
        <w:t xml:space="preserve">                                                 2        x</w:t>
      </w:r>
    </w:p>
    <w:p>
      <w:pPr>
        <w:pStyle w:val="1"/>
        <w:jc w:val="both"/>
      </w:pPr>
      <w:r>
        <w:rPr>
          <w:sz w:val="20"/>
        </w:rPr>
        <w:t xml:space="preserve">procedures  shall  use  relevant CEN standards or, if CEN standards are not</w:t>
      </w:r>
    </w:p>
    <w:p>
      <w:pPr>
        <w:pStyle w:val="1"/>
        <w:jc w:val="both"/>
      </w:pPr>
      <w:r>
        <w:rPr>
          <w:sz w:val="20"/>
        </w:rPr>
        <w:t xml:space="preserve">available,  ISO, national or other international standards which ensure the</w:t>
      </w:r>
    </w:p>
    <w:p>
      <w:pPr>
        <w:pStyle w:val="1"/>
        <w:jc w:val="both"/>
      </w:pPr>
      <w:r>
        <w:rPr>
          <w:sz w:val="20"/>
        </w:rPr>
        <w:t xml:space="preserve">provision of data of an equivalent scientific quality.</w:t>
      </w:r>
    </w:p>
    <w:p>
      <w:pPr>
        <w:pStyle w:val="0"/>
        <w:ind w:firstLine="540"/>
        <w:jc w:val="both"/>
      </w:pPr>
      <w:r>
        <w:rPr>
          <w:sz w:val="20"/>
        </w:rPr>
        <w:t xml:space="preserve">6. The competent authority shall be informed of significant changes in the type of fuel used or in the mode of operation of the plant. The competent authority shall decide whether the monitoring requirements laid down in points 1 to 4 are still adequate or require adaptation.</w:t>
      </w:r>
    </w:p>
    <w:p>
      <w:pPr>
        <w:pStyle w:val="0"/>
        <w:spacing w:before="200" w:line-rule="auto"/>
        <w:ind w:firstLine="540"/>
        <w:jc w:val="both"/>
      </w:pPr>
      <w:r>
        <w:rPr>
          <w:sz w:val="20"/>
        </w:rPr>
        <w:t xml:space="preserve">7. The continuous measurements carried out in accordance with point 1 shall include the measurement of the oxygen content, temperature, pressure and water vapour content of the waste gases. The continuous measurement of the water vapour content of the waste gases shall not be necessary, provided that the sampled waste gas is dried before the emissions are analysed.</w:t>
      </w:r>
    </w:p>
    <w:p>
      <w:pPr>
        <w:pStyle w:val="0"/>
        <w:spacing w:before="200" w:line-rule="auto"/>
        <w:ind w:firstLine="540"/>
        <w:jc w:val="both"/>
      </w:pPr>
      <w:r>
        <w:rPr>
          <w:sz w:val="20"/>
        </w:rPr>
        <w:t xml:space="preserve">8. Sampling and analysis of relevant polluting substances and measurements of process parameters as well as the quality assurance of automated measuring systems and the reference measurement methods to calibrate those systems shall be carried out in accordance with CEN standards. If CEN standards are not available, ISO, national or other international standards which ensure the provision of data of an equivalent scientific quality shall apply.</w:t>
      </w:r>
    </w:p>
    <w:p>
      <w:pPr>
        <w:pStyle w:val="0"/>
        <w:spacing w:before="200" w:line-rule="auto"/>
        <w:ind w:firstLine="540"/>
        <w:jc w:val="both"/>
      </w:pPr>
      <w:r>
        <w:rPr>
          <w:sz w:val="20"/>
        </w:rPr>
        <w:t xml:space="preserve">The automated measuring systems shall be subject to control by means of parallel measurements with the reference methods at least once per year.</w:t>
      </w:r>
    </w:p>
    <w:p>
      <w:pPr>
        <w:pStyle w:val="0"/>
        <w:spacing w:before="200" w:line-rule="auto"/>
        <w:ind w:firstLine="540"/>
        <w:jc w:val="both"/>
      </w:pPr>
      <w:r>
        <w:rPr>
          <w:sz w:val="20"/>
        </w:rPr>
        <w:t xml:space="preserve">The operator shall inform the competent authority about the results of the checking of the automated measuring systems.</w:t>
      </w:r>
    </w:p>
    <w:p>
      <w:pPr>
        <w:pStyle w:val="0"/>
        <w:spacing w:before="200" w:line-rule="auto"/>
        <w:ind w:firstLine="540"/>
        <w:jc w:val="both"/>
      </w:pPr>
      <w:r>
        <w:rPr>
          <w:sz w:val="20"/>
        </w:rPr>
        <w:t xml:space="preserve">9. At the emission limit value level, the values of the 95% confidence intervals of a single measured result shall not exceed the following percentages of the emission limit values:</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6903"/>
        <w:gridCol w:w="1755"/>
      </w:tblGrid>
      <w:tr>
        <w:trPr>
          <w:trHeight w:val="240" w:hRule="atLeast"/>
        </w:trPr>
        <w:tc>
          <w:tcPr>
            <w:tcW w:w="7020" w:type="dxa"/>
          </w:tcPr>
          <w:p>
            <w:pPr>
              <w:pStyle w:val="1"/>
              <w:jc w:val="both"/>
            </w:pPr>
            <w:r>
              <w:rPr>
                <w:sz w:val="20"/>
              </w:rPr>
              <w:t xml:space="preserve">Carbon monoxide                                           </w:t>
            </w:r>
          </w:p>
        </w:tc>
        <w:tc>
          <w:tcPr>
            <w:tcW w:w="1872" w:type="dxa"/>
          </w:tcPr>
          <w:p>
            <w:pPr>
              <w:pStyle w:val="1"/>
              <w:jc w:val="both"/>
            </w:pPr>
            <w:r>
              <w:rPr>
                <w:sz w:val="20"/>
              </w:rPr>
              <w:t xml:space="preserve">10%           </w:t>
            </w:r>
          </w:p>
        </w:tc>
      </w:tr>
      <w:tr>
        <w:trPr>
          <w:trHeight w:val="240" w:hRule="atLeast"/>
        </w:trPr>
        <w:tc>
          <w:tcPr>
            <w:tcW w:w="7020" w:type="dxa"/>
            <w:tcBorders>
              <w:top w:val="nil"/>
            </w:tcBorders>
          </w:tcPr>
          <w:p>
            <w:pPr>
              <w:pStyle w:val="1"/>
              <w:jc w:val="both"/>
            </w:pPr>
            <w:r>
              <w:rPr>
                <w:sz w:val="20"/>
              </w:rPr>
              <w:t xml:space="preserve">Sulphur dioxide                                           </w:t>
            </w:r>
          </w:p>
        </w:tc>
        <w:tc>
          <w:tcPr>
            <w:tcW w:w="1872" w:type="dxa"/>
            <w:tcBorders>
              <w:top w:val="nil"/>
            </w:tcBorders>
          </w:tcPr>
          <w:p>
            <w:pPr>
              <w:pStyle w:val="1"/>
              <w:jc w:val="both"/>
            </w:pPr>
            <w:r>
              <w:rPr>
                <w:sz w:val="20"/>
              </w:rPr>
              <w:t xml:space="preserve">20%           </w:t>
            </w:r>
          </w:p>
        </w:tc>
      </w:tr>
      <w:tr>
        <w:trPr>
          <w:trHeight w:val="240" w:hRule="atLeast"/>
        </w:trPr>
        <w:tc>
          <w:tcPr>
            <w:tcW w:w="7020" w:type="dxa"/>
            <w:tcBorders>
              <w:top w:val="nil"/>
            </w:tcBorders>
          </w:tcPr>
          <w:p>
            <w:pPr>
              <w:pStyle w:val="1"/>
              <w:jc w:val="both"/>
            </w:pPr>
            <w:r>
              <w:rPr>
                <w:sz w:val="20"/>
              </w:rPr>
              <w:t xml:space="preserve">Nitrogen oxides                                           </w:t>
            </w:r>
          </w:p>
        </w:tc>
        <w:tc>
          <w:tcPr>
            <w:tcW w:w="1872" w:type="dxa"/>
            <w:tcBorders>
              <w:top w:val="nil"/>
            </w:tcBorders>
          </w:tcPr>
          <w:p>
            <w:pPr>
              <w:pStyle w:val="1"/>
              <w:jc w:val="both"/>
            </w:pPr>
            <w:r>
              <w:rPr>
                <w:sz w:val="20"/>
              </w:rPr>
              <w:t xml:space="preserve">20%           </w:t>
            </w:r>
          </w:p>
        </w:tc>
      </w:tr>
      <w:tr>
        <w:trPr>
          <w:trHeight w:val="240" w:hRule="atLeast"/>
        </w:trPr>
        <w:tc>
          <w:tcPr>
            <w:tcW w:w="7020" w:type="dxa"/>
            <w:tcBorders>
              <w:top w:val="nil"/>
            </w:tcBorders>
          </w:tcPr>
          <w:p>
            <w:pPr>
              <w:pStyle w:val="1"/>
              <w:jc w:val="both"/>
            </w:pPr>
            <w:r>
              <w:rPr>
                <w:sz w:val="20"/>
              </w:rPr>
              <w:t xml:space="preserve">Dust                                                      </w:t>
            </w:r>
          </w:p>
        </w:tc>
        <w:tc>
          <w:tcPr>
            <w:tcW w:w="1872" w:type="dxa"/>
            <w:tcBorders>
              <w:top w:val="nil"/>
            </w:tcBorders>
          </w:tcPr>
          <w:p>
            <w:pPr>
              <w:pStyle w:val="1"/>
              <w:jc w:val="both"/>
            </w:pPr>
            <w:r>
              <w:rPr>
                <w:sz w:val="20"/>
              </w:rPr>
              <w:t xml:space="preserve">30%           </w:t>
            </w:r>
          </w:p>
        </w:tc>
      </w:tr>
    </w:tbl>
    <w:p>
      <w:pPr>
        <w:pStyle w:val="0"/>
        <w:ind w:firstLine="540"/>
        <w:jc w:val="both"/>
      </w:pPr>
      <w:r>
        <w:rPr>
          <w:sz w:val="20"/>
        </w:rPr>
      </w:r>
    </w:p>
    <w:p>
      <w:pPr>
        <w:pStyle w:val="0"/>
        <w:ind w:firstLine="540"/>
        <w:jc w:val="both"/>
      </w:pPr>
      <w:r>
        <w:rPr>
          <w:sz w:val="20"/>
        </w:rPr>
        <w:t xml:space="preserve">10. The validated hourly and daily average values shall be determined from the measured valid hourly average values after having subtracted the value of the confidence interval specified in point 9.</w:t>
      </w:r>
    </w:p>
    <w:p>
      <w:pPr>
        <w:pStyle w:val="0"/>
        <w:spacing w:before="200" w:line-rule="auto"/>
        <w:ind w:firstLine="540"/>
        <w:jc w:val="both"/>
      </w:pPr>
      <w:r>
        <w:rPr>
          <w:sz w:val="20"/>
        </w:rPr>
        <w:t xml:space="preserve">Any day in which more than three hourly average values are invalid due to malfunction or maintenance of the automated measuring system shall be invalidated. If more than 10 days over a year are invalidated for such situations the competent authority shall require the operator to take adequate measures to improve the reliability of the automated measuring system.</w:t>
      </w:r>
    </w:p>
    <w:p>
      <w:pPr>
        <w:pStyle w:val="0"/>
        <w:spacing w:before="200" w:line-rule="auto"/>
        <w:ind w:firstLine="540"/>
        <w:jc w:val="both"/>
      </w:pPr>
      <w:r>
        <w:rPr>
          <w:sz w:val="20"/>
        </w:rPr>
        <w:t xml:space="preserve">11. In the case of plants which must comply with the rates of desulphurisation referred to in Article 31, the sulphur content of the fuel which is fired in the combustion plant shall also be regularly monitored. The competent authorities shall be informed of substantial changes in the type of fuel used.</w:t>
      </w:r>
    </w:p>
    <w:p>
      <w:pPr>
        <w:pStyle w:val="0"/>
        <w:jc w:val="center"/>
      </w:pPr>
      <w:r>
        <w:rPr>
          <w:sz w:val="20"/>
        </w:rPr>
      </w:r>
    </w:p>
    <w:p>
      <w:pPr>
        <w:pStyle w:val="0"/>
        <w:outlineLvl w:val="1"/>
        <w:jc w:val="center"/>
      </w:pPr>
      <w:r>
        <w:rPr>
          <w:sz w:val="20"/>
        </w:rPr>
        <w:t xml:space="preserve">Part 4</w:t>
      </w:r>
    </w:p>
    <w:p>
      <w:pPr>
        <w:pStyle w:val="0"/>
        <w:jc w:val="center"/>
      </w:pPr>
      <w:r>
        <w:rPr>
          <w:sz w:val="20"/>
        </w:rPr>
      </w:r>
    </w:p>
    <w:p>
      <w:pPr>
        <w:pStyle w:val="0"/>
        <w:jc w:val="center"/>
      </w:pPr>
      <w:r>
        <w:rPr>
          <w:sz w:val="20"/>
        </w:rPr>
        <w:t xml:space="preserve">Assessment of compliance with emission limit values</w:t>
      </w:r>
    </w:p>
    <w:p>
      <w:pPr>
        <w:pStyle w:val="0"/>
        <w:jc w:val="center"/>
      </w:pPr>
      <w:r>
        <w:rPr>
          <w:sz w:val="20"/>
        </w:rPr>
      </w:r>
    </w:p>
    <w:p>
      <w:pPr>
        <w:pStyle w:val="0"/>
        <w:ind w:firstLine="540"/>
        <w:jc w:val="both"/>
      </w:pPr>
      <w:r>
        <w:rPr>
          <w:sz w:val="20"/>
        </w:rPr>
        <w:t xml:space="preserve">1. In the case of continuous measurements, the emission limit values set out in Parts 1 and 2 shall be regarded as having been complied with if the evaluation of the measurement results indicates, for operating hours within a calendar year, that all of the following conditions have been met:</w:t>
      </w:r>
    </w:p>
    <w:p>
      <w:pPr>
        <w:pStyle w:val="0"/>
        <w:spacing w:before="200" w:line-rule="auto"/>
        <w:ind w:firstLine="540"/>
        <w:jc w:val="both"/>
      </w:pPr>
      <w:r>
        <w:rPr>
          <w:sz w:val="20"/>
        </w:rPr>
        <w:t xml:space="preserve">(a) no validated monthly average value exceeds the relevant emission limit values set out in Parts 1 and 2;</w:t>
      </w:r>
    </w:p>
    <w:p>
      <w:pPr>
        <w:pStyle w:val="0"/>
        <w:spacing w:before="200" w:line-rule="auto"/>
        <w:ind w:firstLine="540"/>
        <w:jc w:val="both"/>
      </w:pPr>
      <w:r>
        <w:rPr>
          <w:sz w:val="20"/>
        </w:rPr>
        <w:t xml:space="preserve">(b) no validated daily average value exceeds 110% of the relevant emission limit values set out in Parts 1 and 2;</w:t>
      </w:r>
    </w:p>
    <w:p>
      <w:pPr>
        <w:pStyle w:val="0"/>
        <w:spacing w:before="200" w:line-rule="auto"/>
        <w:ind w:firstLine="540"/>
        <w:jc w:val="both"/>
      </w:pPr>
      <w:r>
        <w:rPr>
          <w:sz w:val="20"/>
        </w:rPr>
        <w:t xml:space="preserve">(c) in cases of combustion plants composed only of boilers using coal with a total rated thermal input below 50 MW, no validated daily average value exceeds 150% of the relevant emission limit values set out in Parts 1 and 2,</w:t>
      </w:r>
    </w:p>
    <w:p>
      <w:pPr>
        <w:pStyle w:val="0"/>
        <w:spacing w:before="200" w:line-rule="auto"/>
        <w:ind w:firstLine="540"/>
        <w:jc w:val="both"/>
      </w:pPr>
      <w:r>
        <w:rPr>
          <w:sz w:val="20"/>
        </w:rPr>
        <w:t xml:space="preserve">(d) 95% of all the validated hourly average values over the year do not exceed 200% of the relevant emission limit values set out in Parts 1 and 2.</w:t>
      </w:r>
    </w:p>
    <w:p>
      <w:pPr>
        <w:pStyle w:val="0"/>
        <w:spacing w:before="200" w:line-rule="auto"/>
        <w:ind w:firstLine="540"/>
        <w:jc w:val="both"/>
      </w:pPr>
      <w:r>
        <w:rPr>
          <w:sz w:val="20"/>
        </w:rPr>
        <w:t xml:space="preserve">The validated average values are determined as set out in point 10 of Part 3.</w:t>
      </w:r>
    </w:p>
    <w:p>
      <w:pPr>
        <w:pStyle w:val="0"/>
        <w:spacing w:before="200" w:line-rule="auto"/>
        <w:ind w:firstLine="540"/>
        <w:jc w:val="both"/>
      </w:pPr>
      <w:r>
        <w:rPr>
          <w:sz w:val="20"/>
        </w:rPr>
        <w:t xml:space="preserve">For the purpose of the calculation of the average emission values, the values measured during the periods referred to in Article 30 (5) and (6) and Article 37 as well as during the start-up and shut-down periods shall be disregarded.</w:t>
      </w:r>
    </w:p>
    <w:p>
      <w:pPr>
        <w:pStyle w:val="0"/>
        <w:spacing w:before="200" w:line-rule="auto"/>
        <w:ind w:firstLine="540"/>
        <w:jc w:val="both"/>
      </w:pPr>
      <w:r>
        <w:rPr>
          <w:sz w:val="20"/>
        </w:rPr>
        <w:t xml:space="preserve">2. Where continuous measurements are not required, the emission limit values set out in Parts 1 and 2 shall be regarded as having been complied with if the results of each of the series of measurements or of the other procedures defined and determined according to the rules laid down by the competent authorities do not exceed the emission limit values.</w:t>
      </w:r>
    </w:p>
    <w:p>
      <w:pPr>
        <w:pStyle w:val="0"/>
        <w:jc w:val="center"/>
      </w:pPr>
      <w:r>
        <w:rPr>
          <w:sz w:val="20"/>
        </w:rPr>
      </w:r>
    </w:p>
    <w:p>
      <w:pPr>
        <w:pStyle w:val="0"/>
        <w:outlineLvl w:val="1"/>
        <w:jc w:val="center"/>
      </w:pPr>
      <w:r>
        <w:rPr>
          <w:sz w:val="20"/>
        </w:rPr>
        <w:t xml:space="preserve">Part 5</w:t>
      </w:r>
    </w:p>
    <w:p>
      <w:pPr>
        <w:pStyle w:val="0"/>
        <w:jc w:val="center"/>
      </w:pPr>
      <w:r>
        <w:rPr>
          <w:sz w:val="20"/>
        </w:rPr>
      </w:r>
    </w:p>
    <w:p>
      <w:pPr>
        <w:pStyle w:val="0"/>
        <w:jc w:val="center"/>
      </w:pPr>
      <w:r>
        <w:rPr>
          <w:sz w:val="20"/>
        </w:rPr>
        <w:t xml:space="preserve">Minimum rate of desulphurisation</w:t>
      </w:r>
    </w:p>
    <w:p>
      <w:pPr>
        <w:pStyle w:val="0"/>
        <w:jc w:val="center"/>
      </w:pPr>
      <w:r>
        <w:rPr>
          <w:sz w:val="20"/>
        </w:rPr>
      </w:r>
    </w:p>
    <w:p>
      <w:pPr>
        <w:pStyle w:val="0"/>
        <w:ind w:firstLine="540"/>
        <w:jc w:val="both"/>
      </w:pPr>
      <w:r>
        <w:rPr>
          <w:sz w:val="20"/>
        </w:rPr>
        <w:t xml:space="preserve">1. Minimum rate of desulphurisation for combustion plants referred to in Article 30 (2)</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1989"/>
        <w:gridCol w:w="4797"/>
        <w:gridCol w:w="1872"/>
      </w:tblGrid>
      <w:tr>
        <w:trPr>
          <w:trHeight w:val="240" w:hRule="atLeast"/>
        </w:trPr>
        <w:tc>
          <w:tcPr>
            <w:tcW w:w="2106" w:type="dxa"/>
            <w:vMerge w:val="restart"/>
          </w:tcPr>
          <w:p>
            <w:pPr>
              <w:pStyle w:val="1"/>
              <w:jc w:val="both"/>
            </w:pPr>
            <w:r>
              <w:rPr>
                <w:sz w:val="20"/>
              </w:rPr>
              <w:t xml:space="preserve">  Total rated   </w:t>
            </w:r>
          </w:p>
          <w:p>
            <w:pPr>
              <w:pStyle w:val="1"/>
              <w:jc w:val="both"/>
            </w:pPr>
            <w:r>
              <w:rPr>
                <w:sz w:val="20"/>
              </w:rPr>
              <w:t xml:space="preserve"> thermal input  </w:t>
            </w:r>
          </w:p>
          <w:p>
            <w:pPr>
              <w:pStyle w:val="1"/>
              <w:jc w:val="both"/>
            </w:pPr>
            <w:r>
              <w:rPr>
                <w:sz w:val="20"/>
              </w:rPr>
              <w:t xml:space="preserve">      (MW)      </w:t>
            </w:r>
          </w:p>
        </w:tc>
        <w:tc>
          <w:tcPr>
            <w:gridSpan w:val="2"/>
            <w:tcW w:w="6903" w:type="dxa"/>
          </w:tcPr>
          <w:p>
            <w:pPr>
              <w:pStyle w:val="1"/>
              <w:jc w:val="both"/>
            </w:pPr>
            <w:r>
              <w:rPr>
                <w:sz w:val="20"/>
              </w:rPr>
              <w:t xml:space="preserve">         Minimum rate of desulphurisation               </w:t>
            </w:r>
          </w:p>
        </w:tc>
      </w:tr>
      <w:tr>
        <w:tc>
          <w:tcPr>
            <w:tcBorders>
              <w:top w:val="nil"/>
            </w:tcBorders>
            <w:vMerge w:val="continue"/>
          </w:tcPr>
          <w:p/>
        </w:tc>
        <w:tc>
          <w:tcPr>
            <w:tcW w:w="4914" w:type="dxa"/>
            <w:tcBorders>
              <w:top w:val="nil"/>
            </w:tcBorders>
          </w:tcPr>
          <w:p>
            <w:pPr>
              <w:pStyle w:val="1"/>
              <w:jc w:val="both"/>
            </w:pPr>
            <w:r>
              <w:rPr>
                <w:sz w:val="20"/>
              </w:rPr>
              <w:t xml:space="preserve">  Plants which were granted a permit    </w:t>
            </w:r>
          </w:p>
          <w:p>
            <w:pPr>
              <w:pStyle w:val="1"/>
              <w:jc w:val="both"/>
            </w:pPr>
            <w:r>
              <w:rPr>
                <w:sz w:val="20"/>
              </w:rPr>
              <w:t xml:space="preserve">before 27 November 2002 or the operators</w:t>
            </w:r>
          </w:p>
          <w:p>
            <w:pPr>
              <w:pStyle w:val="1"/>
              <w:jc w:val="both"/>
            </w:pPr>
            <w:r>
              <w:rPr>
                <w:sz w:val="20"/>
              </w:rPr>
              <w:t xml:space="preserve">   of which had submitted a  complete   </w:t>
            </w:r>
          </w:p>
          <w:p>
            <w:pPr>
              <w:pStyle w:val="1"/>
              <w:jc w:val="both"/>
            </w:pPr>
            <w:r>
              <w:rPr>
                <w:sz w:val="20"/>
              </w:rPr>
              <w:t xml:space="preserve">    application for a permit before     </w:t>
            </w:r>
          </w:p>
          <w:p>
            <w:pPr>
              <w:pStyle w:val="1"/>
              <w:jc w:val="both"/>
            </w:pPr>
            <w:r>
              <w:rPr>
                <w:sz w:val="20"/>
              </w:rPr>
              <w:t xml:space="preserve">   that date, provided that the plant   </w:t>
            </w:r>
          </w:p>
          <w:p>
            <w:pPr>
              <w:pStyle w:val="1"/>
              <w:jc w:val="both"/>
            </w:pPr>
            <w:r>
              <w:rPr>
                <w:sz w:val="20"/>
              </w:rPr>
              <w:t xml:space="preserve">    was put into operation no later     </w:t>
            </w:r>
          </w:p>
          <w:p>
            <w:pPr>
              <w:pStyle w:val="1"/>
              <w:jc w:val="both"/>
            </w:pPr>
            <w:r>
              <w:rPr>
                <w:sz w:val="20"/>
              </w:rPr>
              <w:t xml:space="preserve">          than 27 November 2003         </w:t>
            </w:r>
          </w:p>
        </w:tc>
        <w:tc>
          <w:tcPr>
            <w:tcW w:w="1989" w:type="dxa"/>
            <w:tcBorders>
              <w:top w:val="nil"/>
            </w:tcBorders>
          </w:tcPr>
          <w:p>
            <w:pPr>
              <w:pStyle w:val="1"/>
              <w:jc w:val="both"/>
            </w:pPr>
            <w:r>
              <w:rPr>
                <w:sz w:val="20"/>
              </w:rPr>
              <w:t xml:space="preserve">  Other plants </w:t>
            </w:r>
          </w:p>
        </w:tc>
      </w:tr>
      <w:tr>
        <w:trPr>
          <w:trHeight w:val="240" w:hRule="atLeast"/>
        </w:trPr>
        <w:tc>
          <w:tcPr>
            <w:tcW w:w="2106" w:type="dxa"/>
            <w:tcBorders>
              <w:top w:val="nil"/>
            </w:tcBorders>
          </w:tcPr>
          <w:p>
            <w:pPr>
              <w:pStyle w:val="1"/>
              <w:jc w:val="both"/>
            </w:pPr>
            <w:r>
              <w:rPr>
                <w:sz w:val="20"/>
              </w:rPr>
              <w:t xml:space="preserve">    50 - 100    </w:t>
            </w:r>
          </w:p>
        </w:tc>
        <w:tc>
          <w:tcPr>
            <w:tcW w:w="4914" w:type="dxa"/>
            <w:tcBorders>
              <w:top w:val="nil"/>
            </w:tcBorders>
          </w:tcPr>
          <w:p>
            <w:pPr>
              <w:pStyle w:val="1"/>
              <w:jc w:val="both"/>
            </w:pPr>
            <w:r>
              <w:rPr>
                <w:sz w:val="20"/>
              </w:rPr>
              <w:t xml:space="preserve">80%                                     </w:t>
            </w:r>
          </w:p>
        </w:tc>
        <w:tc>
          <w:tcPr>
            <w:tcW w:w="1989" w:type="dxa"/>
            <w:tcBorders>
              <w:top w:val="nil"/>
            </w:tcBorders>
          </w:tcPr>
          <w:p>
            <w:pPr>
              <w:pStyle w:val="1"/>
              <w:jc w:val="both"/>
            </w:pPr>
            <w:r>
              <w:rPr>
                <w:sz w:val="20"/>
              </w:rPr>
              <w:t xml:space="preserve">92%            </w:t>
            </w:r>
          </w:p>
        </w:tc>
      </w:tr>
      <w:tr>
        <w:trPr>
          <w:trHeight w:val="240" w:hRule="atLeast"/>
        </w:trPr>
        <w:tc>
          <w:tcPr>
            <w:tcW w:w="2106" w:type="dxa"/>
            <w:tcBorders>
              <w:top w:val="nil"/>
            </w:tcBorders>
          </w:tcPr>
          <w:p>
            <w:pPr>
              <w:pStyle w:val="1"/>
              <w:jc w:val="both"/>
            </w:pPr>
            <w:r>
              <w:rPr>
                <w:sz w:val="20"/>
              </w:rPr>
              <w:t xml:space="preserve">   100 - 300    </w:t>
            </w:r>
          </w:p>
        </w:tc>
        <w:tc>
          <w:tcPr>
            <w:tcW w:w="4914" w:type="dxa"/>
            <w:tcBorders>
              <w:top w:val="nil"/>
            </w:tcBorders>
          </w:tcPr>
          <w:p>
            <w:pPr>
              <w:pStyle w:val="1"/>
              <w:jc w:val="both"/>
            </w:pPr>
            <w:r>
              <w:rPr>
                <w:sz w:val="20"/>
              </w:rPr>
              <w:t xml:space="preserve">90%                                     </w:t>
            </w:r>
          </w:p>
        </w:tc>
        <w:tc>
          <w:tcPr>
            <w:tcW w:w="1989" w:type="dxa"/>
            <w:tcBorders>
              <w:top w:val="nil"/>
            </w:tcBorders>
          </w:tcPr>
          <w:p>
            <w:pPr>
              <w:pStyle w:val="1"/>
              <w:jc w:val="both"/>
            </w:pPr>
            <w:r>
              <w:rPr>
                <w:sz w:val="20"/>
              </w:rPr>
              <w:t xml:space="preserve">92%            </w:t>
            </w:r>
          </w:p>
        </w:tc>
      </w:tr>
      <w:tr>
        <w:trPr>
          <w:trHeight w:val="240" w:hRule="atLeast"/>
        </w:trPr>
        <w:tc>
          <w:tcPr>
            <w:tcW w:w="2106" w:type="dxa"/>
            <w:tcBorders>
              <w:top w:val="nil"/>
            </w:tcBorders>
          </w:tcPr>
          <w:p>
            <w:pPr>
              <w:pStyle w:val="1"/>
              <w:jc w:val="both"/>
            </w:pPr>
            <w:r>
              <w:rPr>
                <w:sz w:val="20"/>
              </w:rPr>
              <w:t xml:space="preserve">       &gt; 300    </w:t>
            </w:r>
          </w:p>
        </w:tc>
        <w:tc>
          <w:tcPr>
            <w:tcW w:w="4914" w:type="dxa"/>
            <w:tcBorders>
              <w:top w:val="nil"/>
            </w:tcBorders>
          </w:tcPr>
          <w:p>
            <w:pPr>
              <w:pStyle w:val="1"/>
              <w:jc w:val="both"/>
            </w:pPr>
            <w:r>
              <w:rPr>
                <w:sz w:val="20"/>
              </w:rPr>
              <w:t xml:space="preserve">96% &lt;*&gt;                                 </w:t>
            </w:r>
          </w:p>
        </w:tc>
        <w:tc>
          <w:tcPr>
            <w:tcW w:w="1989" w:type="dxa"/>
            <w:tcBorders>
              <w:top w:val="nil"/>
            </w:tcBorders>
          </w:tcPr>
          <w:p>
            <w:pPr>
              <w:pStyle w:val="1"/>
              <w:jc w:val="both"/>
            </w:pPr>
            <w:r>
              <w:rPr>
                <w:sz w:val="20"/>
              </w:rPr>
              <w:t xml:space="preserve">96%            </w:t>
            </w:r>
          </w:p>
        </w:tc>
      </w:tr>
      <w:tr>
        <w:trPr>
          <w:trHeight w:val="240" w:hRule="atLeast"/>
        </w:trPr>
        <w:tc>
          <w:tcPr>
            <w:gridSpan w:val="3"/>
            <w:tcW w:w="9009" w:type="dxa"/>
            <w:tcBorders>
              <w:top w:val="nil"/>
            </w:tcBorders>
          </w:tcPr>
          <w:p>
            <w:pPr>
              <w:pStyle w:val="1"/>
              <w:jc w:val="both"/>
            </w:pPr>
            <w:r>
              <w:rPr>
                <w:sz w:val="20"/>
              </w:rPr>
              <w:t xml:space="preserve">Note:                                                                    </w:t>
            </w:r>
          </w:p>
          <w:p>
            <w:pPr>
              <w:pStyle w:val="1"/>
              <w:jc w:val="both"/>
            </w:pPr>
            <w:r>
              <w:rPr>
                <w:sz w:val="20"/>
              </w:rPr>
              <w:t xml:space="preserve">&lt;*&gt; For combustion plants firing oil shale, the minimum rate of          </w:t>
            </w:r>
          </w:p>
          <w:p>
            <w:pPr>
              <w:pStyle w:val="1"/>
              <w:jc w:val="both"/>
            </w:pPr>
            <w:r>
              <w:rPr>
                <w:sz w:val="20"/>
              </w:rPr>
              <w:t xml:space="preserve">desulphurisation is 95%.                                                 </w:t>
            </w:r>
          </w:p>
        </w:tc>
      </w:tr>
    </w:tbl>
    <w:p>
      <w:pPr>
        <w:pStyle w:val="0"/>
        <w:ind w:firstLine="540"/>
        <w:jc w:val="both"/>
      </w:pPr>
      <w:r>
        <w:rPr>
          <w:sz w:val="20"/>
        </w:rPr>
      </w:r>
    </w:p>
    <w:p>
      <w:pPr>
        <w:pStyle w:val="0"/>
        <w:ind w:firstLine="540"/>
        <w:jc w:val="both"/>
      </w:pPr>
      <w:r>
        <w:rPr>
          <w:sz w:val="20"/>
        </w:rPr>
        <w:t xml:space="preserve">2. Minimum rate of desulphurisation for combustion plants referred to in Article 30 (3)</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4212"/>
        <w:gridCol w:w="4446"/>
      </w:tblGrid>
      <w:tr>
        <w:trPr>
          <w:trHeight w:val="240" w:hRule="atLeast"/>
        </w:trPr>
        <w:tc>
          <w:tcPr>
            <w:tcW w:w="4329" w:type="dxa"/>
          </w:tcPr>
          <w:p>
            <w:pPr>
              <w:pStyle w:val="1"/>
              <w:jc w:val="both"/>
            </w:pPr>
            <w:r>
              <w:rPr>
                <w:sz w:val="20"/>
              </w:rPr>
              <w:t xml:space="preserve">   Total rated thermal input (MW)  </w:t>
            </w:r>
          </w:p>
        </w:tc>
        <w:tc>
          <w:tcPr>
            <w:tcW w:w="4563" w:type="dxa"/>
          </w:tcPr>
          <w:p>
            <w:pPr>
              <w:pStyle w:val="1"/>
              <w:jc w:val="both"/>
            </w:pPr>
            <w:r>
              <w:rPr>
                <w:sz w:val="20"/>
              </w:rPr>
              <w:t xml:space="preserve">  Minimum rate of desulphurisation   </w:t>
            </w:r>
          </w:p>
        </w:tc>
      </w:tr>
      <w:tr>
        <w:trPr>
          <w:trHeight w:val="240" w:hRule="atLeast"/>
        </w:trPr>
        <w:tc>
          <w:tcPr>
            <w:tcW w:w="4329" w:type="dxa"/>
            <w:tcBorders>
              <w:top w:val="nil"/>
            </w:tcBorders>
          </w:tcPr>
          <w:p>
            <w:pPr>
              <w:pStyle w:val="1"/>
              <w:jc w:val="both"/>
            </w:pPr>
            <w:r>
              <w:rPr>
                <w:sz w:val="20"/>
              </w:rPr>
              <w:t xml:space="preserve">             50 - 100              </w:t>
            </w:r>
          </w:p>
        </w:tc>
        <w:tc>
          <w:tcPr>
            <w:tcW w:w="4563" w:type="dxa"/>
            <w:tcBorders>
              <w:top w:val="nil"/>
            </w:tcBorders>
          </w:tcPr>
          <w:p>
            <w:pPr>
              <w:pStyle w:val="1"/>
              <w:jc w:val="both"/>
            </w:pPr>
            <w:r>
              <w:rPr>
                <w:sz w:val="20"/>
              </w:rPr>
              <w:t xml:space="preserve">93%                                  </w:t>
            </w:r>
          </w:p>
        </w:tc>
      </w:tr>
      <w:tr>
        <w:trPr>
          <w:trHeight w:val="240" w:hRule="atLeast"/>
        </w:trPr>
        <w:tc>
          <w:tcPr>
            <w:tcW w:w="4329" w:type="dxa"/>
            <w:tcBorders>
              <w:top w:val="nil"/>
            </w:tcBorders>
          </w:tcPr>
          <w:p>
            <w:pPr>
              <w:pStyle w:val="1"/>
              <w:jc w:val="both"/>
            </w:pPr>
            <w:r>
              <w:rPr>
                <w:sz w:val="20"/>
              </w:rPr>
              <w:t xml:space="preserve">            100 - 300              </w:t>
            </w:r>
          </w:p>
        </w:tc>
        <w:tc>
          <w:tcPr>
            <w:tcW w:w="4563" w:type="dxa"/>
            <w:tcBorders>
              <w:top w:val="nil"/>
            </w:tcBorders>
          </w:tcPr>
          <w:p>
            <w:pPr>
              <w:pStyle w:val="1"/>
              <w:jc w:val="both"/>
            </w:pPr>
            <w:r>
              <w:rPr>
                <w:sz w:val="20"/>
              </w:rPr>
              <w:t xml:space="preserve">93%                                  </w:t>
            </w:r>
          </w:p>
        </w:tc>
      </w:tr>
      <w:tr>
        <w:trPr>
          <w:trHeight w:val="240" w:hRule="atLeast"/>
        </w:trPr>
        <w:tc>
          <w:tcPr>
            <w:tcW w:w="4329" w:type="dxa"/>
            <w:tcBorders>
              <w:top w:val="nil"/>
            </w:tcBorders>
          </w:tcPr>
          <w:p>
            <w:pPr>
              <w:pStyle w:val="1"/>
              <w:jc w:val="both"/>
            </w:pPr>
            <w:r>
              <w:rPr>
                <w:sz w:val="20"/>
              </w:rPr>
              <w:t xml:space="preserve">                &gt; 300              </w:t>
            </w:r>
          </w:p>
        </w:tc>
        <w:tc>
          <w:tcPr>
            <w:tcW w:w="4563" w:type="dxa"/>
            <w:tcBorders>
              <w:top w:val="nil"/>
            </w:tcBorders>
          </w:tcPr>
          <w:p>
            <w:pPr>
              <w:pStyle w:val="1"/>
              <w:jc w:val="both"/>
            </w:pPr>
            <w:r>
              <w:rPr>
                <w:sz w:val="20"/>
              </w:rPr>
              <w:t xml:space="preserve">97%                                  </w:t>
            </w:r>
          </w:p>
        </w:tc>
      </w:tr>
    </w:tbl>
    <w:p>
      <w:pPr>
        <w:pStyle w:val="0"/>
        <w:ind w:firstLine="540"/>
        <w:jc w:val="both"/>
      </w:pPr>
      <w:r>
        <w:rPr>
          <w:sz w:val="20"/>
        </w:rPr>
      </w:r>
    </w:p>
    <w:p>
      <w:pPr>
        <w:pStyle w:val="0"/>
        <w:outlineLvl w:val="1"/>
        <w:jc w:val="center"/>
      </w:pPr>
      <w:r>
        <w:rPr>
          <w:sz w:val="20"/>
        </w:rPr>
        <w:t xml:space="preserve">Part 6</w:t>
      </w:r>
    </w:p>
    <w:p>
      <w:pPr>
        <w:pStyle w:val="0"/>
        <w:jc w:val="center"/>
      </w:pPr>
      <w:r>
        <w:rPr>
          <w:sz w:val="20"/>
        </w:rPr>
      </w:r>
    </w:p>
    <w:p>
      <w:pPr>
        <w:pStyle w:val="0"/>
        <w:jc w:val="center"/>
      </w:pPr>
      <w:r>
        <w:rPr>
          <w:sz w:val="20"/>
        </w:rPr>
        <w:t xml:space="preserve">Compliance with rate of desulphurisation</w:t>
      </w:r>
    </w:p>
    <w:p>
      <w:pPr>
        <w:pStyle w:val="0"/>
        <w:ind w:firstLine="540"/>
        <w:jc w:val="both"/>
      </w:pPr>
      <w:r>
        <w:rPr>
          <w:sz w:val="20"/>
        </w:rPr>
      </w:r>
    </w:p>
    <w:p>
      <w:pPr>
        <w:pStyle w:val="0"/>
        <w:ind w:firstLine="540"/>
        <w:jc w:val="both"/>
      </w:pPr>
      <w:r>
        <w:rPr>
          <w:sz w:val="20"/>
        </w:rPr>
        <w:t xml:space="preserve">The minimum rates of desulphurisation set out in Part 5 of this Annex shall apply as a monthly average limit value.</w:t>
      </w:r>
    </w:p>
    <w:p>
      <w:pPr>
        <w:pStyle w:val="0"/>
        <w:jc w:val="center"/>
      </w:pPr>
      <w:r>
        <w:rPr>
          <w:sz w:val="20"/>
        </w:rPr>
      </w:r>
    </w:p>
    <w:p>
      <w:pPr>
        <w:pStyle w:val="0"/>
        <w:outlineLvl w:val="1"/>
        <w:jc w:val="center"/>
      </w:pPr>
      <w:r>
        <w:rPr>
          <w:sz w:val="20"/>
        </w:rPr>
        <w:t xml:space="preserve">Part 7</w:t>
      </w:r>
    </w:p>
    <w:p>
      <w:pPr>
        <w:pStyle w:val="0"/>
        <w:jc w:val="center"/>
      </w:pPr>
      <w:r>
        <w:rPr>
          <w:sz w:val="20"/>
        </w:rPr>
      </w:r>
    </w:p>
    <w:p>
      <w:pPr>
        <w:pStyle w:val="0"/>
        <w:jc w:val="center"/>
      </w:pPr>
      <w:r>
        <w:rPr>
          <w:sz w:val="20"/>
        </w:rPr>
        <w:t xml:space="preserve">Average emission limit values for multi-fuel firing</w:t>
      </w:r>
    </w:p>
    <w:p>
      <w:pPr>
        <w:pStyle w:val="0"/>
        <w:jc w:val="center"/>
      </w:pPr>
      <w:r>
        <w:rPr>
          <w:sz w:val="20"/>
        </w:rPr>
        <w:t xml:space="preserve">combustion plants within a refinery</w:t>
      </w:r>
    </w:p>
    <w:p>
      <w:pPr>
        <w:pStyle w:val="0"/>
        <w:jc w:val="center"/>
      </w:pPr>
      <w:r>
        <w:rPr>
          <w:sz w:val="20"/>
        </w:rPr>
      </w:r>
    </w:p>
    <w:p>
      <w:pPr>
        <w:pStyle w:val="1"/>
        <w:jc w:val="both"/>
      </w:pPr>
      <w:r>
        <w:rPr>
          <w:sz w:val="20"/>
        </w:rPr>
        <w:t xml:space="preserve">                                           3</w:t>
      </w:r>
    </w:p>
    <w:p>
      <w:pPr>
        <w:pStyle w:val="1"/>
        <w:jc w:val="both"/>
      </w:pPr>
      <w:r>
        <w:rPr>
          <w:sz w:val="20"/>
        </w:rPr>
        <w:t xml:space="preserve">    Average  emission  limit  values (mg/Nm ) for SO  for multi-fuel firing</w:t>
      </w:r>
    </w:p>
    <w:p>
      <w:pPr>
        <w:pStyle w:val="1"/>
        <w:jc w:val="both"/>
      </w:pPr>
      <w:r>
        <w:rPr>
          <w:sz w:val="20"/>
        </w:rPr>
        <w:t xml:space="preserve">                                                    2</w:t>
      </w:r>
    </w:p>
    <w:p>
      <w:pPr>
        <w:pStyle w:val="1"/>
        <w:jc w:val="both"/>
      </w:pPr>
      <w:r>
        <w:rPr>
          <w:sz w:val="20"/>
        </w:rPr>
        <w:t xml:space="preserve">combustion plants within a refinery, with the exception of gas turbines and</w:t>
      </w:r>
    </w:p>
    <w:p>
      <w:pPr>
        <w:pStyle w:val="1"/>
        <w:jc w:val="both"/>
      </w:pPr>
      <w:r>
        <w:rPr>
          <w:sz w:val="20"/>
        </w:rPr>
        <w:t xml:space="preserve">gas  engines,  which  use the distillation and conversion residues from the</w:t>
      </w:r>
    </w:p>
    <w:p>
      <w:pPr>
        <w:pStyle w:val="1"/>
        <w:jc w:val="both"/>
      </w:pPr>
      <w:r>
        <w:rPr>
          <w:sz w:val="20"/>
        </w:rPr>
        <w:t xml:space="preserve">refining of crude-oil for own consumption, alone or with other fuels:</w:t>
      </w:r>
    </w:p>
    <w:p>
      <w:pPr>
        <w:pStyle w:val="1"/>
        <w:jc w:val="both"/>
      </w:pPr>
      <w:r>
        <w:rPr>
          <w:sz w:val="20"/>
        </w:rPr>
        <w:t xml:space="preserve">    (a)  for  combustion  plants  which  were  granted  a  permit before 27</w:t>
      </w:r>
    </w:p>
    <w:p>
      <w:pPr>
        <w:pStyle w:val="1"/>
        <w:jc w:val="both"/>
      </w:pPr>
      <w:r>
        <w:rPr>
          <w:sz w:val="20"/>
        </w:rPr>
        <w:t xml:space="preserve">November   2002  or  the  operators  of  which  had  submitted  a  complete</w:t>
      </w:r>
    </w:p>
    <w:p>
      <w:pPr>
        <w:pStyle w:val="1"/>
        <w:jc w:val="both"/>
      </w:pPr>
      <w:r>
        <w:rPr>
          <w:sz w:val="20"/>
        </w:rPr>
        <w:t xml:space="preserve">application  for a permit before that date, provided that the plant was put</w:t>
      </w:r>
    </w:p>
    <w:p>
      <w:pPr>
        <w:pStyle w:val="1"/>
        <w:jc w:val="both"/>
      </w:pPr>
      <w:r>
        <w:rPr>
          <w:sz w:val="20"/>
        </w:rPr>
        <w:t xml:space="preserve">                                                         3</w:t>
      </w:r>
    </w:p>
    <w:p>
      <w:pPr>
        <w:pStyle w:val="1"/>
        <w:jc w:val="both"/>
      </w:pPr>
      <w:r>
        <w:rPr>
          <w:sz w:val="20"/>
        </w:rPr>
        <w:t xml:space="preserve">into operation no later than 27 November 2003: 1000 mg/Nm ;</w:t>
      </w:r>
    </w:p>
    <w:p>
      <w:pPr>
        <w:pStyle w:val="1"/>
        <w:jc w:val="both"/>
      </w:pPr>
      <w:r>
        <w:rPr>
          <w:sz w:val="20"/>
        </w:rPr>
        <w:t xml:space="preserve">                                              3</w:t>
      </w:r>
    </w:p>
    <w:p>
      <w:pPr>
        <w:pStyle w:val="1"/>
        <w:jc w:val="both"/>
      </w:pPr>
      <w:r>
        <w:rPr>
          <w:sz w:val="20"/>
        </w:rPr>
        <w:t xml:space="preserve">    (b) for other combustion plants: 600 mg/Nm .</w:t>
      </w:r>
    </w:p>
    <w:p>
      <w:pPr>
        <w:pStyle w:val="1"/>
        <w:jc w:val="both"/>
      </w:pPr>
      <w:r>
        <w:rPr>
          <w:sz w:val="20"/>
        </w:rPr>
        <w:t xml:space="preserve">    These  emission  limit  values  shall be calculated at a temperature of</w:t>
      </w:r>
    </w:p>
    <w:p>
      <w:pPr>
        <w:pStyle w:val="1"/>
        <w:jc w:val="both"/>
      </w:pPr>
      <w:r>
        <w:rPr>
          <w:sz w:val="20"/>
        </w:rPr>
        <w:t xml:space="preserve">273,15 K, a pressure of 101,3 kPa and after correction for the water vapour</w:t>
      </w:r>
    </w:p>
    <w:p>
      <w:pPr>
        <w:pStyle w:val="1"/>
        <w:jc w:val="both"/>
      </w:pPr>
      <w:r>
        <w:rPr>
          <w:sz w:val="20"/>
        </w:rPr>
        <w:t xml:space="preserve">content of the waste gases and at a standardised O  content of 6% for solid</w:t>
      </w:r>
    </w:p>
    <w:p>
      <w:pPr>
        <w:pStyle w:val="1"/>
        <w:jc w:val="both"/>
      </w:pPr>
      <w:r>
        <w:rPr>
          <w:sz w:val="20"/>
        </w:rPr>
        <w:t xml:space="preserve">                                                  2</w:t>
      </w:r>
    </w:p>
    <w:p>
      <w:pPr>
        <w:pStyle w:val="1"/>
        <w:jc w:val="both"/>
      </w:pPr>
      <w:r>
        <w:rPr>
          <w:sz w:val="20"/>
        </w:rPr>
        <w:t xml:space="preserve">fuels and 3% for liquid and gaseous fuels.</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Annex VI</w:t>
      </w:r>
    </w:p>
    <w:p>
      <w:pPr>
        <w:pStyle w:val="0"/>
        <w:jc w:val="right"/>
      </w:pPr>
      <w:r>
        <w:rPr>
          <w:sz w:val="20"/>
        </w:rPr>
      </w:r>
    </w:p>
    <w:p>
      <w:pPr>
        <w:pStyle w:val="2"/>
        <w:jc w:val="center"/>
      </w:pPr>
      <w:r>
        <w:rPr>
          <w:sz w:val="20"/>
        </w:rPr>
        <w:t xml:space="preserve">TECHNICAL PROVISIONS RELATING TO WASTE INCINERATION</w:t>
      </w:r>
    </w:p>
    <w:p>
      <w:pPr>
        <w:pStyle w:val="2"/>
        <w:jc w:val="center"/>
      </w:pPr>
      <w:r>
        <w:rPr>
          <w:sz w:val="20"/>
        </w:rPr>
        <w:t xml:space="preserve">PLANTS AND WASTE CO-INCINERATION PLANTS</w:t>
      </w:r>
    </w:p>
    <w:p>
      <w:pPr>
        <w:pStyle w:val="0"/>
        <w:jc w:val="center"/>
      </w:pPr>
      <w:r>
        <w:rPr>
          <w:sz w:val="20"/>
        </w:rPr>
      </w:r>
    </w:p>
    <w:p>
      <w:pPr>
        <w:pStyle w:val="0"/>
        <w:outlineLvl w:val="1"/>
        <w:jc w:val="center"/>
      </w:pPr>
      <w:r>
        <w:rPr>
          <w:sz w:val="20"/>
        </w:rPr>
        <w:t xml:space="preserve">Part 1</w:t>
      </w:r>
    </w:p>
    <w:p>
      <w:pPr>
        <w:pStyle w:val="0"/>
        <w:jc w:val="center"/>
      </w:pPr>
      <w:r>
        <w:rPr>
          <w:sz w:val="20"/>
        </w:rPr>
      </w:r>
    </w:p>
    <w:p>
      <w:pPr>
        <w:pStyle w:val="0"/>
        <w:jc w:val="center"/>
      </w:pPr>
      <w:r>
        <w:rPr>
          <w:sz w:val="20"/>
        </w:rPr>
        <w:t xml:space="preserve">Definitions</w:t>
      </w:r>
    </w:p>
    <w:p>
      <w:pPr>
        <w:pStyle w:val="0"/>
        <w:jc w:val="center"/>
      </w:pPr>
      <w:r>
        <w:rPr>
          <w:sz w:val="20"/>
        </w:rPr>
      </w:r>
    </w:p>
    <w:p>
      <w:pPr>
        <w:pStyle w:val="0"/>
        <w:ind w:firstLine="540"/>
        <w:jc w:val="both"/>
      </w:pPr>
      <w:r>
        <w:rPr>
          <w:sz w:val="20"/>
        </w:rPr>
        <w:t xml:space="preserve">For the purpose of this Annex the following definitions shall apply:</w:t>
      </w:r>
    </w:p>
    <w:p>
      <w:pPr>
        <w:pStyle w:val="0"/>
        <w:spacing w:before="200" w:line-rule="auto"/>
        <w:ind w:firstLine="540"/>
        <w:jc w:val="both"/>
      </w:pPr>
      <w:r>
        <w:rPr>
          <w:sz w:val="20"/>
        </w:rPr>
        <w:t xml:space="preserve">(a) "existing waste incineration plant" means one of the following waste incineration plants:</w:t>
      </w:r>
    </w:p>
    <w:p>
      <w:pPr>
        <w:pStyle w:val="0"/>
        <w:spacing w:before="200" w:line-rule="auto"/>
        <w:ind w:firstLine="540"/>
        <w:jc w:val="both"/>
      </w:pPr>
      <w:r>
        <w:rPr>
          <w:sz w:val="20"/>
        </w:rPr>
        <w:t xml:space="preserve">(i) which was in operation and had a permit in accordance with applicable Union law before 28 December 2002,</w:t>
      </w:r>
    </w:p>
    <w:p>
      <w:pPr>
        <w:pStyle w:val="0"/>
        <w:spacing w:before="200" w:line-rule="auto"/>
        <w:ind w:firstLine="540"/>
        <w:jc w:val="both"/>
      </w:pPr>
      <w:r>
        <w:rPr>
          <w:sz w:val="20"/>
        </w:rPr>
        <w:t xml:space="preserve">(ii) which was authorised or registered for waste incineration and had a permit granted before 28 December 2002 in accordance with applicable Union law, provided that the plant was put into operation no later than 28 December 2003,</w:t>
      </w:r>
    </w:p>
    <w:p>
      <w:pPr>
        <w:pStyle w:val="0"/>
        <w:spacing w:before="200" w:line-rule="auto"/>
        <w:ind w:firstLine="540"/>
        <w:jc w:val="both"/>
      </w:pPr>
      <w:r>
        <w:rPr>
          <w:sz w:val="20"/>
        </w:rPr>
        <w:t xml:space="preserve">(iii) which, in the view of the competent authority, was the subject of a full request for authorisation before 28 December 2002, provided that the plant was put into operation not later than 28 December 2004;</w:t>
      </w:r>
    </w:p>
    <w:p>
      <w:pPr>
        <w:pStyle w:val="0"/>
        <w:spacing w:before="200" w:line-rule="auto"/>
        <w:ind w:firstLine="540"/>
        <w:jc w:val="both"/>
      </w:pPr>
      <w:r>
        <w:rPr>
          <w:sz w:val="20"/>
        </w:rPr>
        <w:t xml:space="preserve">(b) "new waste incineration plant" means any waste incineration plant not covered by point (a).</w:t>
      </w:r>
    </w:p>
    <w:p>
      <w:pPr>
        <w:pStyle w:val="0"/>
        <w:jc w:val="center"/>
      </w:pPr>
      <w:r>
        <w:rPr>
          <w:sz w:val="20"/>
        </w:rPr>
      </w:r>
    </w:p>
    <w:p>
      <w:pPr>
        <w:pStyle w:val="0"/>
        <w:outlineLvl w:val="1"/>
        <w:jc w:val="center"/>
      </w:pPr>
      <w:r>
        <w:rPr>
          <w:sz w:val="20"/>
        </w:rPr>
        <w:t xml:space="preserve">Part 2</w:t>
      </w:r>
    </w:p>
    <w:p>
      <w:pPr>
        <w:pStyle w:val="0"/>
        <w:jc w:val="center"/>
      </w:pPr>
      <w:r>
        <w:rPr>
          <w:sz w:val="20"/>
        </w:rPr>
      </w:r>
    </w:p>
    <w:p>
      <w:pPr>
        <w:pStyle w:val="0"/>
        <w:jc w:val="center"/>
      </w:pPr>
      <w:r>
        <w:rPr>
          <w:sz w:val="20"/>
        </w:rPr>
        <w:t xml:space="preserve">Equivalence factors for dibenzo-p-dioxins and dibenzofurans</w:t>
      </w:r>
    </w:p>
    <w:p>
      <w:pPr>
        <w:pStyle w:val="0"/>
        <w:jc w:val="center"/>
      </w:pPr>
      <w:r>
        <w:rPr>
          <w:sz w:val="20"/>
        </w:rPr>
      </w:r>
    </w:p>
    <w:p>
      <w:pPr>
        <w:pStyle w:val="0"/>
        <w:ind w:firstLine="540"/>
        <w:jc w:val="both"/>
      </w:pPr>
      <w:r>
        <w:rPr>
          <w:sz w:val="20"/>
        </w:rPr>
        <w:t xml:space="preserve">For the determination of the total concentration of dioxins and furans, the mass concentrations of the following dibenzo-p-dioxins and dibenzofurans shall be multiplied by the following equivalence factors before summing:</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6903"/>
        <w:gridCol w:w="1755"/>
      </w:tblGrid>
      <w:tr>
        <w:trPr>
          <w:trHeight w:val="240" w:hRule="atLeast"/>
        </w:trPr>
        <w:tc>
          <w:tcPr>
            <w:tcW w:w="7020" w:type="dxa"/>
          </w:tcPr>
          <w:p>
            <w:pPr>
              <w:pStyle w:val="1"/>
              <w:jc w:val="both"/>
            </w:pPr>
            <w:r>
              <w:rPr>
                <w:sz w:val="20"/>
              </w:rPr>
            </w:r>
          </w:p>
        </w:tc>
        <w:tc>
          <w:tcPr>
            <w:tcW w:w="1872" w:type="dxa"/>
          </w:tcPr>
          <w:p>
            <w:pPr>
              <w:pStyle w:val="1"/>
              <w:jc w:val="both"/>
            </w:pPr>
            <w:r>
              <w:rPr>
                <w:sz w:val="20"/>
              </w:rPr>
              <w:t xml:space="preserve">    Toxic     </w:t>
            </w:r>
          </w:p>
          <w:p>
            <w:pPr>
              <w:pStyle w:val="1"/>
              <w:jc w:val="both"/>
            </w:pPr>
            <w:r>
              <w:rPr>
                <w:sz w:val="20"/>
              </w:rPr>
              <w:t xml:space="preserve"> equivalence  </w:t>
            </w:r>
          </w:p>
          <w:p>
            <w:pPr>
              <w:pStyle w:val="1"/>
              <w:jc w:val="both"/>
            </w:pPr>
            <w:r>
              <w:rPr>
                <w:sz w:val="20"/>
              </w:rPr>
              <w:t xml:space="preserve">    factor    </w:t>
            </w:r>
          </w:p>
        </w:tc>
      </w:tr>
      <w:tr>
        <w:trPr>
          <w:trHeight w:val="240" w:hRule="atLeast"/>
        </w:trPr>
        <w:tc>
          <w:tcPr>
            <w:tcW w:w="7020" w:type="dxa"/>
            <w:tcBorders>
              <w:top w:val="nil"/>
            </w:tcBorders>
          </w:tcPr>
          <w:p>
            <w:pPr>
              <w:pStyle w:val="1"/>
              <w:jc w:val="both"/>
            </w:pPr>
            <w:r>
              <w:rPr>
                <w:sz w:val="20"/>
              </w:rPr>
              <w:t xml:space="preserve">2,3,7,8-Tetrachlorodibenzodioxin (TCDD)                   </w:t>
            </w:r>
          </w:p>
        </w:tc>
        <w:tc>
          <w:tcPr>
            <w:tcW w:w="1872" w:type="dxa"/>
            <w:tcBorders>
              <w:top w:val="nil"/>
            </w:tcBorders>
          </w:tcPr>
          <w:p>
            <w:pPr>
              <w:pStyle w:val="1"/>
              <w:jc w:val="both"/>
            </w:pPr>
            <w:r>
              <w:rPr>
                <w:sz w:val="20"/>
              </w:rPr>
              <w:t xml:space="preserve">         1    </w:t>
            </w:r>
          </w:p>
        </w:tc>
      </w:tr>
      <w:tr>
        <w:trPr>
          <w:trHeight w:val="240" w:hRule="atLeast"/>
        </w:trPr>
        <w:tc>
          <w:tcPr>
            <w:tcW w:w="7020" w:type="dxa"/>
            <w:tcBorders>
              <w:top w:val="nil"/>
            </w:tcBorders>
          </w:tcPr>
          <w:p>
            <w:pPr>
              <w:pStyle w:val="1"/>
              <w:jc w:val="both"/>
            </w:pPr>
            <w:r>
              <w:rPr>
                <w:sz w:val="20"/>
              </w:rPr>
              <w:t xml:space="preserve">1,2,3,7,8-Pentachlorodibenzodioxin (PeCDD)                </w:t>
            </w:r>
          </w:p>
        </w:tc>
        <w:tc>
          <w:tcPr>
            <w:tcW w:w="1872" w:type="dxa"/>
            <w:tcBorders>
              <w:top w:val="nil"/>
            </w:tcBorders>
          </w:tcPr>
          <w:p>
            <w:pPr>
              <w:pStyle w:val="1"/>
              <w:jc w:val="both"/>
            </w:pPr>
            <w:r>
              <w:rPr>
                <w:sz w:val="20"/>
              </w:rPr>
              <w:t xml:space="preserve">         0,5  </w:t>
            </w:r>
          </w:p>
        </w:tc>
      </w:tr>
      <w:tr>
        <w:trPr>
          <w:trHeight w:val="240" w:hRule="atLeast"/>
        </w:trPr>
        <w:tc>
          <w:tcPr>
            <w:tcW w:w="7020" w:type="dxa"/>
            <w:tcBorders>
              <w:top w:val="nil"/>
            </w:tcBorders>
          </w:tcPr>
          <w:p>
            <w:pPr>
              <w:pStyle w:val="1"/>
              <w:jc w:val="both"/>
            </w:pPr>
            <w:r>
              <w:rPr>
                <w:sz w:val="20"/>
              </w:rPr>
              <w:t xml:space="preserve">1,2,3,4,7,8-Hexachlorodibenzodioxin (HxCDD)               </w:t>
            </w:r>
          </w:p>
        </w:tc>
        <w:tc>
          <w:tcPr>
            <w:tcW w:w="1872" w:type="dxa"/>
            <w:tcBorders>
              <w:top w:val="nil"/>
            </w:tcBorders>
          </w:tcPr>
          <w:p>
            <w:pPr>
              <w:pStyle w:val="1"/>
              <w:jc w:val="both"/>
            </w:pPr>
            <w:r>
              <w:rPr>
                <w:sz w:val="20"/>
              </w:rPr>
              <w:t xml:space="preserve">         0,1  </w:t>
            </w:r>
          </w:p>
        </w:tc>
      </w:tr>
      <w:tr>
        <w:trPr>
          <w:trHeight w:val="240" w:hRule="atLeast"/>
        </w:trPr>
        <w:tc>
          <w:tcPr>
            <w:tcW w:w="7020" w:type="dxa"/>
            <w:tcBorders>
              <w:top w:val="nil"/>
            </w:tcBorders>
          </w:tcPr>
          <w:p>
            <w:pPr>
              <w:pStyle w:val="1"/>
              <w:jc w:val="both"/>
            </w:pPr>
            <w:r>
              <w:rPr>
                <w:sz w:val="20"/>
              </w:rPr>
              <w:t xml:space="preserve">1,2,3,6,7,8-Hexachlorodibenzodioxin (HxCDD)               </w:t>
            </w:r>
          </w:p>
        </w:tc>
        <w:tc>
          <w:tcPr>
            <w:tcW w:w="1872" w:type="dxa"/>
            <w:tcBorders>
              <w:top w:val="nil"/>
            </w:tcBorders>
          </w:tcPr>
          <w:p>
            <w:pPr>
              <w:pStyle w:val="1"/>
              <w:jc w:val="both"/>
            </w:pPr>
            <w:r>
              <w:rPr>
                <w:sz w:val="20"/>
              </w:rPr>
              <w:t xml:space="preserve">         0,1  </w:t>
            </w:r>
          </w:p>
        </w:tc>
      </w:tr>
      <w:tr>
        <w:trPr>
          <w:trHeight w:val="240" w:hRule="atLeast"/>
        </w:trPr>
        <w:tc>
          <w:tcPr>
            <w:tcW w:w="7020" w:type="dxa"/>
            <w:tcBorders>
              <w:top w:val="nil"/>
            </w:tcBorders>
          </w:tcPr>
          <w:p>
            <w:pPr>
              <w:pStyle w:val="1"/>
              <w:jc w:val="both"/>
            </w:pPr>
            <w:r>
              <w:rPr>
                <w:sz w:val="20"/>
              </w:rPr>
              <w:t xml:space="preserve">1,2,3,7,8,9-Hexachlorodibenzodioxin (HxCDD)               </w:t>
            </w:r>
          </w:p>
        </w:tc>
        <w:tc>
          <w:tcPr>
            <w:tcW w:w="1872" w:type="dxa"/>
            <w:tcBorders>
              <w:top w:val="nil"/>
            </w:tcBorders>
          </w:tcPr>
          <w:p>
            <w:pPr>
              <w:pStyle w:val="1"/>
              <w:jc w:val="both"/>
            </w:pPr>
            <w:r>
              <w:rPr>
                <w:sz w:val="20"/>
              </w:rPr>
              <w:t xml:space="preserve">         0,1  </w:t>
            </w:r>
          </w:p>
        </w:tc>
      </w:tr>
      <w:tr>
        <w:trPr>
          <w:trHeight w:val="240" w:hRule="atLeast"/>
        </w:trPr>
        <w:tc>
          <w:tcPr>
            <w:tcW w:w="7020" w:type="dxa"/>
            <w:tcBorders>
              <w:top w:val="nil"/>
            </w:tcBorders>
          </w:tcPr>
          <w:p>
            <w:pPr>
              <w:pStyle w:val="1"/>
              <w:jc w:val="both"/>
            </w:pPr>
            <w:r>
              <w:rPr>
                <w:sz w:val="20"/>
              </w:rPr>
              <w:t xml:space="preserve">1,2,3,4,6,7,8-Heptachlorodibenzodioxin (HpCDD)            </w:t>
            </w:r>
          </w:p>
        </w:tc>
        <w:tc>
          <w:tcPr>
            <w:tcW w:w="1872" w:type="dxa"/>
            <w:tcBorders>
              <w:top w:val="nil"/>
            </w:tcBorders>
          </w:tcPr>
          <w:p>
            <w:pPr>
              <w:pStyle w:val="1"/>
              <w:jc w:val="both"/>
            </w:pPr>
            <w:r>
              <w:rPr>
                <w:sz w:val="20"/>
              </w:rPr>
              <w:t xml:space="preserve">         0,01 </w:t>
            </w:r>
          </w:p>
        </w:tc>
      </w:tr>
      <w:tr>
        <w:trPr>
          <w:trHeight w:val="240" w:hRule="atLeast"/>
        </w:trPr>
        <w:tc>
          <w:tcPr>
            <w:tcW w:w="7020" w:type="dxa"/>
            <w:tcBorders>
              <w:top w:val="nil"/>
            </w:tcBorders>
          </w:tcPr>
          <w:p>
            <w:pPr>
              <w:pStyle w:val="1"/>
              <w:jc w:val="both"/>
            </w:pPr>
            <w:r>
              <w:rPr>
                <w:sz w:val="20"/>
              </w:rPr>
              <w:t xml:space="preserve">Octachlorodibenzodioxin (OCDD)                            </w:t>
            </w:r>
          </w:p>
        </w:tc>
        <w:tc>
          <w:tcPr>
            <w:tcW w:w="1872" w:type="dxa"/>
            <w:tcBorders>
              <w:top w:val="nil"/>
            </w:tcBorders>
          </w:tcPr>
          <w:p>
            <w:pPr>
              <w:pStyle w:val="1"/>
              <w:jc w:val="both"/>
            </w:pPr>
            <w:r>
              <w:rPr>
                <w:sz w:val="20"/>
              </w:rPr>
              <w:t xml:space="preserve">         0,001</w:t>
            </w:r>
          </w:p>
        </w:tc>
      </w:tr>
      <w:tr>
        <w:trPr>
          <w:trHeight w:val="240" w:hRule="atLeast"/>
        </w:trPr>
        <w:tc>
          <w:tcPr>
            <w:tcW w:w="7020" w:type="dxa"/>
            <w:tcBorders>
              <w:top w:val="nil"/>
            </w:tcBorders>
          </w:tcPr>
          <w:p>
            <w:pPr>
              <w:pStyle w:val="1"/>
              <w:jc w:val="both"/>
            </w:pPr>
            <w:r>
              <w:rPr>
                <w:sz w:val="20"/>
              </w:rPr>
              <w:t xml:space="preserve">2,3,7,8-Tetrachlorodibenzofuran (TCDF)                    </w:t>
            </w:r>
          </w:p>
        </w:tc>
        <w:tc>
          <w:tcPr>
            <w:tcW w:w="1872" w:type="dxa"/>
            <w:tcBorders>
              <w:top w:val="nil"/>
            </w:tcBorders>
          </w:tcPr>
          <w:p>
            <w:pPr>
              <w:pStyle w:val="1"/>
              <w:jc w:val="both"/>
            </w:pPr>
            <w:r>
              <w:rPr>
                <w:sz w:val="20"/>
              </w:rPr>
              <w:t xml:space="preserve">         0,1  </w:t>
            </w:r>
          </w:p>
        </w:tc>
      </w:tr>
      <w:tr>
        <w:trPr>
          <w:trHeight w:val="240" w:hRule="atLeast"/>
        </w:trPr>
        <w:tc>
          <w:tcPr>
            <w:tcW w:w="7020" w:type="dxa"/>
            <w:tcBorders>
              <w:top w:val="nil"/>
            </w:tcBorders>
          </w:tcPr>
          <w:p>
            <w:pPr>
              <w:pStyle w:val="1"/>
              <w:jc w:val="both"/>
            </w:pPr>
            <w:r>
              <w:rPr>
                <w:sz w:val="20"/>
              </w:rPr>
              <w:t xml:space="preserve">2,3,4,7,8-Pentachlorodibenzofuran (PeCDF)                 </w:t>
            </w:r>
          </w:p>
        </w:tc>
        <w:tc>
          <w:tcPr>
            <w:tcW w:w="1872" w:type="dxa"/>
            <w:tcBorders>
              <w:top w:val="nil"/>
            </w:tcBorders>
          </w:tcPr>
          <w:p>
            <w:pPr>
              <w:pStyle w:val="1"/>
              <w:jc w:val="both"/>
            </w:pPr>
            <w:r>
              <w:rPr>
                <w:sz w:val="20"/>
              </w:rPr>
              <w:t xml:space="preserve">         0,5  </w:t>
            </w:r>
          </w:p>
        </w:tc>
      </w:tr>
      <w:tr>
        <w:trPr>
          <w:trHeight w:val="240" w:hRule="atLeast"/>
        </w:trPr>
        <w:tc>
          <w:tcPr>
            <w:tcW w:w="7020" w:type="dxa"/>
            <w:tcBorders>
              <w:top w:val="nil"/>
            </w:tcBorders>
          </w:tcPr>
          <w:p>
            <w:pPr>
              <w:pStyle w:val="1"/>
              <w:jc w:val="both"/>
            </w:pPr>
            <w:r>
              <w:rPr>
                <w:sz w:val="20"/>
              </w:rPr>
              <w:t xml:space="preserve">1,2,3,7,8-Pentachlorodibenzofuran (PeCDF)                 </w:t>
            </w:r>
          </w:p>
        </w:tc>
        <w:tc>
          <w:tcPr>
            <w:tcW w:w="1872" w:type="dxa"/>
            <w:tcBorders>
              <w:top w:val="nil"/>
            </w:tcBorders>
          </w:tcPr>
          <w:p>
            <w:pPr>
              <w:pStyle w:val="1"/>
              <w:jc w:val="both"/>
            </w:pPr>
            <w:r>
              <w:rPr>
                <w:sz w:val="20"/>
              </w:rPr>
              <w:t xml:space="preserve">         0,05 </w:t>
            </w:r>
          </w:p>
        </w:tc>
      </w:tr>
      <w:tr>
        <w:trPr>
          <w:trHeight w:val="240" w:hRule="atLeast"/>
        </w:trPr>
        <w:tc>
          <w:tcPr>
            <w:tcW w:w="7020" w:type="dxa"/>
            <w:tcBorders>
              <w:top w:val="nil"/>
            </w:tcBorders>
          </w:tcPr>
          <w:p>
            <w:pPr>
              <w:pStyle w:val="1"/>
              <w:jc w:val="both"/>
            </w:pPr>
            <w:r>
              <w:rPr>
                <w:sz w:val="20"/>
              </w:rPr>
              <w:t xml:space="preserve">1,2,3,4,7,8-Hexachlorodibenzofuran (HxCDF)                </w:t>
            </w:r>
          </w:p>
        </w:tc>
        <w:tc>
          <w:tcPr>
            <w:tcW w:w="1872" w:type="dxa"/>
            <w:tcBorders>
              <w:top w:val="nil"/>
            </w:tcBorders>
          </w:tcPr>
          <w:p>
            <w:pPr>
              <w:pStyle w:val="1"/>
              <w:jc w:val="both"/>
            </w:pPr>
            <w:r>
              <w:rPr>
                <w:sz w:val="20"/>
              </w:rPr>
              <w:t xml:space="preserve">         0,1  </w:t>
            </w:r>
          </w:p>
        </w:tc>
      </w:tr>
      <w:tr>
        <w:trPr>
          <w:trHeight w:val="240" w:hRule="atLeast"/>
        </w:trPr>
        <w:tc>
          <w:tcPr>
            <w:tcW w:w="7020" w:type="dxa"/>
            <w:tcBorders>
              <w:top w:val="nil"/>
            </w:tcBorders>
          </w:tcPr>
          <w:p>
            <w:pPr>
              <w:pStyle w:val="1"/>
              <w:jc w:val="both"/>
            </w:pPr>
            <w:r>
              <w:rPr>
                <w:sz w:val="20"/>
              </w:rPr>
              <w:t xml:space="preserve">1,2,3,6,7,8-Hexachlorodibenzofuran (HxCDF)                </w:t>
            </w:r>
          </w:p>
        </w:tc>
        <w:tc>
          <w:tcPr>
            <w:tcW w:w="1872" w:type="dxa"/>
            <w:tcBorders>
              <w:top w:val="nil"/>
            </w:tcBorders>
          </w:tcPr>
          <w:p>
            <w:pPr>
              <w:pStyle w:val="1"/>
              <w:jc w:val="both"/>
            </w:pPr>
            <w:r>
              <w:rPr>
                <w:sz w:val="20"/>
              </w:rPr>
              <w:t xml:space="preserve">         0,1  </w:t>
            </w:r>
          </w:p>
        </w:tc>
      </w:tr>
      <w:tr>
        <w:trPr>
          <w:trHeight w:val="240" w:hRule="atLeast"/>
        </w:trPr>
        <w:tc>
          <w:tcPr>
            <w:tcW w:w="7020" w:type="dxa"/>
            <w:tcBorders>
              <w:top w:val="nil"/>
            </w:tcBorders>
          </w:tcPr>
          <w:p>
            <w:pPr>
              <w:pStyle w:val="1"/>
              <w:jc w:val="both"/>
            </w:pPr>
            <w:r>
              <w:rPr>
                <w:sz w:val="20"/>
              </w:rPr>
              <w:t xml:space="preserve">1,2,3,7,8,9-Hexachlorodibenzofuran (HxCDF)                </w:t>
            </w:r>
          </w:p>
        </w:tc>
        <w:tc>
          <w:tcPr>
            <w:tcW w:w="1872" w:type="dxa"/>
            <w:tcBorders>
              <w:top w:val="nil"/>
            </w:tcBorders>
          </w:tcPr>
          <w:p>
            <w:pPr>
              <w:pStyle w:val="1"/>
              <w:jc w:val="both"/>
            </w:pPr>
            <w:r>
              <w:rPr>
                <w:sz w:val="20"/>
              </w:rPr>
              <w:t xml:space="preserve">         0,1  </w:t>
            </w:r>
          </w:p>
        </w:tc>
      </w:tr>
      <w:tr>
        <w:trPr>
          <w:trHeight w:val="240" w:hRule="atLeast"/>
        </w:trPr>
        <w:tc>
          <w:tcPr>
            <w:tcW w:w="7020" w:type="dxa"/>
            <w:tcBorders>
              <w:top w:val="nil"/>
            </w:tcBorders>
          </w:tcPr>
          <w:p>
            <w:pPr>
              <w:pStyle w:val="1"/>
              <w:jc w:val="both"/>
            </w:pPr>
            <w:r>
              <w:rPr>
                <w:sz w:val="20"/>
              </w:rPr>
              <w:t xml:space="preserve">2,3,4,6,7,8-Hexachlorodibenzofuran (HxCDF)                </w:t>
            </w:r>
          </w:p>
        </w:tc>
        <w:tc>
          <w:tcPr>
            <w:tcW w:w="1872" w:type="dxa"/>
            <w:tcBorders>
              <w:top w:val="nil"/>
            </w:tcBorders>
          </w:tcPr>
          <w:p>
            <w:pPr>
              <w:pStyle w:val="1"/>
              <w:jc w:val="both"/>
            </w:pPr>
            <w:r>
              <w:rPr>
                <w:sz w:val="20"/>
              </w:rPr>
              <w:t xml:space="preserve">         0,1  </w:t>
            </w:r>
          </w:p>
        </w:tc>
      </w:tr>
      <w:tr>
        <w:trPr>
          <w:trHeight w:val="240" w:hRule="atLeast"/>
        </w:trPr>
        <w:tc>
          <w:tcPr>
            <w:tcW w:w="7020" w:type="dxa"/>
            <w:tcBorders>
              <w:top w:val="nil"/>
            </w:tcBorders>
          </w:tcPr>
          <w:p>
            <w:pPr>
              <w:pStyle w:val="1"/>
              <w:jc w:val="both"/>
            </w:pPr>
            <w:r>
              <w:rPr>
                <w:sz w:val="20"/>
              </w:rPr>
              <w:t xml:space="preserve">1,2,3,4,6,7,8-Heptachlorodibenzofuran (HpCDF)             </w:t>
            </w:r>
          </w:p>
        </w:tc>
        <w:tc>
          <w:tcPr>
            <w:tcW w:w="1872" w:type="dxa"/>
            <w:tcBorders>
              <w:top w:val="nil"/>
            </w:tcBorders>
          </w:tcPr>
          <w:p>
            <w:pPr>
              <w:pStyle w:val="1"/>
              <w:jc w:val="both"/>
            </w:pPr>
            <w:r>
              <w:rPr>
                <w:sz w:val="20"/>
              </w:rPr>
              <w:t xml:space="preserve">         0,01 </w:t>
            </w:r>
          </w:p>
        </w:tc>
      </w:tr>
      <w:tr>
        <w:trPr>
          <w:trHeight w:val="240" w:hRule="atLeast"/>
        </w:trPr>
        <w:tc>
          <w:tcPr>
            <w:tcW w:w="7020" w:type="dxa"/>
            <w:tcBorders>
              <w:top w:val="nil"/>
            </w:tcBorders>
          </w:tcPr>
          <w:p>
            <w:pPr>
              <w:pStyle w:val="1"/>
              <w:jc w:val="both"/>
            </w:pPr>
            <w:r>
              <w:rPr>
                <w:sz w:val="20"/>
              </w:rPr>
              <w:t xml:space="preserve">1,2,3,4,7,8,9-Heptachlorodibenzofuran (HpCDF)             </w:t>
            </w:r>
          </w:p>
        </w:tc>
        <w:tc>
          <w:tcPr>
            <w:tcW w:w="1872" w:type="dxa"/>
            <w:tcBorders>
              <w:top w:val="nil"/>
            </w:tcBorders>
          </w:tcPr>
          <w:p>
            <w:pPr>
              <w:pStyle w:val="1"/>
              <w:jc w:val="both"/>
            </w:pPr>
            <w:r>
              <w:rPr>
                <w:sz w:val="20"/>
              </w:rPr>
              <w:t xml:space="preserve">         0,01 </w:t>
            </w:r>
          </w:p>
        </w:tc>
      </w:tr>
      <w:tr>
        <w:trPr>
          <w:trHeight w:val="240" w:hRule="atLeast"/>
        </w:trPr>
        <w:tc>
          <w:tcPr>
            <w:tcW w:w="7020" w:type="dxa"/>
            <w:tcBorders>
              <w:top w:val="nil"/>
            </w:tcBorders>
          </w:tcPr>
          <w:p>
            <w:pPr>
              <w:pStyle w:val="1"/>
              <w:jc w:val="both"/>
            </w:pPr>
            <w:r>
              <w:rPr>
                <w:sz w:val="20"/>
              </w:rPr>
              <w:t xml:space="preserve">Octachlorodibenzofuran (OCDF)                             </w:t>
            </w:r>
          </w:p>
        </w:tc>
        <w:tc>
          <w:tcPr>
            <w:tcW w:w="1872" w:type="dxa"/>
            <w:tcBorders>
              <w:top w:val="nil"/>
            </w:tcBorders>
          </w:tcPr>
          <w:p>
            <w:pPr>
              <w:pStyle w:val="1"/>
              <w:jc w:val="both"/>
            </w:pPr>
            <w:r>
              <w:rPr>
                <w:sz w:val="20"/>
              </w:rPr>
              <w:t xml:space="preserve">         0,001</w:t>
            </w:r>
          </w:p>
        </w:tc>
      </w:tr>
    </w:tbl>
    <w:p>
      <w:pPr>
        <w:pStyle w:val="0"/>
        <w:jc w:val="center"/>
      </w:pPr>
      <w:r>
        <w:rPr>
          <w:sz w:val="20"/>
        </w:rPr>
      </w:r>
    </w:p>
    <w:p>
      <w:pPr>
        <w:pStyle w:val="0"/>
        <w:outlineLvl w:val="1"/>
        <w:jc w:val="center"/>
      </w:pPr>
      <w:r>
        <w:rPr>
          <w:sz w:val="20"/>
        </w:rPr>
        <w:t xml:space="preserve">Part 3</w:t>
      </w:r>
    </w:p>
    <w:p>
      <w:pPr>
        <w:pStyle w:val="0"/>
        <w:jc w:val="center"/>
      </w:pPr>
      <w:r>
        <w:rPr>
          <w:sz w:val="20"/>
        </w:rPr>
      </w:r>
    </w:p>
    <w:p>
      <w:pPr>
        <w:pStyle w:val="0"/>
        <w:jc w:val="center"/>
      </w:pPr>
      <w:r>
        <w:rPr>
          <w:sz w:val="20"/>
        </w:rPr>
        <w:t xml:space="preserve">Air emission limit values for waste incineration plants</w:t>
      </w:r>
    </w:p>
    <w:p>
      <w:pPr>
        <w:pStyle w:val="0"/>
        <w:jc w:val="center"/>
      </w:pPr>
      <w:r>
        <w:rPr>
          <w:sz w:val="20"/>
        </w:rPr>
      </w:r>
    </w:p>
    <w:p>
      <w:pPr>
        <w:pStyle w:val="0"/>
        <w:ind w:firstLine="540"/>
        <w:jc w:val="both"/>
      </w:pPr>
      <w:r>
        <w:rPr>
          <w:sz w:val="20"/>
        </w:rPr>
        <w:t xml:space="preserve">1. All emission limit values shall be calculated at a temperature of 273,15 K, a pressure of 101,3 kPa and after correcting for the water vapour content of the waste gases.</w:t>
      </w:r>
    </w:p>
    <w:p>
      <w:pPr>
        <w:pStyle w:val="0"/>
        <w:spacing w:before="200" w:line-rule="auto"/>
        <w:ind w:firstLine="540"/>
        <w:jc w:val="both"/>
      </w:pPr>
      <w:r>
        <w:rPr>
          <w:sz w:val="20"/>
        </w:rPr>
        <w:t xml:space="preserve">They are standardised at 11% oxygen in waste gas except in case of incineration of mineral waste oil as defined in point 3 of Article 3 of Directive 2008/98/EC, when they are standardised at 3% oxygen, and in the cases referred to in Point 2.7 of Part 6.</w:t>
      </w:r>
    </w:p>
    <w:p>
      <w:pPr>
        <w:pStyle w:val="1"/>
        <w:spacing w:before="200" w:line-rule="auto"/>
        <w:jc w:val="both"/>
      </w:pPr>
      <w:r>
        <w:rPr>
          <w:sz w:val="20"/>
        </w:rPr>
        <w:t xml:space="preserve">    1.1.  Daily  average  emission limit values for the following polluting</w:t>
      </w:r>
    </w:p>
    <w:p>
      <w:pPr>
        <w:pStyle w:val="1"/>
        <w:jc w:val="both"/>
      </w:pPr>
      <w:r>
        <w:rPr>
          <w:sz w:val="20"/>
        </w:rPr>
        <w:t xml:space="preserve">                 3</w:t>
      </w:r>
    </w:p>
    <w:p>
      <w:pPr>
        <w:pStyle w:val="1"/>
        <w:jc w:val="both"/>
      </w:pPr>
      <w:r>
        <w:rPr>
          <w:sz w:val="20"/>
        </w:rPr>
        <w:t xml:space="preserve">substances (mg/Nm )</w:t>
      </w:r>
    </w:p>
    <w:p>
      <w:pPr>
        <w:pStyle w:val="0"/>
        <w:ind w:firstLine="540"/>
        <w:jc w:val="both"/>
      </w:pPr>
      <w:r>
        <w:rPr>
          <w:sz w:val="20"/>
        </w:rPr>
      </w:r>
    </w:p>
    <w:p>
      <w:pPr>
        <w:pStyle w:val="3"/>
        <w:jc w:val="both"/>
      </w:pPr>
      <w:r>
        <w:rPr>
          <w:sz w:val="20"/>
        </w:rPr>
        <w:t xml:space="preserve">┌────────────────────────────────────────────────────────────┬────────────┐</w:t>
      </w:r>
    </w:p>
    <w:p>
      <w:pPr>
        <w:pStyle w:val="3"/>
        <w:jc w:val="both"/>
      </w:pPr>
      <w:r>
        <w:rPr>
          <w:sz w:val="20"/>
        </w:rPr>
        <w:t xml:space="preserve">│Total dust                                                  │          10│</w:t>
      </w:r>
    </w:p>
    <w:p>
      <w:pPr>
        <w:pStyle w:val="3"/>
        <w:jc w:val="both"/>
      </w:pPr>
      <w:r>
        <w:rPr>
          <w:sz w:val="20"/>
        </w:rPr>
        <w:t xml:space="preserve">├────────────────────────────────────────────────────────────┼────────────┤</w:t>
      </w:r>
    </w:p>
    <w:p>
      <w:pPr>
        <w:pStyle w:val="3"/>
        <w:jc w:val="both"/>
      </w:pPr>
      <w:r>
        <w:rPr>
          <w:sz w:val="20"/>
        </w:rPr>
        <w:t xml:space="preserve">│Gaseous and vaporous organic substances, expressed as total │          10│</w:t>
      </w:r>
    </w:p>
    <w:p>
      <w:pPr>
        <w:pStyle w:val="3"/>
        <w:jc w:val="both"/>
      </w:pPr>
      <w:r>
        <w:rPr>
          <w:sz w:val="20"/>
        </w:rPr>
        <w:t xml:space="preserve">│organic carbon (TOC)                                        │            │</w:t>
      </w:r>
    </w:p>
    <w:p>
      <w:pPr>
        <w:pStyle w:val="3"/>
        <w:jc w:val="both"/>
      </w:pPr>
      <w:r>
        <w:rPr>
          <w:sz w:val="20"/>
        </w:rPr>
        <w:t xml:space="preserve">├────────────────────────────────────────────────────────────┼────────────┤</w:t>
      </w:r>
    </w:p>
    <w:p>
      <w:pPr>
        <w:pStyle w:val="3"/>
        <w:jc w:val="both"/>
      </w:pPr>
      <w:r>
        <w:rPr>
          <w:sz w:val="20"/>
        </w:rPr>
        <w:t xml:space="preserve">│Hydrogen chloride (HCl)                                     │          10│</w:t>
      </w:r>
    </w:p>
    <w:p>
      <w:pPr>
        <w:pStyle w:val="3"/>
        <w:jc w:val="both"/>
      </w:pPr>
      <w:r>
        <w:rPr>
          <w:sz w:val="20"/>
        </w:rPr>
        <w:t xml:space="preserve">├────────────────────────────────────────────────────────────┼────────────┤</w:t>
      </w:r>
    </w:p>
    <w:p>
      <w:pPr>
        <w:pStyle w:val="3"/>
        <w:jc w:val="both"/>
      </w:pPr>
      <w:r>
        <w:rPr>
          <w:sz w:val="20"/>
        </w:rPr>
        <w:t xml:space="preserve">│Hydrogen fluoride (HF)                                      │           1│</w:t>
      </w:r>
    </w:p>
    <w:p>
      <w:pPr>
        <w:pStyle w:val="3"/>
        <w:jc w:val="both"/>
      </w:pPr>
      <w:r>
        <w:rPr>
          <w:sz w:val="20"/>
        </w:rPr>
        <w:t xml:space="preserve">├────────────────────────────────────────────────────────────┼────────────┤</w:t>
      </w:r>
    </w:p>
    <w:p>
      <w:pPr>
        <w:pStyle w:val="3"/>
        <w:jc w:val="both"/>
      </w:pPr>
      <w:r>
        <w:rPr>
          <w:sz w:val="20"/>
        </w:rPr>
        <w:t xml:space="preserve">│Sulphur dioxide (SO )                                       │          50│</w:t>
      </w:r>
    </w:p>
    <w:p>
      <w:pPr>
        <w:pStyle w:val="3"/>
        <w:jc w:val="both"/>
      </w:pPr>
      <w:r>
        <w:rPr>
          <w:sz w:val="20"/>
        </w:rPr>
        <w:t xml:space="preserve">│                   2                                        │            │</w:t>
      </w:r>
    </w:p>
    <w:p>
      <w:pPr>
        <w:pStyle w:val="3"/>
        <w:jc w:val="both"/>
      </w:pPr>
      <w:r>
        <w:rPr>
          <w:sz w:val="20"/>
        </w:rPr>
        <w:t xml:space="preserve">├────────────────────────────────────────────────────────────┼────────────┤</w:t>
      </w:r>
    </w:p>
    <w:p>
      <w:pPr>
        <w:pStyle w:val="3"/>
        <w:jc w:val="both"/>
      </w:pPr>
      <w:r>
        <w:rPr>
          <w:sz w:val="20"/>
        </w:rPr>
        <w:t xml:space="preserve">│Nitrogen monoxide (NO) and nitrogen dioxide (NO ), expressed│         200│</w:t>
      </w:r>
    </w:p>
    <w:p>
      <w:pPr>
        <w:pStyle w:val="3"/>
        <w:jc w:val="both"/>
      </w:pPr>
      <w:r>
        <w:rPr>
          <w:sz w:val="20"/>
        </w:rPr>
        <w:t xml:space="preserve">│                                               2            │            │</w:t>
      </w:r>
    </w:p>
    <w:p>
      <w:pPr>
        <w:pStyle w:val="3"/>
        <w:jc w:val="both"/>
      </w:pPr>
      <w:r>
        <w:rPr>
          <w:sz w:val="20"/>
        </w:rPr>
        <w:t xml:space="preserve">│as NO  for existing waste incineration plants with a nominal│            │</w:t>
      </w:r>
    </w:p>
    <w:p>
      <w:pPr>
        <w:pStyle w:val="3"/>
        <w:jc w:val="both"/>
      </w:pPr>
      <w:r>
        <w:rPr>
          <w:sz w:val="20"/>
        </w:rPr>
        <w:t xml:space="preserve">│     2                                                      │            │</w:t>
      </w:r>
    </w:p>
    <w:p>
      <w:pPr>
        <w:pStyle w:val="3"/>
        <w:jc w:val="both"/>
      </w:pPr>
      <w:r>
        <w:rPr>
          <w:sz w:val="20"/>
        </w:rPr>
        <w:t xml:space="preserve">│capacity exceeding 6 tonnes per hour or new waste           │            │</w:t>
      </w:r>
    </w:p>
    <w:p>
      <w:pPr>
        <w:pStyle w:val="3"/>
        <w:jc w:val="both"/>
      </w:pPr>
      <w:r>
        <w:rPr>
          <w:sz w:val="20"/>
        </w:rPr>
        <w:t xml:space="preserve">│incineration plants                                         │            │</w:t>
      </w:r>
    </w:p>
    <w:p>
      <w:pPr>
        <w:pStyle w:val="3"/>
        <w:jc w:val="both"/>
      </w:pPr>
      <w:r>
        <w:rPr>
          <w:sz w:val="20"/>
        </w:rPr>
        <w:t xml:space="preserve">├────────────────────────────────────────────────────────────┼────────────┤</w:t>
      </w:r>
    </w:p>
    <w:p>
      <w:pPr>
        <w:pStyle w:val="3"/>
        <w:jc w:val="both"/>
      </w:pPr>
      <w:r>
        <w:rPr>
          <w:sz w:val="20"/>
        </w:rPr>
        <w:t xml:space="preserve">│Nitrogen monoxide (NO) and nitrogen dioxide (NO ), expressed│         400│</w:t>
      </w:r>
    </w:p>
    <w:p>
      <w:pPr>
        <w:pStyle w:val="3"/>
        <w:jc w:val="both"/>
      </w:pPr>
      <w:r>
        <w:rPr>
          <w:sz w:val="20"/>
        </w:rPr>
        <w:t xml:space="preserve">│                                               2            │            │</w:t>
      </w:r>
    </w:p>
    <w:p>
      <w:pPr>
        <w:pStyle w:val="3"/>
        <w:jc w:val="both"/>
      </w:pPr>
      <w:r>
        <w:rPr>
          <w:sz w:val="20"/>
        </w:rPr>
        <w:t xml:space="preserve">│as NO  for existing waste incineration plants with a nominal│            │</w:t>
      </w:r>
    </w:p>
    <w:p>
      <w:pPr>
        <w:pStyle w:val="3"/>
        <w:jc w:val="both"/>
      </w:pPr>
      <w:r>
        <w:rPr>
          <w:sz w:val="20"/>
        </w:rPr>
        <w:t xml:space="preserve">│     2                                                      │            │</w:t>
      </w:r>
    </w:p>
    <w:p>
      <w:pPr>
        <w:pStyle w:val="3"/>
        <w:jc w:val="both"/>
      </w:pPr>
      <w:r>
        <w:rPr>
          <w:sz w:val="20"/>
        </w:rPr>
        <w:t xml:space="preserve">│capacity of 6 tonnes per hour or less                       │            │</w:t>
      </w:r>
    </w:p>
    <w:p>
      <w:pPr>
        <w:pStyle w:val="3"/>
        <w:jc w:val="both"/>
      </w:pPr>
      <w:r>
        <w:rPr>
          <w:sz w:val="20"/>
        </w:rPr>
        <w:t xml:space="preserve">└────────────────────────────────────────────────────────────┴────────────┘</w:t>
      </w:r>
    </w:p>
    <w:p>
      <w:pPr>
        <w:pStyle w:val="0"/>
        <w:ind w:firstLine="540"/>
        <w:jc w:val="both"/>
      </w:pPr>
      <w:r>
        <w:rPr>
          <w:sz w:val="20"/>
        </w:rPr>
      </w:r>
    </w:p>
    <w:p>
      <w:pPr>
        <w:pStyle w:val="1"/>
        <w:jc w:val="both"/>
      </w:pPr>
      <w:r>
        <w:rPr>
          <w:sz w:val="20"/>
        </w:rPr>
        <w:t xml:space="preserve">    1.2.  Half-hourly  average  emission  limit  values  for  the following</w:t>
      </w:r>
    </w:p>
    <w:p>
      <w:pPr>
        <w:pStyle w:val="1"/>
        <w:jc w:val="both"/>
      </w:pPr>
      <w:r>
        <w:rPr>
          <w:sz w:val="20"/>
        </w:rPr>
        <w:t xml:space="preserve">                           3</w:t>
      </w:r>
    </w:p>
    <w:p>
      <w:pPr>
        <w:pStyle w:val="1"/>
        <w:jc w:val="both"/>
      </w:pPr>
      <w:r>
        <w:rPr>
          <w:sz w:val="20"/>
        </w:rPr>
        <w:t xml:space="preserve">polluting substances (mg/Nm )</w:t>
      </w:r>
    </w:p>
    <w:p>
      <w:pPr>
        <w:pStyle w:val="0"/>
        <w:ind w:firstLine="540"/>
        <w:jc w:val="both"/>
      </w:pPr>
      <w:r>
        <w:rPr>
          <w:sz w:val="20"/>
        </w:rPr>
      </w:r>
    </w:p>
    <w:p>
      <w:pPr>
        <w:pStyle w:val="3"/>
        <w:jc w:val="both"/>
      </w:pPr>
      <w:r>
        <w:rPr>
          <w:sz w:val="20"/>
        </w:rPr>
        <w:t xml:space="preserve">┌───────────────────────────────────────────┬──────────────┬──────────────┐</w:t>
      </w:r>
    </w:p>
    <w:p>
      <w:pPr>
        <w:pStyle w:val="3"/>
        <w:jc w:val="both"/>
      </w:pPr>
      <w:r>
        <w:rPr>
          <w:sz w:val="20"/>
        </w:rPr>
        <w:t xml:space="preserve">│                                           │   (100%) A   │   (97%) B    │</w:t>
      </w:r>
    </w:p>
    <w:p>
      <w:pPr>
        <w:pStyle w:val="3"/>
        <w:jc w:val="both"/>
      </w:pPr>
      <w:r>
        <w:rPr>
          <w:sz w:val="20"/>
        </w:rPr>
        <w:t xml:space="preserve">├───────────────────────────────────────────┼──────────────┼──────────────┤</w:t>
      </w:r>
    </w:p>
    <w:p>
      <w:pPr>
        <w:pStyle w:val="3"/>
        <w:jc w:val="both"/>
      </w:pPr>
      <w:r>
        <w:rPr>
          <w:sz w:val="20"/>
        </w:rPr>
        <w:t xml:space="preserve">│Total dust                                 │            30│            10│</w:t>
      </w:r>
    </w:p>
    <w:p>
      <w:pPr>
        <w:pStyle w:val="3"/>
        <w:jc w:val="both"/>
      </w:pPr>
      <w:r>
        <w:rPr>
          <w:sz w:val="20"/>
        </w:rPr>
        <w:t xml:space="preserve">├───────────────────────────────────────────┼──────────────┼──────────────┤</w:t>
      </w:r>
    </w:p>
    <w:p>
      <w:pPr>
        <w:pStyle w:val="3"/>
        <w:jc w:val="both"/>
      </w:pPr>
      <w:r>
        <w:rPr>
          <w:sz w:val="20"/>
        </w:rPr>
        <w:t xml:space="preserve">│Gaseous and vaporous organic substances,   │            20│            10│</w:t>
      </w:r>
    </w:p>
    <w:p>
      <w:pPr>
        <w:pStyle w:val="3"/>
        <w:jc w:val="both"/>
      </w:pPr>
      <w:r>
        <w:rPr>
          <w:sz w:val="20"/>
        </w:rPr>
        <w:t xml:space="preserve">│expressed as total organic carbon (TOC)    │              │              │</w:t>
      </w:r>
    </w:p>
    <w:p>
      <w:pPr>
        <w:pStyle w:val="3"/>
        <w:jc w:val="both"/>
      </w:pPr>
      <w:r>
        <w:rPr>
          <w:sz w:val="20"/>
        </w:rPr>
        <w:t xml:space="preserve">├───────────────────────────────────────────┼──────────────┼──────────────┤</w:t>
      </w:r>
    </w:p>
    <w:p>
      <w:pPr>
        <w:pStyle w:val="3"/>
        <w:jc w:val="both"/>
      </w:pPr>
      <w:r>
        <w:rPr>
          <w:sz w:val="20"/>
        </w:rPr>
        <w:t xml:space="preserve">│Hydrogen chloride (HCl)                    │            60│            10│</w:t>
      </w:r>
    </w:p>
    <w:p>
      <w:pPr>
        <w:pStyle w:val="3"/>
        <w:jc w:val="both"/>
      </w:pPr>
      <w:r>
        <w:rPr>
          <w:sz w:val="20"/>
        </w:rPr>
        <w:t xml:space="preserve">├───────────────────────────────────────────┼──────────────┼──────────────┤</w:t>
      </w:r>
    </w:p>
    <w:p>
      <w:pPr>
        <w:pStyle w:val="3"/>
        <w:jc w:val="both"/>
      </w:pPr>
      <w:r>
        <w:rPr>
          <w:sz w:val="20"/>
        </w:rPr>
        <w:t xml:space="preserve">│Hydrogen fluoride (HF)                     │             4│             2│</w:t>
      </w:r>
    </w:p>
    <w:p>
      <w:pPr>
        <w:pStyle w:val="3"/>
        <w:jc w:val="both"/>
      </w:pPr>
      <w:r>
        <w:rPr>
          <w:sz w:val="20"/>
        </w:rPr>
        <w:t xml:space="preserve">├───────────────────────────────────────────┼──────────────┼──────────────┤</w:t>
      </w:r>
    </w:p>
    <w:p>
      <w:pPr>
        <w:pStyle w:val="3"/>
        <w:jc w:val="both"/>
      </w:pPr>
      <w:r>
        <w:rPr>
          <w:sz w:val="20"/>
        </w:rPr>
        <w:t xml:space="preserve">│Sulphur dioxide (SO )                      │           200│            50│</w:t>
      </w:r>
    </w:p>
    <w:p>
      <w:pPr>
        <w:pStyle w:val="3"/>
        <w:jc w:val="both"/>
      </w:pPr>
      <w:r>
        <w:rPr>
          <w:sz w:val="20"/>
        </w:rPr>
        <w:t xml:space="preserve">│                   2                       │              │              │</w:t>
      </w:r>
    </w:p>
    <w:p>
      <w:pPr>
        <w:pStyle w:val="3"/>
        <w:jc w:val="both"/>
      </w:pPr>
      <w:r>
        <w:rPr>
          <w:sz w:val="20"/>
        </w:rPr>
        <w:t xml:space="preserve">├───────────────────────────────────────────┼──────────────┼──────────────┤</w:t>
      </w:r>
    </w:p>
    <w:p>
      <w:pPr>
        <w:pStyle w:val="3"/>
        <w:jc w:val="both"/>
      </w:pPr>
      <w:r>
        <w:rPr>
          <w:sz w:val="20"/>
        </w:rPr>
        <w:t xml:space="preserve">│Nitrogen monoxide (NO) and nitrogen dioxide│           400│           200│</w:t>
      </w:r>
    </w:p>
    <w:p>
      <w:pPr>
        <w:pStyle w:val="3"/>
        <w:jc w:val="both"/>
      </w:pPr>
      <w:r>
        <w:rPr>
          <w:sz w:val="20"/>
        </w:rPr>
        <w:t xml:space="preserve">│(NO ), expressed as NO  for existing waste │              │              │</w:t>
      </w:r>
    </w:p>
    <w:p>
      <w:pPr>
        <w:pStyle w:val="3"/>
        <w:jc w:val="both"/>
      </w:pPr>
      <w:r>
        <w:rPr>
          <w:sz w:val="20"/>
        </w:rPr>
        <w:t xml:space="preserve">│   2                  2                    │              │              │</w:t>
      </w:r>
    </w:p>
    <w:p>
      <w:pPr>
        <w:pStyle w:val="3"/>
        <w:jc w:val="both"/>
      </w:pPr>
      <w:r>
        <w:rPr>
          <w:sz w:val="20"/>
        </w:rPr>
        <w:t xml:space="preserve">│incineration plants with a nominal capacity│              │              │</w:t>
      </w:r>
    </w:p>
    <w:p>
      <w:pPr>
        <w:pStyle w:val="3"/>
        <w:jc w:val="both"/>
      </w:pPr>
      <w:r>
        <w:rPr>
          <w:sz w:val="20"/>
        </w:rPr>
        <w:t xml:space="preserve">│exceeding 6 tonnes per hour or new waste   │              │              │</w:t>
      </w:r>
    </w:p>
    <w:p>
      <w:pPr>
        <w:pStyle w:val="3"/>
        <w:jc w:val="both"/>
      </w:pPr>
      <w:r>
        <w:rPr>
          <w:sz w:val="20"/>
        </w:rPr>
        <w:t xml:space="preserve">│incineration plants                        │              │              │</w:t>
      </w:r>
    </w:p>
    <w:p>
      <w:pPr>
        <w:pStyle w:val="3"/>
        <w:jc w:val="both"/>
      </w:pPr>
      <w:r>
        <w:rPr>
          <w:sz w:val="20"/>
        </w:rPr>
        <w:t xml:space="preserve">└───────────────────────────────────────────┴──────────────┴──────────────┘</w:t>
      </w:r>
    </w:p>
    <w:p>
      <w:pPr>
        <w:pStyle w:val="0"/>
        <w:ind w:firstLine="540"/>
        <w:jc w:val="both"/>
      </w:pPr>
      <w:r>
        <w:rPr>
          <w:sz w:val="20"/>
        </w:rPr>
      </w:r>
    </w:p>
    <w:p>
      <w:pPr>
        <w:pStyle w:val="1"/>
        <w:jc w:val="both"/>
      </w:pPr>
      <w:r>
        <w:rPr>
          <w:sz w:val="20"/>
        </w:rPr>
        <w:t xml:space="preserve">                                                 3</w:t>
      </w:r>
    </w:p>
    <w:p>
      <w:pPr>
        <w:pStyle w:val="1"/>
        <w:jc w:val="both"/>
      </w:pPr>
      <w:r>
        <w:rPr>
          <w:sz w:val="20"/>
        </w:rPr>
        <w:t xml:space="preserve">    1.3.  Average  emission  limit  values (mg/Nm ) for the following heavy</w:t>
      </w:r>
    </w:p>
    <w:p>
      <w:pPr>
        <w:pStyle w:val="1"/>
        <w:jc w:val="both"/>
      </w:pPr>
      <w:r>
        <w:rPr>
          <w:sz w:val="20"/>
        </w:rPr>
        <w:t xml:space="preserve">metals over a sampling period of a minimum of 30 minutes and a maximum of 8</w:t>
      </w:r>
    </w:p>
    <w:p>
      <w:pPr>
        <w:pStyle w:val="1"/>
        <w:jc w:val="both"/>
      </w:pPr>
      <w:r>
        <w:rPr>
          <w:sz w:val="20"/>
        </w:rPr>
        <w:t xml:space="preserve">hours</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6903"/>
        <w:gridCol w:w="1755"/>
      </w:tblGrid>
      <w:tr>
        <w:trPr>
          <w:trHeight w:val="240" w:hRule="atLeast"/>
        </w:trPr>
        <w:tc>
          <w:tcPr>
            <w:tcW w:w="7020" w:type="dxa"/>
          </w:tcPr>
          <w:p>
            <w:pPr>
              <w:pStyle w:val="1"/>
              <w:jc w:val="both"/>
            </w:pPr>
            <w:r>
              <w:rPr>
                <w:sz w:val="20"/>
              </w:rPr>
              <w:t xml:space="preserve">Cadmium and its compounds, expressed as cadmium (Cd)      </w:t>
            </w:r>
          </w:p>
        </w:tc>
        <w:tc>
          <w:tcPr>
            <w:tcW w:w="1872" w:type="dxa"/>
            <w:vMerge w:val="restart"/>
          </w:tcPr>
          <w:p>
            <w:pPr>
              <w:pStyle w:val="1"/>
              <w:jc w:val="both"/>
            </w:pPr>
            <w:r>
              <w:rPr>
                <w:sz w:val="20"/>
              </w:rPr>
              <w:t xml:space="preserve">Total: 0,05   </w:t>
            </w:r>
          </w:p>
        </w:tc>
      </w:tr>
      <w:tr>
        <w:trPr>
          <w:trHeight w:val="240" w:hRule="atLeast"/>
        </w:trPr>
        <w:tc>
          <w:tcPr>
            <w:tcW w:w="7020" w:type="dxa"/>
            <w:tcBorders>
              <w:top w:val="nil"/>
            </w:tcBorders>
          </w:tcPr>
          <w:p>
            <w:pPr>
              <w:pStyle w:val="1"/>
              <w:jc w:val="both"/>
            </w:pPr>
            <w:r>
              <w:rPr>
                <w:sz w:val="20"/>
              </w:rPr>
              <w:t xml:space="preserve">Thallium and its compounds, expressed as thallium (Tl)    </w:t>
            </w:r>
          </w:p>
        </w:tc>
        <w:tc>
          <w:tcPr>
            <w:tcBorders>
              <w:top w:val="nil"/>
            </w:tcBorders>
            <w:vMerge w:val="continue"/>
          </w:tcPr>
          <w:p/>
        </w:tc>
      </w:tr>
      <w:tr>
        <w:trPr>
          <w:trHeight w:val="240" w:hRule="atLeast"/>
        </w:trPr>
        <w:tc>
          <w:tcPr>
            <w:tcW w:w="7020" w:type="dxa"/>
            <w:tcBorders>
              <w:top w:val="nil"/>
            </w:tcBorders>
          </w:tcPr>
          <w:p>
            <w:pPr>
              <w:pStyle w:val="1"/>
              <w:jc w:val="both"/>
            </w:pPr>
            <w:r>
              <w:rPr>
                <w:sz w:val="20"/>
              </w:rPr>
              <w:t xml:space="preserve">Mercury and its compounds, expressed as mercury (Hg)      </w:t>
            </w:r>
          </w:p>
        </w:tc>
        <w:tc>
          <w:tcPr>
            <w:tcW w:w="1872" w:type="dxa"/>
            <w:tcBorders>
              <w:top w:val="nil"/>
            </w:tcBorders>
          </w:tcPr>
          <w:p>
            <w:pPr>
              <w:pStyle w:val="1"/>
              <w:jc w:val="both"/>
            </w:pPr>
            <w:r>
              <w:rPr>
                <w:sz w:val="20"/>
              </w:rPr>
              <w:t xml:space="preserve">       0,05   </w:t>
            </w:r>
          </w:p>
        </w:tc>
      </w:tr>
      <w:tr>
        <w:trPr>
          <w:trHeight w:val="240" w:hRule="atLeast"/>
        </w:trPr>
        <w:tc>
          <w:tcPr>
            <w:tcW w:w="7020" w:type="dxa"/>
            <w:tcBorders>
              <w:top w:val="nil"/>
            </w:tcBorders>
          </w:tcPr>
          <w:p>
            <w:pPr>
              <w:pStyle w:val="1"/>
              <w:jc w:val="both"/>
            </w:pPr>
            <w:r>
              <w:rPr>
                <w:sz w:val="20"/>
              </w:rPr>
              <w:t xml:space="preserve">Antimony and its compounds, expressed as antimony (Sb)    </w:t>
            </w:r>
          </w:p>
        </w:tc>
        <w:tc>
          <w:tcPr>
            <w:tcW w:w="1872" w:type="dxa"/>
            <w:tcBorders>
              <w:top w:val="nil"/>
            </w:tcBorders>
            <w:vMerge w:val="restart"/>
          </w:tcPr>
          <w:p>
            <w:pPr>
              <w:pStyle w:val="1"/>
              <w:jc w:val="both"/>
            </w:pPr>
            <w:r>
              <w:rPr>
                <w:sz w:val="20"/>
              </w:rPr>
              <w:t xml:space="preserve">Total: 0,5    </w:t>
            </w:r>
          </w:p>
        </w:tc>
      </w:tr>
      <w:tr>
        <w:trPr>
          <w:trHeight w:val="240" w:hRule="atLeast"/>
        </w:trPr>
        <w:tc>
          <w:tcPr>
            <w:tcW w:w="7020" w:type="dxa"/>
            <w:tcBorders>
              <w:top w:val="nil"/>
            </w:tcBorders>
          </w:tcPr>
          <w:p>
            <w:pPr>
              <w:pStyle w:val="1"/>
              <w:jc w:val="both"/>
            </w:pPr>
            <w:r>
              <w:rPr>
                <w:sz w:val="20"/>
              </w:rPr>
              <w:t xml:space="preserve">Arsenic and its compounds, expressed as arsenic (As)      </w:t>
            </w:r>
          </w:p>
        </w:tc>
        <w:tc>
          <w:tcPr>
            <w:tcBorders>
              <w:top w:val="nil"/>
            </w:tcBorders>
            <w:vMerge w:val="continue"/>
          </w:tcPr>
          <w:p/>
        </w:tc>
      </w:tr>
      <w:tr>
        <w:trPr>
          <w:trHeight w:val="240" w:hRule="atLeast"/>
        </w:trPr>
        <w:tc>
          <w:tcPr>
            <w:tcW w:w="7020" w:type="dxa"/>
            <w:tcBorders>
              <w:top w:val="nil"/>
            </w:tcBorders>
          </w:tcPr>
          <w:p>
            <w:pPr>
              <w:pStyle w:val="1"/>
              <w:jc w:val="both"/>
            </w:pPr>
            <w:r>
              <w:rPr>
                <w:sz w:val="20"/>
              </w:rPr>
              <w:t xml:space="preserve">Lead and its compounds, expressed as lead (Pb)            </w:t>
            </w:r>
          </w:p>
        </w:tc>
        <w:tc>
          <w:tcPr>
            <w:tcBorders>
              <w:top w:val="nil"/>
            </w:tcBorders>
            <w:vMerge w:val="continue"/>
          </w:tcPr>
          <w:p/>
        </w:tc>
      </w:tr>
      <w:tr>
        <w:trPr>
          <w:trHeight w:val="240" w:hRule="atLeast"/>
        </w:trPr>
        <w:tc>
          <w:tcPr>
            <w:tcW w:w="7020" w:type="dxa"/>
            <w:tcBorders>
              <w:top w:val="nil"/>
            </w:tcBorders>
          </w:tcPr>
          <w:p>
            <w:pPr>
              <w:pStyle w:val="1"/>
              <w:jc w:val="both"/>
            </w:pPr>
            <w:r>
              <w:rPr>
                <w:sz w:val="20"/>
              </w:rPr>
              <w:t xml:space="preserve">Chromium and its compounds, expressed as chromium (Cr)    </w:t>
            </w:r>
          </w:p>
        </w:tc>
        <w:tc>
          <w:tcPr>
            <w:tcBorders>
              <w:top w:val="nil"/>
            </w:tcBorders>
            <w:vMerge w:val="continue"/>
          </w:tcPr>
          <w:p/>
        </w:tc>
      </w:tr>
      <w:tr>
        <w:trPr>
          <w:trHeight w:val="240" w:hRule="atLeast"/>
        </w:trPr>
        <w:tc>
          <w:tcPr>
            <w:tcW w:w="7020" w:type="dxa"/>
            <w:tcBorders>
              <w:top w:val="nil"/>
            </w:tcBorders>
          </w:tcPr>
          <w:p>
            <w:pPr>
              <w:pStyle w:val="1"/>
              <w:jc w:val="both"/>
            </w:pPr>
            <w:r>
              <w:rPr>
                <w:sz w:val="20"/>
              </w:rPr>
              <w:t xml:space="preserve">Cobalt and its compounds, expressed as cobalt (Co)        </w:t>
            </w:r>
          </w:p>
        </w:tc>
        <w:tc>
          <w:tcPr>
            <w:tcBorders>
              <w:top w:val="nil"/>
            </w:tcBorders>
            <w:vMerge w:val="continue"/>
          </w:tcPr>
          <w:p/>
        </w:tc>
      </w:tr>
      <w:tr>
        <w:trPr>
          <w:trHeight w:val="240" w:hRule="atLeast"/>
        </w:trPr>
        <w:tc>
          <w:tcPr>
            <w:tcW w:w="7020" w:type="dxa"/>
            <w:tcBorders>
              <w:top w:val="nil"/>
            </w:tcBorders>
          </w:tcPr>
          <w:p>
            <w:pPr>
              <w:pStyle w:val="1"/>
              <w:jc w:val="both"/>
            </w:pPr>
            <w:r>
              <w:rPr>
                <w:sz w:val="20"/>
              </w:rPr>
              <w:t xml:space="preserve">Copper and its compounds, expressed as copper (Cu)        </w:t>
            </w:r>
          </w:p>
        </w:tc>
        <w:tc>
          <w:tcPr>
            <w:tcBorders>
              <w:top w:val="nil"/>
            </w:tcBorders>
            <w:vMerge w:val="continue"/>
          </w:tcPr>
          <w:p/>
        </w:tc>
      </w:tr>
      <w:tr>
        <w:trPr>
          <w:trHeight w:val="240" w:hRule="atLeast"/>
        </w:trPr>
        <w:tc>
          <w:tcPr>
            <w:tcW w:w="7020" w:type="dxa"/>
            <w:tcBorders>
              <w:top w:val="nil"/>
            </w:tcBorders>
          </w:tcPr>
          <w:p>
            <w:pPr>
              <w:pStyle w:val="1"/>
              <w:jc w:val="both"/>
            </w:pPr>
            <w:r>
              <w:rPr>
                <w:sz w:val="20"/>
              </w:rPr>
              <w:t xml:space="preserve">Manganese and its compounds, expressed as manganese (Mn)  </w:t>
            </w:r>
          </w:p>
        </w:tc>
        <w:tc>
          <w:tcPr>
            <w:tcBorders>
              <w:top w:val="nil"/>
            </w:tcBorders>
            <w:vMerge w:val="continue"/>
          </w:tcPr>
          <w:p/>
        </w:tc>
      </w:tr>
      <w:tr>
        <w:trPr>
          <w:trHeight w:val="240" w:hRule="atLeast"/>
        </w:trPr>
        <w:tc>
          <w:tcPr>
            <w:tcW w:w="7020" w:type="dxa"/>
            <w:tcBorders>
              <w:top w:val="nil"/>
            </w:tcBorders>
          </w:tcPr>
          <w:p>
            <w:pPr>
              <w:pStyle w:val="1"/>
              <w:jc w:val="both"/>
            </w:pPr>
            <w:r>
              <w:rPr>
                <w:sz w:val="20"/>
              </w:rPr>
              <w:t xml:space="preserve">Nickel and its compounds, expressed as nickel (Ni)        </w:t>
            </w:r>
          </w:p>
        </w:tc>
        <w:tc>
          <w:tcPr>
            <w:tcBorders>
              <w:top w:val="nil"/>
            </w:tcBorders>
            <w:vMerge w:val="continue"/>
          </w:tcPr>
          <w:p/>
        </w:tc>
      </w:tr>
      <w:tr>
        <w:trPr>
          <w:trHeight w:val="240" w:hRule="atLeast"/>
        </w:trPr>
        <w:tc>
          <w:tcPr>
            <w:tcW w:w="7020" w:type="dxa"/>
            <w:tcBorders>
              <w:top w:val="nil"/>
            </w:tcBorders>
          </w:tcPr>
          <w:p>
            <w:pPr>
              <w:pStyle w:val="1"/>
              <w:jc w:val="both"/>
            </w:pPr>
            <w:r>
              <w:rPr>
                <w:sz w:val="20"/>
              </w:rPr>
              <w:t xml:space="preserve">Vanadium and its compounds, expressed as vanadium (V)     </w:t>
            </w:r>
          </w:p>
        </w:tc>
        <w:tc>
          <w:tcPr>
            <w:tcBorders>
              <w:top w:val="nil"/>
            </w:tcBorders>
            <w:vMerge w:val="continue"/>
          </w:tcPr>
          <w:p/>
        </w:tc>
      </w:tr>
    </w:tbl>
    <w:p>
      <w:pPr>
        <w:pStyle w:val="0"/>
        <w:ind w:firstLine="540"/>
        <w:jc w:val="both"/>
      </w:pPr>
      <w:r>
        <w:rPr>
          <w:sz w:val="20"/>
        </w:rPr>
      </w:r>
    </w:p>
    <w:p>
      <w:pPr>
        <w:pStyle w:val="0"/>
        <w:ind w:firstLine="540"/>
        <w:jc w:val="both"/>
      </w:pPr>
      <w:r>
        <w:rPr>
          <w:sz w:val="20"/>
        </w:rPr>
        <w:t xml:space="preserve">These average values cover also the gaseous and the vapour forms of the relevant heavy metal emissions as well as their compounds.</w:t>
      </w:r>
    </w:p>
    <w:p>
      <w:pPr>
        <w:pStyle w:val="1"/>
        <w:spacing w:before="200" w:line-rule="auto"/>
        <w:jc w:val="both"/>
      </w:pPr>
      <w:r>
        <w:rPr>
          <w:sz w:val="20"/>
        </w:rPr>
        <w:t xml:space="preserve">                                             3</w:t>
      </w:r>
    </w:p>
    <w:p>
      <w:pPr>
        <w:pStyle w:val="1"/>
        <w:jc w:val="both"/>
      </w:pPr>
      <w:r>
        <w:rPr>
          <w:sz w:val="20"/>
        </w:rPr>
        <w:t xml:space="preserve">    1.4.  Average emission limit value (ng/Nm ) for dioxins and furans over</w:t>
      </w:r>
    </w:p>
    <w:p>
      <w:pPr>
        <w:pStyle w:val="1"/>
        <w:jc w:val="both"/>
      </w:pPr>
      <w:r>
        <w:rPr>
          <w:sz w:val="20"/>
        </w:rPr>
        <w:t xml:space="preserve">a  sampling  period  of  a minimum of 6 hours and a maximum of 8 hours. The</w:t>
      </w:r>
    </w:p>
    <w:p>
      <w:pPr>
        <w:pStyle w:val="1"/>
        <w:jc w:val="both"/>
      </w:pPr>
      <w:r>
        <w:rPr>
          <w:sz w:val="20"/>
        </w:rPr>
        <w:t xml:space="preserve">emission  limit  value  refers  to  the  total concentration of dioxins and</w:t>
      </w:r>
    </w:p>
    <w:p>
      <w:pPr>
        <w:pStyle w:val="1"/>
        <w:jc w:val="both"/>
      </w:pPr>
      <w:r>
        <w:rPr>
          <w:sz w:val="20"/>
        </w:rPr>
        <w:t xml:space="preserve">furans calculated in accordance with Part 2.</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5733"/>
        <w:gridCol w:w="2925"/>
      </w:tblGrid>
      <w:tr>
        <w:trPr>
          <w:trHeight w:val="240" w:hRule="atLeast"/>
        </w:trPr>
        <w:tc>
          <w:tcPr>
            <w:tcW w:w="5850" w:type="dxa"/>
          </w:tcPr>
          <w:p>
            <w:pPr>
              <w:pStyle w:val="1"/>
              <w:jc w:val="both"/>
            </w:pPr>
            <w:r>
              <w:rPr>
                <w:sz w:val="20"/>
              </w:rPr>
              <w:t xml:space="preserve">Dioxins and furans                              </w:t>
            </w:r>
          </w:p>
        </w:tc>
        <w:tc>
          <w:tcPr>
            <w:tcW w:w="3042" w:type="dxa"/>
          </w:tcPr>
          <w:p>
            <w:pPr>
              <w:pStyle w:val="1"/>
              <w:jc w:val="both"/>
            </w:pPr>
            <w:r>
              <w:rPr>
                <w:sz w:val="20"/>
              </w:rPr>
              <w:t xml:space="preserve">                     0,1</w:t>
            </w:r>
          </w:p>
        </w:tc>
      </w:tr>
    </w:tbl>
    <w:p>
      <w:pPr>
        <w:pStyle w:val="0"/>
        <w:ind w:firstLine="540"/>
        <w:jc w:val="both"/>
      </w:pPr>
      <w:r>
        <w:rPr>
          <w:sz w:val="20"/>
        </w:rPr>
      </w:r>
    </w:p>
    <w:p>
      <w:pPr>
        <w:pStyle w:val="1"/>
        <w:jc w:val="both"/>
      </w:pPr>
      <w:r>
        <w:rPr>
          <w:sz w:val="20"/>
        </w:rPr>
        <w:t xml:space="preserve">                                         3</w:t>
      </w:r>
    </w:p>
    <w:p>
      <w:pPr>
        <w:pStyle w:val="1"/>
        <w:jc w:val="both"/>
      </w:pPr>
      <w:r>
        <w:rPr>
          <w:sz w:val="20"/>
        </w:rPr>
        <w:t xml:space="preserve">    1.5.  Emission  limit  values  (mg/Nm ) for carbon monoxide (CO) in the</w:t>
      </w:r>
    </w:p>
    <w:p>
      <w:pPr>
        <w:pStyle w:val="1"/>
        <w:jc w:val="both"/>
      </w:pPr>
      <w:r>
        <w:rPr>
          <w:sz w:val="20"/>
        </w:rPr>
        <w:t xml:space="preserve">waste gases:</w:t>
      </w:r>
    </w:p>
    <w:p>
      <w:pPr>
        <w:pStyle w:val="0"/>
        <w:ind w:firstLine="540"/>
        <w:jc w:val="both"/>
      </w:pPr>
      <w:r>
        <w:rPr>
          <w:sz w:val="20"/>
        </w:rPr>
        <w:t xml:space="preserve">(a) 50 as daily average value;</w:t>
      </w:r>
    </w:p>
    <w:p>
      <w:pPr>
        <w:pStyle w:val="0"/>
        <w:spacing w:before="200" w:line-rule="auto"/>
        <w:ind w:firstLine="540"/>
        <w:jc w:val="both"/>
      </w:pPr>
      <w:r>
        <w:rPr>
          <w:sz w:val="20"/>
        </w:rPr>
        <w:t xml:space="preserve">(b) 100 as half-hourly average value;</w:t>
      </w:r>
    </w:p>
    <w:p>
      <w:pPr>
        <w:pStyle w:val="0"/>
        <w:spacing w:before="200" w:line-rule="auto"/>
        <w:ind w:firstLine="540"/>
        <w:jc w:val="both"/>
      </w:pPr>
      <w:r>
        <w:rPr>
          <w:sz w:val="20"/>
        </w:rPr>
        <w:t xml:space="preserve">(c) 150 as 10-minute average value.</w:t>
      </w:r>
    </w:p>
    <w:p>
      <w:pPr>
        <w:pStyle w:val="1"/>
        <w:spacing w:before="200" w:line-rule="auto"/>
        <w:jc w:val="both"/>
      </w:pPr>
      <w:r>
        <w:rPr>
          <w:sz w:val="20"/>
        </w:rPr>
        <w:t xml:space="preserve">    The  competent  authority  may  authorise  exemptions from the emission</w:t>
      </w:r>
    </w:p>
    <w:p>
      <w:pPr>
        <w:pStyle w:val="1"/>
        <w:jc w:val="both"/>
      </w:pPr>
      <w:r>
        <w:rPr>
          <w:sz w:val="20"/>
        </w:rPr>
        <w:t xml:space="preserve">limit  values  set  out  in  this point for waste incineration plants using</w:t>
      </w:r>
    </w:p>
    <w:p>
      <w:pPr>
        <w:pStyle w:val="1"/>
        <w:jc w:val="both"/>
      </w:pPr>
      <w:r>
        <w:rPr>
          <w:sz w:val="20"/>
        </w:rPr>
        <w:t xml:space="preserve">fluidised  bed  technology, provided that the permit sets an emission limit</w:t>
      </w:r>
    </w:p>
    <w:p>
      <w:pPr>
        <w:pStyle w:val="1"/>
        <w:jc w:val="both"/>
      </w:pPr>
      <w:r>
        <w:rPr>
          <w:sz w:val="20"/>
        </w:rPr>
        <w:t xml:space="preserve">                                                             3</w:t>
      </w:r>
    </w:p>
    <w:p>
      <w:pPr>
        <w:pStyle w:val="1"/>
        <w:jc w:val="both"/>
      </w:pPr>
      <w:r>
        <w:rPr>
          <w:sz w:val="20"/>
        </w:rPr>
        <w:t xml:space="preserve">value  for  carbon  monoxide  (CO) of not more than 100 mg/Nm  as an hourly</w:t>
      </w:r>
    </w:p>
    <w:p>
      <w:pPr>
        <w:pStyle w:val="1"/>
        <w:jc w:val="both"/>
      </w:pPr>
      <w:r>
        <w:rPr>
          <w:sz w:val="20"/>
        </w:rPr>
        <w:t xml:space="preserve">average value.</w:t>
      </w:r>
    </w:p>
    <w:p>
      <w:pPr>
        <w:pStyle w:val="0"/>
        <w:ind w:firstLine="540"/>
        <w:jc w:val="both"/>
      </w:pPr>
      <w:r>
        <w:rPr>
          <w:sz w:val="20"/>
        </w:rPr>
        <w:t xml:space="preserve">2. Emission limit values applicable in the circumstances described in Article 46 (6) and Article 47.</w:t>
      </w:r>
    </w:p>
    <w:p>
      <w:pPr>
        <w:pStyle w:val="1"/>
        <w:spacing w:before="200" w:line-rule="auto"/>
        <w:jc w:val="both"/>
      </w:pPr>
      <w:r>
        <w:rPr>
          <w:sz w:val="20"/>
        </w:rPr>
        <w:t xml:space="preserve">    The  total  dust concentration in the emissions into the air of a waste</w:t>
      </w:r>
    </w:p>
    <w:p>
      <w:pPr>
        <w:pStyle w:val="1"/>
        <w:jc w:val="both"/>
      </w:pPr>
      <w:r>
        <w:rPr>
          <w:sz w:val="20"/>
        </w:rPr>
        <w:t xml:space="preserve">                                                                3</w:t>
      </w:r>
    </w:p>
    <w:p>
      <w:pPr>
        <w:pStyle w:val="1"/>
        <w:jc w:val="both"/>
      </w:pPr>
      <w:r>
        <w:rPr>
          <w:sz w:val="20"/>
        </w:rPr>
        <w:t xml:space="preserve">incineration plant shall under no circumstances exceed 150 mg/Nm  expressed</w:t>
      </w:r>
    </w:p>
    <w:p>
      <w:pPr>
        <w:pStyle w:val="1"/>
        <w:jc w:val="both"/>
      </w:pPr>
      <w:r>
        <w:rPr>
          <w:sz w:val="20"/>
        </w:rPr>
        <w:t xml:space="preserve">as  a half-hourly average. The air emission limit values for TOC and CO set</w:t>
      </w:r>
    </w:p>
    <w:p>
      <w:pPr>
        <w:pStyle w:val="1"/>
        <w:jc w:val="both"/>
      </w:pPr>
      <w:r>
        <w:rPr>
          <w:sz w:val="20"/>
        </w:rPr>
        <w:t xml:space="preserve">out in points 1.2 and 1.5 (b) shall not be exceeded.</w:t>
      </w:r>
    </w:p>
    <w:p>
      <w:pPr>
        <w:pStyle w:val="0"/>
        <w:ind w:firstLine="540"/>
        <w:jc w:val="both"/>
      </w:pPr>
      <w:r>
        <w:rPr>
          <w:sz w:val="20"/>
        </w:rPr>
        <w:t xml:space="preserve">3. Member States may lay down rules governing the exemptions provided for in this Part.</w:t>
      </w:r>
    </w:p>
    <w:p>
      <w:pPr>
        <w:pStyle w:val="0"/>
        <w:jc w:val="center"/>
      </w:pPr>
      <w:r>
        <w:rPr>
          <w:sz w:val="20"/>
        </w:rPr>
      </w:r>
    </w:p>
    <w:p>
      <w:pPr>
        <w:pStyle w:val="0"/>
        <w:outlineLvl w:val="1"/>
        <w:jc w:val="center"/>
      </w:pPr>
      <w:r>
        <w:rPr>
          <w:sz w:val="20"/>
        </w:rPr>
        <w:t xml:space="preserve">Part 4</w:t>
      </w:r>
    </w:p>
    <w:p>
      <w:pPr>
        <w:pStyle w:val="0"/>
        <w:jc w:val="center"/>
      </w:pPr>
      <w:r>
        <w:rPr>
          <w:sz w:val="20"/>
        </w:rPr>
      </w:r>
    </w:p>
    <w:p>
      <w:pPr>
        <w:pStyle w:val="0"/>
        <w:jc w:val="center"/>
      </w:pPr>
      <w:r>
        <w:rPr>
          <w:sz w:val="20"/>
        </w:rPr>
        <w:t xml:space="preserve">Determination of air emission limit values</w:t>
      </w:r>
    </w:p>
    <w:p>
      <w:pPr>
        <w:pStyle w:val="0"/>
        <w:jc w:val="center"/>
      </w:pPr>
      <w:r>
        <w:rPr>
          <w:sz w:val="20"/>
        </w:rPr>
        <w:t xml:space="preserve">for the co-incineration of waste</w:t>
      </w:r>
    </w:p>
    <w:p>
      <w:pPr>
        <w:pStyle w:val="0"/>
        <w:jc w:val="center"/>
      </w:pPr>
      <w:r>
        <w:rPr>
          <w:sz w:val="20"/>
        </w:rPr>
      </w:r>
    </w:p>
    <w:p>
      <w:pPr>
        <w:pStyle w:val="0"/>
        <w:ind w:firstLine="540"/>
        <w:jc w:val="both"/>
      </w:pPr>
      <w:r>
        <w:rPr>
          <w:sz w:val="20"/>
        </w:rPr>
        <w:t xml:space="preserve">1. The following formula (mixing rule) shall be applied whenever a specific total emission limit value "C" has not been set out in a table in this Part.</w:t>
      </w:r>
    </w:p>
    <w:p>
      <w:pPr>
        <w:pStyle w:val="0"/>
        <w:spacing w:before="200" w:line-rule="auto"/>
        <w:ind w:firstLine="540"/>
        <w:jc w:val="both"/>
      </w:pPr>
      <w:r>
        <w:rPr>
          <w:sz w:val="20"/>
        </w:rPr>
        <w:t xml:space="preserve">The emission limit value for each relevant polluting substance and CO in the waste gas resulting from the co-incineration of waste shall be calculated as follows:</w:t>
      </w:r>
    </w:p>
    <w:p>
      <w:pPr>
        <w:pStyle w:val="0"/>
        <w:ind w:firstLine="540"/>
        <w:jc w:val="both"/>
      </w:pPr>
      <w:r>
        <w:rPr>
          <w:sz w:val="20"/>
        </w:rPr>
      </w:r>
    </w:p>
    <w:p>
      <w:pPr>
        <w:pStyle w:val="1"/>
        <w:jc w:val="both"/>
      </w:pPr>
      <w:r>
        <w:rPr>
          <w:sz w:val="20"/>
        </w:rPr>
        <w:t xml:space="preserve">                   V      x C      + V     x C</w:t>
      </w:r>
    </w:p>
    <w:p>
      <w:pPr>
        <w:pStyle w:val="1"/>
        <w:jc w:val="both"/>
      </w:pPr>
      <w:r>
        <w:rPr>
          <w:sz w:val="20"/>
        </w:rPr>
        <w:t xml:space="preserve">                    waste    waste    proc    proc</w:t>
      </w:r>
    </w:p>
    <w:p>
      <w:pPr>
        <w:pStyle w:val="1"/>
        <w:jc w:val="both"/>
      </w:pPr>
      <w:r>
        <w:rPr>
          <w:sz w:val="20"/>
        </w:rPr>
        <w:t xml:space="preserve">                  --------------------------------- = C</w:t>
      </w:r>
    </w:p>
    <w:p>
      <w:pPr>
        <w:pStyle w:val="1"/>
        <w:jc w:val="both"/>
      </w:pPr>
      <w:r>
        <w:rPr>
          <w:sz w:val="20"/>
        </w:rPr>
        <w:t xml:space="preserve">                            V      + C</w:t>
      </w:r>
    </w:p>
    <w:p>
      <w:pPr>
        <w:pStyle w:val="1"/>
        <w:jc w:val="both"/>
      </w:pPr>
      <w:r>
        <w:rPr>
          <w:sz w:val="20"/>
        </w:rPr>
        <w:t xml:space="preserve">                             waste    proc</w:t>
      </w:r>
    </w:p>
    <w:p>
      <w:pPr>
        <w:pStyle w:val="0"/>
        <w:jc w:val="center"/>
      </w:pPr>
      <w:r>
        <w:rPr>
          <w:sz w:val="20"/>
        </w:rPr>
      </w:r>
    </w:p>
    <w:p>
      <w:pPr>
        <w:pStyle w:val="1"/>
        <w:jc w:val="both"/>
      </w:pPr>
      <w:r>
        <w:rPr>
          <w:sz w:val="20"/>
        </w:rPr>
        <w:t xml:space="preserve">    V      : waste gas volume resulting from the incineration of waste only</w:t>
      </w:r>
    </w:p>
    <w:p>
      <w:pPr>
        <w:pStyle w:val="1"/>
        <w:jc w:val="both"/>
      </w:pPr>
      <w:r>
        <w:rPr>
          <w:sz w:val="20"/>
        </w:rPr>
        <w:t xml:space="preserve">     waste</w:t>
      </w:r>
    </w:p>
    <w:p>
      <w:pPr>
        <w:pStyle w:val="1"/>
        <w:jc w:val="both"/>
      </w:pPr>
      <w:r>
        <w:rPr>
          <w:sz w:val="20"/>
        </w:rPr>
        <w:t xml:space="preserve">determined  from the waste with the lowest calorific value specified in the</w:t>
      </w:r>
    </w:p>
    <w:p>
      <w:pPr>
        <w:pStyle w:val="1"/>
        <w:jc w:val="both"/>
      </w:pPr>
      <w:r>
        <w:rPr>
          <w:sz w:val="20"/>
        </w:rPr>
        <w:t xml:space="preserve">permit and standardised at the conditions given by this Directive.</w:t>
      </w:r>
    </w:p>
    <w:p>
      <w:pPr>
        <w:pStyle w:val="1"/>
        <w:jc w:val="both"/>
      </w:pPr>
      <w:r>
        <w:rPr>
          <w:sz w:val="20"/>
        </w:rPr>
        <w:t xml:space="preserve">    If  the resulting heat release from the incineration of hazardous waste</w:t>
      </w:r>
    </w:p>
    <w:p>
      <w:pPr>
        <w:pStyle w:val="1"/>
        <w:jc w:val="both"/>
      </w:pPr>
      <w:r>
        <w:rPr>
          <w:sz w:val="20"/>
        </w:rPr>
        <w:t xml:space="preserve">amounts  to  less  than 10% of the total heat released in the plant, V</w:t>
      </w:r>
    </w:p>
    <w:p>
      <w:pPr>
        <w:pStyle w:val="1"/>
        <w:jc w:val="both"/>
      </w:pPr>
      <w:r>
        <w:rPr>
          <w:sz w:val="20"/>
        </w:rPr>
        <w:t xml:space="preserve">                                                                      waste</w:t>
      </w:r>
    </w:p>
    <w:p>
      <w:pPr>
        <w:pStyle w:val="1"/>
        <w:jc w:val="both"/>
      </w:pPr>
      <w:r>
        <w:rPr>
          <w:sz w:val="20"/>
        </w:rPr>
        <w:t xml:space="preserve">must  be  calculated  from  a  (notional)  quantity  of  waste  that, being</w:t>
      </w:r>
    </w:p>
    <w:p>
      <w:pPr>
        <w:pStyle w:val="1"/>
        <w:jc w:val="both"/>
      </w:pPr>
      <w:r>
        <w:rPr>
          <w:sz w:val="20"/>
        </w:rPr>
        <w:t xml:space="preserve">incinerated,  would  equal  10%  heat release, the total heat release being</w:t>
      </w:r>
    </w:p>
    <w:p>
      <w:pPr>
        <w:pStyle w:val="1"/>
        <w:jc w:val="both"/>
      </w:pPr>
      <w:r>
        <w:rPr>
          <w:sz w:val="20"/>
        </w:rPr>
        <w:t xml:space="preserve">fixed.</w:t>
      </w:r>
    </w:p>
    <w:p>
      <w:pPr>
        <w:pStyle w:val="1"/>
        <w:jc w:val="both"/>
      </w:pPr>
      <w:r>
        <w:rPr>
          <w:sz w:val="20"/>
        </w:rPr>
      </w:r>
    </w:p>
    <w:p>
      <w:pPr>
        <w:pStyle w:val="1"/>
        <w:jc w:val="both"/>
      </w:pPr>
      <w:r>
        <w:rPr>
          <w:sz w:val="20"/>
        </w:rPr>
        <w:t xml:space="preserve">    C      : emission limit values for waste incineration plants set out in</w:t>
      </w:r>
    </w:p>
    <w:p>
      <w:pPr>
        <w:pStyle w:val="1"/>
        <w:jc w:val="both"/>
      </w:pPr>
      <w:r>
        <w:rPr>
          <w:sz w:val="20"/>
        </w:rPr>
        <w:t xml:space="preserve">     waste   Part 3</w:t>
      </w:r>
    </w:p>
    <w:p>
      <w:pPr>
        <w:pStyle w:val="1"/>
        <w:jc w:val="both"/>
      </w:pPr>
      <w:r>
        <w:rPr>
          <w:sz w:val="20"/>
        </w:rPr>
      </w:r>
    </w:p>
    <w:p>
      <w:pPr>
        <w:pStyle w:val="1"/>
        <w:jc w:val="both"/>
      </w:pPr>
      <w:r>
        <w:rPr>
          <w:sz w:val="20"/>
        </w:rPr>
        <w:t xml:space="preserve">    V      : waste gas volume  resulting from the plant  process  including</w:t>
      </w:r>
    </w:p>
    <w:p>
      <w:pPr>
        <w:pStyle w:val="1"/>
        <w:jc w:val="both"/>
      </w:pPr>
      <w:r>
        <w:rPr>
          <w:sz w:val="20"/>
        </w:rPr>
        <w:t xml:space="preserve">     proc</w:t>
      </w:r>
    </w:p>
    <w:p>
      <w:pPr>
        <w:pStyle w:val="1"/>
        <w:jc w:val="both"/>
      </w:pPr>
      <w:r>
        <w:rPr>
          <w:sz w:val="20"/>
        </w:rPr>
        <w:t xml:space="preserve">the combustion of the  authorised  fuels normally used in the plant (wastes</w:t>
      </w:r>
    </w:p>
    <w:p>
      <w:pPr>
        <w:pStyle w:val="1"/>
        <w:jc w:val="both"/>
      </w:pPr>
      <w:r>
        <w:rPr>
          <w:sz w:val="20"/>
        </w:rPr>
        <w:t xml:space="preserve">excluded) determined on the basis of oxygen contents at which the emissions</w:t>
      </w:r>
    </w:p>
    <w:p>
      <w:pPr>
        <w:pStyle w:val="1"/>
        <w:jc w:val="both"/>
      </w:pPr>
      <w:r>
        <w:rPr>
          <w:sz w:val="20"/>
        </w:rPr>
        <w:t xml:space="preserve">must be standardised as set out in Union or national law. In the absence of</w:t>
      </w:r>
    </w:p>
    <w:p>
      <w:pPr>
        <w:pStyle w:val="1"/>
        <w:jc w:val="both"/>
      </w:pPr>
      <w:r>
        <w:rPr>
          <w:sz w:val="20"/>
        </w:rPr>
        <w:t xml:space="preserve">legislation  for  this  kind of plant, the real oxygen content in the waste</w:t>
      </w:r>
    </w:p>
    <w:p>
      <w:pPr>
        <w:pStyle w:val="1"/>
        <w:jc w:val="both"/>
      </w:pPr>
      <w:r>
        <w:rPr>
          <w:sz w:val="20"/>
        </w:rPr>
        <w:t xml:space="preserve">gas  without  being  thinned by addition of air unnecessary for the process</w:t>
      </w:r>
    </w:p>
    <w:p>
      <w:pPr>
        <w:pStyle w:val="1"/>
        <w:jc w:val="both"/>
      </w:pPr>
      <w:r>
        <w:rPr>
          <w:sz w:val="20"/>
        </w:rPr>
        <w:t xml:space="preserve">must be used.</w:t>
      </w:r>
    </w:p>
    <w:p>
      <w:pPr>
        <w:pStyle w:val="1"/>
        <w:jc w:val="both"/>
      </w:pPr>
      <w:r>
        <w:rPr>
          <w:sz w:val="20"/>
        </w:rPr>
      </w:r>
    </w:p>
    <w:p>
      <w:pPr>
        <w:pStyle w:val="1"/>
        <w:jc w:val="both"/>
      </w:pPr>
      <w:r>
        <w:rPr>
          <w:sz w:val="20"/>
        </w:rPr>
        <w:t xml:space="preserve">    C      : emission  limit  values as  set  out  in this Part for certain</w:t>
      </w:r>
    </w:p>
    <w:p>
      <w:pPr>
        <w:pStyle w:val="1"/>
        <w:jc w:val="both"/>
      </w:pPr>
      <w:r>
        <w:rPr>
          <w:sz w:val="20"/>
        </w:rPr>
        <w:t xml:space="preserve">     proc</w:t>
      </w:r>
    </w:p>
    <w:p>
      <w:pPr>
        <w:pStyle w:val="1"/>
        <w:jc w:val="both"/>
      </w:pPr>
      <w:r>
        <w:rPr>
          <w:sz w:val="20"/>
        </w:rPr>
        <w:t xml:space="preserve">industrial  activities  or  in case of the absence of such values, emission</w:t>
      </w:r>
    </w:p>
    <w:p>
      <w:pPr>
        <w:pStyle w:val="1"/>
        <w:jc w:val="both"/>
      </w:pPr>
      <w:r>
        <w:rPr>
          <w:sz w:val="20"/>
        </w:rPr>
        <w:t xml:space="preserve">limit values of plants which comply with the national laws, regulations and</w:t>
      </w:r>
    </w:p>
    <w:p>
      <w:pPr>
        <w:pStyle w:val="1"/>
        <w:jc w:val="both"/>
      </w:pPr>
      <w:r>
        <w:rPr>
          <w:sz w:val="20"/>
        </w:rPr>
        <w:t xml:space="preserve">administrative  provisions  for  such  plants  while  burning  the normally</w:t>
      </w:r>
    </w:p>
    <w:p>
      <w:pPr>
        <w:pStyle w:val="1"/>
        <w:jc w:val="both"/>
      </w:pPr>
      <w:r>
        <w:rPr>
          <w:sz w:val="20"/>
        </w:rPr>
        <w:t xml:space="preserve">authorised  fuels  (wastes  excluded). In the absence of these measures the</w:t>
      </w:r>
    </w:p>
    <w:p>
      <w:pPr>
        <w:pStyle w:val="1"/>
        <w:jc w:val="both"/>
      </w:pPr>
      <w:r>
        <w:rPr>
          <w:sz w:val="20"/>
        </w:rPr>
        <w:t xml:space="preserve">emission  limit  values  set  out in the permit are used. In the absence of</w:t>
      </w:r>
    </w:p>
    <w:p>
      <w:pPr>
        <w:pStyle w:val="1"/>
        <w:jc w:val="both"/>
      </w:pPr>
      <w:r>
        <w:rPr>
          <w:sz w:val="20"/>
        </w:rPr>
        <w:t xml:space="preserve">such permit values the real mass concentrations are used.</w:t>
      </w:r>
    </w:p>
    <w:p>
      <w:pPr>
        <w:pStyle w:val="0"/>
        <w:ind w:firstLine="540"/>
        <w:jc w:val="both"/>
      </w:pPr>
      <w:r>
        <w:rPr>
          <w:sz w:val="20"/>
        </w:rPr>
      </w:r>
    </w:p>
    <w:p>
      <w:pPr>
        <w:pStyle w:val="0"/>
        <w:ind w:firstLine="540"/>
        <w:jc w:val="both"/>
      </w:pPr>
      <w:r>
        <w:rPr>
          <w:sz w:val="20"/>
        </w:rPr>
        <w:t xml:space="preserve">C: total emission limit values at an oxygen content as set out in this Part for certain industrial activities and certain polluting substances or, in case of the absence of such values, total emission limit values replacing the emission limit values as set out in specific Annexes of this Directive. The total oxygen content to replace the oxygen content for the standardisation is calculated on the basis of the content above respecting the partial volumes.</w:t>
      </w:r>
    </w:p>
    <w:p>
      <w:pPr>
        <w:pStyle w:val="0"/>
        <w:spacing w:before="200" w:line-rule="auto"/>
        <w:ind w:firstLine="540"/>
        <w:jc w:val="both"/>
      </w:pPr>
      <w:r>
        <w:rPr>
          <w:sz w:val="20"/>
        </w:rPr>
        <w:t xml:space="preserve">All emission limit values shall be calculated at a temperature of 273,15 K, a pressure of 101,3 kPa and after correcting for the water vapour content of the waste gases.</w:t>
      </w:r>
    </w:p>
    <w:p>
      <w:pPr>
        <w:pStyle w:val="0"/>
        <w:spacing w:before="200" w:line-rule="auto"/>
        <w:ind w:firstLine="540"/>
        <w:jc w:val="both"/>
      </w:pPr>
      <w:r>
        <w:rPr>
          <w:sz w:val="20"/>
        </w:rPr>
        <w:t xml:space="preserve">Member States may lay down rules governing the exemptions provided for in this Part.</w:t>
      </w:r>
    </w:p>
    <w:p>
      <w:pPr>
        <w:pStyle w:val="0"/>
        <w:spacing w:before="200" w:line-rule="auto"/>
        <w:ind w:firstLine="540"/>
        <w:jc w:val="both"/>
      </w:pPr>
      <w:r>
        <w:rPr>
          <w:sz w:val="20"/>
        </w:rPr>
        <w:t xml:space="preserve">2. Special provisions for cement kilns co-incinerating waste</w:t>
      </w:r>
    </w:p>
    <w:p>
      <w:pPr>
        <w:pStyle w:val="1"/>
        <w:spacing w:before="200" w:line-rule="auto"/>
        <w:jc w:val="both"/>
      </w:pPr>
      <w:r>
        <w:rPr>
          <w:sz w:val="20"/>
        </w:rPr>
        <w:t xml:space="preserve">    2.1.  The  emission limit values set out in points 2.2 and 2.3 apply as</w:t>
      </w:r>
    </w:p>
    <w:p>
      <w:pPr>
        <w:pStyle w:val="1"/>
        <w:jc w:val="both"/>
      </w:pPr>
      <w:r>
        <w:rPr>
          <w:sz w:val="20"/>
        </w:rPr>
        <w:t xml:space="preserve">daily  average  values  for  total  dust,  HCl,  HF,  NO , SO  and TOC (for</w:t>
      </w:r>
    </w:p>
    <w:p>
      <w:pPr>
        <w:pStyle w:val="1"/>
        <w:jc w:val="both"/>
      </w:pPr>
      <w:r>
        <w:rPr>
          <w:sz w:val="20"/>
        </w:rPr>
        <w:t xml:space="preserve">                                                        x    2</w:t>
      </w:r>
    </w:p>
    <w:p>
      <w:pPr>
        <w:pStyle w:val="1"/>
        <w:jc w:val="both"/>
      </w:pPr>
      <w:r>
        <w:rPr>
          <w:sz w:val="20"/>
        </w:rPr>
        <w:t xml:space="preserve">continuous  measurements),  as average values over the sampling period of a</w:t>
      </w:r>
    </w:p>
    <w:p>
      <w:pPr>
        <w:pStyle w:val="1"/>
        <w:jc w:val="both"/>
      </w:pPr>
      <w:r>
        <w:rPr>
          <w:sz w:val="20"/>
        </w:rPr>
        <w:t xml:space="preserve">minimum  of  30  minutes  and  a maximum of 8 hours for heavy metals and as</w:t>
      </w:r>
    </w:p>
    <w:p>
      <w:pPr>
        <w:pStyle w:val="1"/>
        <w:jc w:val="both"/>
      </w:pPr>
      <w:r>
        <w:rPr>
          <w:sz w:val="20"/>
        </w:rPr>
        <w:t xml:space="preserve">average  values  over  the  sampling  period  of a minimum of 6 hours and a</w:t>
      </w:r>
    </w:p>
    <w:p>
      <w:pPr>
        <w:pStyle w:val="1"/>
        <w:jc w:val="both"/>
      </w:pPr>
      <w:r>
        <w:rPr>
          <w:sz w:val="20"/>
        </w:rPr>
        <w:t xml:space="preserve">maximum of 8 hours for dioxins and furans.</w:t>
      </w:r>
    </w:p>
    <w:p>
      <w:pPr>
        <w:pStyle w:val="0"/>
        <w:ind w:firstLine="540"/>
        <w:jc w:val="both"/>
      </w:pPr>
      <w:r>
        <w:rPr>
          <w:sz w:val="20"/>
        </w:rPr>
        <w:t xml:space="preserve">All values are standardised at 10% oxygen.</w:t>
      </w:r>
    </w:p>
    <w:p>
      <w:pPr>
        <w:pStyle w:val="0"/>
        <w:spacing w:before="200" w:line-rule="auto"/>
        <w:ind w:firstLine="540"/>
        <w:jc w:val="both"/>
      </w:pPr>
      <w:r>
        <w:rPr>
          <w:sz w:val="20"/>
        </w:rPr>
        <w:t xml:space="preserve">Half-hourly average values shall only be needed in view of calculating the daily average values.</w:t>
      </w:r>
    </w:p>
    <w:p>
      <w:pPr>
        <w:pStyle w:val="1"/>
        <w:spacing w:before="200" w:line-rule="auto"/>
        <w:jc w:val="both"/>
      </w:pPr>
      <w:r>
        <w:rPr>
          <w:sz w:val="20"/>
        </w:rPr>
        <w:t xml:space="preserve">                                                   3</w:t>
      </w:r>
    </w:p>
    <w:p>
      <w:pPr>
        <w:pStyle w:val="1"/>
        <w:jc w:val="both"/>
      </w:pPr>
      <w:r>
        <w:rPr>
          <w:sz w:val="20"/>
        </w:rPr>
        <w:t xml:space="preserve">    2.2.  C  -  total  emission limit values (mg/Nm  except for dioxins and</w:t>
      </w:r>
    </w:p>
    <w:p>
      <w:pPr>
        <w:pStyle w:val="1"/>
        <w:jc w:val="both"/>
      </w:pPr>
      <w:r>
        <w:rPr>
          <w:sz w:val="20"/>
        </w:rPr>
        <w:t xml:space="preserve">furans) for the following-polluting substances</w:t>
      </w:r>
    </w:p>
    <w:p>
      <w:pPr>
        <w:pStyle w:val="0"/>
        <w:ind w:firstLine="540"/>
        <w:jc w:val="both"/>
      </w:pPr>
      <w:r>
        <w:rPr>
          <w:sz w:val="20"/>
        </w:rPr>
      </w:r>
    </w:p>
    <w:p>
      <w:pPr>
        <w:pStyle w:val="3"/>
        <w:jc w:val="both"/>
      </w:pPr>
      <w:r>
        <w:rPr>
          <w:sz w:val="20"/>
        </w:rPr>
        <w:t xml:space="preserve">┌──────────────────────────────────────────────────────────┬──────────────┐</w:t>
      </w:r>
    </w:p>
    <w:p>
      <w:pPr>
        <w:pStyle w:val="3"/>
        <w:jc w:val="both"/>
      </w:pPr>
      <w:r>
        <w:rPr>
          <w:sz w:val="20"/>
        </w:rPr>
        <w:t xml:space="preserve">│                   Polluting substance                    │       C      │</w:t>
      </w:r>
    </w:p>
    <w:p>
      <w:pPr>
        <w:pStyle w:val="3"/>
        <w:jc w:val="both"/>
      </w:pPr>
      <w:r>
        <w:rPr>
          <w:sz w:val="20"/>
        </w:rPr>
        <w:t xml:space="preserve">├──────────────────────────────────────────────────────────┼──────────────┤</w:t>
      </w:r>
    </w:p>
    <w:p>
      <w:pPr>
        <w:pStyle w:val="3"/>
        <w:jc w:val="both"/>
      </w:pPr>
      <w:r>
        <w:rPr>
          <w:sz w:val="20"/>
        </w:rPr>
        <w:t xml:space="preserve">│Total dust                                                │        30    │</w:t>
      </w:r>
    </w:p>
    <w:p>
      <w:pPr>
        <w:pStyle w:val="3"/>
        <w:jc w:val="both"/>
      </w:pPr>
      <w:r>
        <w:rPr>
          <w:sz w:val="20"/>
        </w:rPr>
        <w:t xml:space="preserve">├──────────────────────────────────────────────────────────┼──────────────┤</w:t>
      </w:r>
    </w:p>
    <w:p>
      <w:pPr>
        <w:pStyle w:val="3"/>
        <w:jc w:val="both"/>
      </w:pPr>
      <w:r>
        <w:rPr>
          <w:sz w:val="20"/>
        </w:rPr>
        <w:t xml:space="preserve">│HCl                                                       │        10    │</w:t>
      </w:r>
    </w:p>
    <w:p>
      <w:pPr>
        <w:pStyle w:val="3"/>
        <w:jc w:val="both"/>
      </w:pPr>
      <w:r>
        <w:rPr>
          <w:sz w:val="20"/>
        </w:rPr>
        <w:t xml:space="preserve">├──────────────────────────────────────────────────────────┼──────────────┤</w:t>
      </w:r>
    </w:p>
    <w:p>
      <w:pPr>
        <w:pStyle w:val="3"/>
        <w:jc w:val="both"/>
      </w:pPr>
      <w:r>
        <w:rPr>
          <w:sz w:val="20"/>
        </w:rPr>
        <w:t xml:space="preserve">│HF                                                        │         1    │</w:t>
      </w:r>
    </w:p>
    <w:p>
      <w:pPr>
        <w:pStyle w:val="3"/>
        <w:jc w:val="both"/>
      </w:pPr>
      <w:r>
        <w:rPr>
          <w:sz w:val="20"/>
        </w:rPr>
        <w:t xml:space="preserve">├──────────────────────────────────────────────────────────┼──────────────┤</w:t>
      </w:r>
    </w:p>
    <w:p>
      <w:pPr>
        <w:pStyle w:val="3"/>
        <w:jc w:val="both"/>
      </w:pPr>
      <w:r>
        <w:rPr>
          <w:sz w:val="20"/>
        </w:rPr>
        <w:t xml:space="preserve">│NO                                                        │       500 &lt;*&gt;│</w:t>
      </w:r>
    </w:p>
    <w:p>
      <w:pPr>
        <w:pStyle w:val="3"/>
        <w:jc w:val="both"/>
      </w:pPr>
      <w:r>
        <w:rPr>
          <w:sz w:val="20"/>
        </w:rPr>
        <w:t xml:space="preserve">│  x                                                       │              │</w:t>
      </w:r>
    </w:p>
    <w:p>
      <w:pPr>
        <w:pStyle w:val="3"/>
        <w:jc w:val="both"/>
      </w:pPr>
      <w:r>
        <w:rPr>
          <w:sz w:val="20"/>
        </w:rPr>
        <w:t xml:space="preserve">├──────────────────────────────────────────────────────────┼──────────────┤</w:t>
      </w:r>
    </w:p>
    <w:p>
      <w:pPr>
        <w:pStyle w:val="3"/>
        <w:jc w:val="both"/>
      </w:pPr>
      <w:r>
        <w:rPr>
          <w:sz w:val="20"/>
        </w:rPr>
        <w:t xml:space="preserve">│Cd + Tl                                                   │         0,05 │</w:t>
      </w:r>
    </w:p>
    <w:p>
      <w:pPr>
        <w:pStyle w:val="3"/>
        <w:jc w:val="both"/>
      </w:pPr>
      <w:r>
        <w:rPr>
          <w:sz w:val="20"/>
        </w:rPr>
        <w:t xml:space="preserve">├──────────────────────────────────────────────────────────┼──────────────┤</w:t>
      </w:r>
    </w:p>
    <w:p>
      <w:pPr>
        <w:pStyle w:val="3"/>
        <w:jc w:val="both"/>
      </w:pPr>
      <w:r>
        <w:rPr>
          <w:sz w:val="20"/>
        </w:rPr>
        <w:t xml:space="preserve">│Hg                                                        │         0,05 │</w:t>
      </w:r>
    </w:p>
    <w:p>
      <w:pPr>
        <w:pStyle w:val="3"/>
        <w:jc w:val="both"/>
      </w:pPr>
      <w:r>
        <w:rPr>
          <w:sz w:val="20"/>
        </w:rPr>
        <w:t xml:space="preserve">├──────────────────────────────────────────────────────────┼──────────────┤</w:t>
      </w:r>
    </w:p>
    <w:p>
      <w:pPr>
        <w:pStyle w:val="3"/>
        <w:jc w:val="both"/>
      </w:pPr>
      <w:r>
        <w:rPr>
          <w:sz w:val="20"/>
        </w:rPr>
        <w:t xml:space="preserve">│Sb + As + Pb + Cr + Co + Cu + Mn + Ni + V                 │         0,5  │</w:t>
      </w:r>
    </w:p>
    <w:p>
      <w:pPr>
        <w:pStyle w:val="3"/>
        <w:jc w:val="both"/>
      </w:pPr>
      <w:r>
        <w:rPr>
          <w:sz w:val="20"/>
        </w:rPr>
        <w:t xml:space="preserve">├──────────────────────────────────────────────────────────┼──────────────┤</w:t>
      </w:r>
    </w:p>
    <w:p>
      <w:pPr>
        <w:pStyle w:val="3"/>
        <w:jc w:val="both"/>
      </w:pPr>
      <w:r>
        <w:rPr>
          <w:sz w:val="20"/>
        </w:rPr>
        <w:t xml:space="preserve">│                         3                                │              │</w:t>
      </w:r>
    </w:p>
    <w:p>
      <w:pPr>
        <w:pStyle w:val="3"/>
        <w:jc w:val="both"/>
      </w:pPr>
      <w:r>
        <w:rPr>
          <w:sz w:val="20"/>
        </w:rPr>
        <w:t xml:space="preserve">│Dioxins and furans (ng/Nm )                               │         0,1  │</w:t>
      </w:r>
    </w:p>
    <w:p>
      <w:pPr>
        <w:pStyle w:val="3"/>
        <w:jc w:val="both"/>
      </w:pPr>
      <w:r>
        <w:rPr>
          <w:sz w:val="20"/>
        </w:rPr>
        <w:t xml:space="preserve">├──────────────────────────────────────────────────────────┴──────────────┤</w:t>
      </w:r>
    </w:p>
    <w:p>
      <w:pPr>
        <w:pStyle w:val="3"/>
        <w:jc w:val="both"/>
      </w:pPr>
      <w:r>
        <w:rPr>
          <w:sz w:val="20"/>
        </w:rPr>
        <w:t xml:space="preserve">│ &lt;*&gt;  Until  1  January  2016,  the  competent  authority  may authorise │</w:t>
      </w:r>
    </w:p>
    <w:p>
      <w:pPr>
        <w:pStyle w:val="3"/>
        <w:jc w:val="both"/>
      </w:pPr>
      <w:r>
        <w:rPr>
          <w:sz w:val="20"/>
        </w:rPr>
        <w:t xml:space="preserve">│exemptions from  the  limit value for NO  for Lepol kilns and long rotary│</w:t>
      </w:r>
    </w:p>
    <w:p>
      <w:pPr>
        <w:pStyle w:val="3"/>
        <w:jc w:val="both"/>
      </w:pPr>
      <w:r>
        <w:rPr>
          <w:sz w:val="20"/>
        </w:rPr>
        <w:t xml:space="preserve">│                                        x                                │</w:t>
      </w:r>
    </w:p>
    <w:p>
      <w:pPr>
        <w:pStyle w:val="3"/>
        <w:jc w:val="both"/>
      </w:pPr>
      <w:r>
        <w:rPr>
          <w:sz w:val="20"/>
        </w:rPr>
        <w:t xml:space="preserve">│kilns provided that the permit sets a total emission limit value for NO  │</w:t>
      </w:r>
    </w:p>
    <w:p>
      <w:pPr>
        <w:pStyle w:val="3"/>
        <w:jc w:val="both"/>
      </w:pPr>
      <w:r>
        <w:rPr>
          <w:sz w:val="20"/>
        </w:rPr>
        <w:t xml:space="preserve">│                          3                                            x │</w:t>
      </w:r>
    </w:p>
    <w:p>
      <w:pPr>
        <w:pStyle w:val="3"/>
        <w:jc w:val="both"/>
      </w:pPr>
      <w:r>
        <w:rPr>
          <w:sz w:val="20"/>
        </w:rPr>
        <w:t xml:space="preserve">│of not more than 800 mg/Nm .                                             │</w:t>
      </w:r>
    </w:p>
    <w:p>
      <w:pPr>
        <w:pStyle w:val="3"/>
        <w:jc w:val="both"/>
      </w:pPr>
      <w:r>
        <w:rPr>
          <w:sz w:val="20"/>
        </w:rPr>
        <w:t xml:space="preserve">└─────────────────────────────────────────────────────────────────────────┘</w:t>
      </w:r>
    </w:p>
    <w:p>
      <w:pPr>
        <w:pStyle w:val="0"/>
        <w:ind w:firstLine="540"/>
        <w:jc w:val="both"/>
      </w:pPr>
      <w:r>
        <w:rPr>
          <w:sz w:val="20"/>
        </w:rPr>
      </w:r>
    </w:p>
    <w:p>
      <w:pPr>
        <w:pStyle w:val="1"/>
        <w:jc w:val="both"/>
      </w:pPr>
      <w:r>
        <w:rPr>
          <w:sz w:val="20"/>
        </w:rPr>
        <w:t xml:space="preserve">                                               3</w:t>
      </w:r>
    </w:p>
    <w:p>
      <w:pPr>
        <w:pStyle w:val="1"/>
        <w:jc w:val="both"/>
      </w:pPr>
      <w:r>
        <w:rPr>
          <w:sz w:val="20"/>
        </w:rPr>
        <w:t xml:space="preserve">    2.3. C - total emission limit values (mg/Nm ) for SO  and TOC</w:t>
      </w:r>
    </w:p>
    <w:p>
      <w:pPr>
        <w:pStyle w:val="1"/>
        <w:jc w:val="both"/>
      </w:pPr>
      <w:r>
        <w:rPr>
          <w:sz w:val="20"/>
        </w:rPr>
        <w:t xml:space="preserve">                                                        2</w:t>
      </w:r>
    </w:p>
    <w:p>
      <w:pPr>
        <w:pStyle w:val="0"/>
        <w:ind w:firstLine="540"/>
        <w:jc w:val="both"/>
      </w:pPr>
      <w:r>
        <w:rPr>
          <w:sz w:val="20"/>
        </w:rPr>
      </w:r>
    </w:p>
    <w:p>
      <w:pPr>
        <w:pStyle w:val="3"/>
        <w:jc w:val="both"/>
      </w:pPr>
      <w:r>
        <w:rPr>
          <w:sz w:val="20"/>
        </w:rPr>
        <w:t xml:space="preserve">┌─────────────────────────────────────────────────────┬───────────────────┐</w:t>
      </w:r>
    </w:p>
    <w:p>
      <w:pPr>
        <w:pStyle w:val="3"/>
        <w:jc w:val="both"/>
      </w:pPr>
      <w:r>
        <w:rPr>
          <w:sz w:val="20"/>
        </w:rPr>
        <w:t xml:space="preserve">│                      Pollutant                      │          C        │</w:t>
      </w:r>
    </w:p>
    <w:p>
      <w:pPr>
        <w:pStyle w:val="3"/>
        <w:jc w:val="both"/>
      </w:pPr>
      <w:r>
        <w:rPr>
          <w:sz w:val="20"/>
        </w:rPr>
        <w:t xml:space="preserve">├─────────────────────────────────────────────────────┼───────────────────┤</w:t>
      </w:r>
    </w:p>
    <w:p>
      <w:pPr>
        <w:pStyle w:val="3"/>
        <w:jc w:val="both"/>
      </w:pPr>
      <w:r>
        <w:rPr>
          <w:sz w:val="20"/>
        </w:rPr>
        <w:t xml:space="preserve">│SO                                                   │                 50│</w:t>
      </w:r>
    </w:p>
    <w:p>
      <w:pPr>
        <w:pStyle w:val="3"/>
        <w:jc w:val="both"/>
      </w:pPr>
      <w:r>
        <w:rPr>
          <w:sz w:val="20"/>
        </w:rPr>
        <w:t xml:space="preserve">│  2                                                  │                   │</w:t>
      </w:r>
    </w:p>
    <w:p>
      <w:pPr>
        <w:pStyle w:val="3"/>
        <w:jc w:val="both"/>
      </w:pPr>
      <w:r>
        <w:rPr>
          <w:sz w:val="20"/>
        </w:rPr>
        <w:t xml:space="preserve">├─────────────────────────────────────────────────────┼───────────────────┤</w:t>
      </w:r>
    </w:p>
    <w:p>
      <w:pPr>
        <w:pStyle w:val="3"/>
        <w:jc w:val="both"/>
      </w:pPr>
      <w:r>
        <w:rPr>
          <w:sz w:val="20"/>
        </w:rPr>
        <w:t xml:space="preserve">│TOC                                                  │                 10│</w:t>
      </w:r>
    </w:p>
    <w:p>
      <w:pPr>
        <w:pStyle w:val="3"/>
        <w:jc w:val="both"/>
      </w:pPr>
      <w:r>
        <w:rPr>
          <w:sz w:val="20"/>
        </w:rPr>
        <w:t xml:space="preserve">└─────────────────────────────────────────────────────┴───────────────────┘</w:t>
      </w:r>
    </w:p>
    <w:p>
      <w:pPr>
        <w:pStyle w:val="0"/>
        <w:ind w:firstLine="540"/>
        <w:jc w:val="both"/>
      </w:pPr>
      <w:r>
        <w:rPr>
          <w:sz w:val="20"/>
        </w:rPr>
      </w:r>
    </w:p>
    <w:p>
      <w:pPr>
        <w:pStyle w:val="1"/>
        <w:jc w:val="both"/>
      </w:pPr>
      <w:r>
        <w:rPr>
          <w:sz w:val="20"/>
        </w:rPr>
        <w:t xml:space="preserve">    The competent authority may grant derogations for emission limit values</w:t>
      </w:r>
    </w:p>
    <w:p>
      <w:pPr>
        <w:pStyle w:val="1"/>
        <w:jc w:val="both"/>
      </w:pPr>
      <w:r>
        <w:rPr>
          <w:sz w:val="20"/>
        </w:rPr>
        <w:t xml:space="preserve">set  out  in  this  point in cases where TOC and SO  do not result from the</w:t>
      </w:r>
    </w:p>
    <w:p>
      <w:pPr>
        <w:pStyle w:val="1"/>
        <w:jc w:val="both"/>
      </w:pPr>
      <w:r>
        <w:rPr>
          <w:sz w:val="20"/>
        </w:rPr>
        <w:t xml:space="preserve">                                                   2</w:t>
      </w:r>
    </w:p>
    <w:p>
      <w:pPr>
        <w:pStyle w:val="1"/>
        <w:jc w:val="both"/>
      </w:pPr>
      <w:r>
        <w:rPr>
          <w:sz w:val="20"/>
        </w:rPr>
        <w:t xml:space="preserve">co-incineration of waste.</w:t>
      </w:r>
    </w:p>
    <w:p>
      <w:pPr>
        <w:pStyle w:val="0"/>
        <w:ind w:firstLine="540"/>
        <w:jc w:val="both"/>
      </w:pPr>
      <w:r>
        <w:rPr>
          <w:sz w:val="20"/>
        </w:rPr>
        <w:t xml:space="preserve">2.4. C - total emission limit values for CO</w:t>
      </w:r>
    </w:p>
    <w:p>
      <w:pPr>
        <w:pStyle w:val="0"/>
        <w:spacing w:before="200" w:line-rule="auto"/>
        <w:ind w:firstLine="540"/>
        <w:jc w:val="both"/>
      </w:pPr>
      <w:r>
        <w:rPr>
          <w:sz w:val="20"/>
        </w:rPr>
        <w:t xml:space="preserve">The competent authority may set emission limit values for CO.</w:t>
      </w:r>
    </w:p>
    <w:p>
      <w:pPr>
        <w:pStyle w:val="0"/>
        <w:spacing w:before="200" w:line-rule="auto"/>
        <w:ind w:firstLine="540"/>
        <w:jc w:val="both"/>
      </w:pPr>
      <w:r>
        <w:rPr>
          <w:sz w:val="20"/>
        </w:rPr>
        <w:t xml:space="preserve">3. Special provisions for combustion plants co-incinerating waste</w:t>
      </w:r>
    </w:p>
    <w:p>
      <w:pPr>
        <w:pStyle w:val="1"/>
        <w:spacing w:before="200" w:line-rule="auto"/>
        <w:jc w:val="both"/>
      </w:pPr>
      <w:r>
        <w:rPr>
          <w:sz w:val="20"/>
        </w:rPr>
        <w:t xml:space="preserve">                                                         3</w:t>
      </w:r>
    </w:p>
    <w:p>
      <w:pPr>
        <w:pStyle w:val="1"/>
        <w:jc w:val="both"/>
      </w:pPr>
      <w:r>
        <w:rPr>
          <w:sz w:val="20"/>
        </w:rPr>
        <w:t xml:space="preserve">    3.1.  C      expressed as daily average values (mg/Nm ) valid until the</w:t>
      </w:r>
    </w:p>
    <w:p>
      <w:pPr>
        <w:pStyle w:val="1"/>
        <w:jc w:val="both"/>
      </w:pPr>
      <w:r>
        <w:rPr>
          <w:sz w:val="20"/>
        </w:rPr>
        <w:t xml:space="preserve">           proc</w:t>
      </w:r>
    </w:p>
    <w:p>
      <w:pPr>
        <w:pStyle w:val="1"/>
        <w:jc w:val="both"/>
      </w:pPr>
      <w:r>
        <w:rPr>
          <w:sz w:val="20"/>
        </w:rPr>
        <w:t xml:space="preserve">date set out in Article 82 (5)</w:t>
      </w:r>
    </w:p>
    <w:p>
      <w:pPr>
        <w:pStyle w:val="0"/>
        <w:ind w:firstLine="540"/>
        <w:jc w:val="both"/>
      </w:pPr>
      <w:r>
        <w:rPr>
          <w:sz w:val="20"/>
        </w:rPr>
      </w:r>
    </w:p>
    <w:p>
      <w:pPr>
        <w:pStyle w:val="0"/>
        <w:ind w:firstLine="540"/>
        <w:jc w:val="both"/>
      </w:pPr>
      <w:r>
        <w:rPr>
          <w:sz w:val="20"/>
        </w:rPr>
        <w:t xml:space="preserve">For determining the total rated thermal input of the combustion plants, the aggregation rules as defined in Article 29 shall apply. Half-hourly average values shall only be needed in view of calculating the daily average values.</w:t>
      </w:r>
    </w:p>
    <w:p>
      <w:pPr>
        <w:pStyle w:val="0"/>
        <w:ind w:firstLine="540"/>
        <w:jc w:val="both"/>
      </w:pPr>
      <w:r>
        <w:rPr>
          <w:sz w:val="20"/>
        </w:rPr>
      </w:r>
    </w:p>
    <w:p>
      <w:pPr>
        <w:pStyle w:val="1"/>
        <w:jc w:val="both"/>
      </w:pPr>
      <w:r>
        <w:rPr>
          <w:sz w:val="20"/>
        </w:rPr>
        <w:t xml:space="preserve">    C     for solid fuels with the exception of biomass (O  content 6%):</w:t>
      </w:r>
    </w:p>
    <w:p>
      <w:pPr>
        <w:pStyle w:val="1"/>
        <w:jc w:val="both"/>
      </w:pPr>
      <w:r>
        <w:rPr>
          <w:sz w:val="20"/>
        </w:rPr>
        <w:t xml:space="preserve">     proc                                                 2</w:t>
      </w:r>
    </w:p>
    <w:p>
      <w:pPr>
        <w:pStyle w:val="0"/>
        <w:ind w:firstLine="540"/>
        <w:jc w:val="both"/>
      </w:pPr>
      <w:r>
        <w:rPr>
          <w:sz w:val="20"/>
        </w:rPr>
      </w:r>
    </w:p>
    <w:p>
      <w:pPr>
        <w:pStyle w:val="3"/>
        <w:jc w:val="both"/>
      </w:pPr>
      <w:r>
        <w:rPr>
          <w:sz w:val="20"/>
        </w:rPr>
        <w:t xml:space="preserve">┌─────────────┬──────────────┬──────────────┬──────────────┬──────────────┐</w:t>
      </w:r>
    </w:p>
    <w:p>
      <w:pPr>
        <w:pStyle w:val="3"/>
        <w:jc w:val="both"/>
      </w:pPr>
      <w:r>
        <w:rPr>
          <w:sz w:val="20"/>
        </w:rPr>
        <w:t xml:space="preserve">│  Polluting  │  &lt; 50 MWth   │ 50 - 100 MWth│  100 to 300  │  &gt; 300 MWth  │</w:t>
      </w:r>
    </w:p>
    <w:p>
      <w:pPr>
        <w:pStyle w:val="3"/>
        <w:jc w:val="both"/>
      </w:pPr>
      <w:r>
        <w:rPr>
          <w:sz w:val="20"/>
        </w:rPr>
        <w:t xml:space="preserve">│ substances  │              │              │     MWth     │              │</w:t>
      </w:r>
    </w:p>
    <w:p>
      <w:pPr>
        <w:pStyle w:val="3"/>
        <w:jc w:val="both"/>
      </w:pPr>
      <w:r>
        <w:rPr>
          <w:sz w:val="20"/>
        </w:rPr>
        <w:t xml:space="preserve">├─────────────┼──────────────┼──────────────┼──────────────┼──────────────┤</w:t>
      </w:r>
    </w:p>
    <w:p>
      <w:pPr>
        <w:pStyle w:val="3"/>
        <w:jc w:val="both"/>
      </w:pPr>
      <w:r>
        <w:rPr>
          <w:sz w:val="20"/>
        </w:rPr>
        <w:t xml:space="preserve">│SO           │      -       │           850│           200│           200│</w:t>
      </w:r>
    </w:p>
    <w:p>
      <w:pPr>
        <w:pStyle w:val="3"/>
        <w:jc w:val="both"/>
      </w:pPr>
      <w:r>
        <w:rPr>
          <w:sz w:val="20"/>
        </w:rPr>
        <w:t xml:space="preserve">│  2          │              │              │              │              │</w:t>
      </w:r>
    </w:p>
    <w:p>
      <w:pPr>
        <w:pStyle w:val="3"/>
        <w:jc w:val="both"/>
      </w:pPr>
      <w:r>
        <w:rPr>
          <w:sz w:val="20"/>
        </w:rPr>
        <w:t xml:space="preserve">├─────────────┼──────────────┼──────────────┼──────────────┼──────────────┤</w:t>
      </w:r>
    </w:p>
    <w:p>
      <w:pPr>
        <w:pStyle w:val="3"/>
        <w:jc w:val="both"/>
      </w:pPr>
      <w:r>
        <w:rPr>
          <w:sz w:val="20"/>
        </w:rPr>
        <w:t xml:space="preserve">│NO           │      -       │           400│           200│           200│</w:t>
      </w:r>
    </w:p>
    <w:p>
      <w:pPr>
        <w:pStyle w:val="3"/>
        <w:jc w:val="both"/>
      </w:pPr>
      <w:r>
        <w:rPr>
          <w:sz w:val="20"/>
        </w:rPr>
        <w:t xml:space="preserve">│  x          │              │              │              │              │</w:t>
      </w:r>
    </w:p>
    <w:p>
      <w:pPr>
        <w:pStyle w:val="3"/>
        <w:jc w:val="both"/>
      </w:pPr>
      <w:r>
        <w:rPr>
          <w:sz w:val="20"/>
        </w:rPr>
        <w:t xml:space="preserve">├─────────────┼──────────────┼──────────────┼──────────────┼──────────────┤</w:t>
      </w:r>
    </w:p>
    <w:p>
      <w:pPr>
        <w:pStyle w:val="3"/>
        <w:jc w:val="both"/>
      </w:pPr>
      <w:r>
        <w:rPr>
          <w:sz w:val="20"/>
        </w:rPr>
        <w:t xml:space="preserve">│Dust         │            50│            50│            30│            30│</w:t>
      </w:r>
    </w:p>
    <w:p>
      <w:pPr>
        <w:pStyle w:val="3"/>
        <w:jc w:val="both"/>
      </w:pPr>
      <w:r>
        <w:rPr>
          <w:sz w:val="20"/>
        </w:rPr>
        <w:t xml:space="preserve">└─────────────┴──────────────┴──────────────┴──────────────┴──────────────┘</w:t>
      </w:r>
    </w:p>
    <w:p>
      <w:pPr>
        <w:pStyle w:val="0"/>
        <w:ind w:firstLine="540"/>
        <w:jc w:val="both"/>
      </w:pPr>
      <w:r>
        <w:rPr>
          <w:sz w:val="20"/>
        </w:rPr>
      </w:r>
    </w:p>
    <w:p>
      <w:pPr>
        <w:pStyle w:val="1"/>
        <w:jc w:val="both"/>
      </w:pPr>
      <w:r>
        <w:rPr>
          <w:sz w:val="20"/>
        </w:rPr>
        <w:t xml:space="preserve">    C     for biomass (O  content 6%):</w:t>
      </w:r>
    </w:p>
    <w:p>
      <w:pPr>
        <w:pStyle w:val="1"/>
        <w:jc w:val="both"/>
      </w:pPr>
      <w:r>
        <w:rPr>
          <w:sz w:val="20"/>
        </w:rPr>
        <w:t xml:space="preserve">     proc               2</w:t>
      </w:r>
    </w:p>
    <w:p>
      <w:pPr>
        <w:pStyle w:val="0"/>
        <w:ind w:firstLine="540"/>
        <w:jc w:val="both"/>
      </w:pPr>
      <w:r>
        <w:rPr>
          <w:sz w:val="20"/>
        </w:rPr>
      </w:r>
    </w:p>
    <w:p>
      <w:pPr>
        <w:pStyle w:val="3"/>
        <w:jc w:val="both"/>
      </w:pPr>
      <w:r>
        <w:rPr>
          <w:sz w:val="20"/>
        </w:rPr>
        <w:t xml:space="preserve">┌─────────────┬──────────────┬──────────────┬──────────────┬──────────────┐</w:t>
      </w:r>
    </w:p>
    <w:p>
      <w:pPr>
        <w:pStyle w:val="3"/>
        <w:jc w:val="both"/>
      </w:pPr>
      <w:r>
        <w:rPr>
          <w:sz w:val="20"/>
        </w:rPr>
        <w:t xml:space="preserve">│  Polluting  │  &lt; 50 MWth   │  50 to 100   │  100 to 300  │  &gt; 300 MWth  │</w:t>
      </w:r>
    </w:p>
    <w:p>
      <w:pPr>
        <w:pStyle w:val="3"/>
        <w:jc w:val="both"/>
      </w:pPr>
      <w:r>
        <w:rPr>
          <w:sz w:val="20"/>
        </w:rPr>
        <w:t xml:space="preserve">│ substances  │              │     MWth     │     MWth     │              │</w:t>
      </w:r>
    </w:p>
    <w:p>
      <w:pPr>
        <w:pStyle w:val="3"/>
        <w:jc w:val="both"/>
      </w:pPr>
      <w:r>
        <w:rPr>
          <w:sz w:val="20"/>
        </w:rPr>
        <w:t xml:space="preserve">├─────────────┼──────────────┼──────────────┼──────────────┼──────────────┤</w:t>
      </w:r>
    </w:p>
    <w:p>
      <w:pPr>
        <w:pStyle w:val="3"/>
        <w:jc w:val="both"/>
      </w:pPr>
      <w:r>
        <w:rPr>
          <w:sz w:val="20"/>
        </w:rPr>
        <w:t xml:space="preserve">│SO           │      -       │           200│           200│           200│</w:t>
      </w:r>
    </w:p>
    <w:p>
      <w:pPr>
        <w:pStyle w:val="3"/>
        <w:jc w:val="both"/>
      </w:pPr>
      <w:r>
        <w:rPr>
          <w:sz w:val="20"/>
        </w:rPr>
        <w:t xml:space="preserve">│  2          │              │              │              │              │</w:t>
      </w:r>
    </w:p>
    <w:p>
      <w:pPr>
        <w:pStyle w:val="3"/>
        <w:jc w:val="both"/>
      </w:pPr>
      <w:r>
        <w:rPr>
          <w:sz w:val="20"/>
        </w:rPr>
        <w:t xml:space="preserve">├─────────────┼──────────────┼──────────────┼──────────────┼──────────────┤</w:t>
      </w:r>
    </w:p>
    <w:p>
      <w:pPr>
        <w:pStyle w:val="3"/>
        <w:jc w:val="both"/>
      </w:pPr>
      <w:r>
        <w:rPr>
          <w:sz w:val="20"/>
        </w:rPr>
        <w:t xml:space="preserve">│NO           │      -       │           350│           300│           200│</w:t>
      </w:r>
    </w:p>
    <w:p>
      <w:pPr>
        <w:pStyle w:val="3"/>
        <w:jc w:val="both"/>
      </w:pPr>
      <w:r>
        <w:rPr>
          <w:sz w:val="20"/>
        </w:rPr>
        <w:t xml:space="preserve">│  x          │              │              │              │              │</w:t>
      </w:r>
    </w:p>
    <w:p>
      <w:pPr>
        <w:pStyle w:val="3"/>
        <w:jc w:val="both"/>
      </w:pPr>
      <w:r>
        <w:rPr>
          <w:sz w:val="20"/>
        </w:rPr>
        <w:t xml:space="preserve">├─────────────┼──────────────┼──────────────┼──────────────┼──────────────┤</w:t>
      </w:r>
    </w:p>
    <w:p>
      <w:pPr>
        <w:pStyle w:val="3"/>
        <w:jc w:val="both"/>
      </w:pPr>
      <w:r>
        <w:rPr>
          <w:sz w:val="20"/>
        </w:rPr>
        <w:t xml:space="preserve">│Dust         │            50│            50│            30│            30│</w:t>
      </w:r>
    </w:p>
    <w:p>
      <w:pPr>
        <w:pStyle w:val="3"/>
        <w:jc w:val="both"/>
      </w:pPr>
      <w:r>
        <w:rPr>
          <w:sz w:val="20"/>
        </w:rPr>
        <w:t xml:space="preserve">└─────────────┴──────────────┴──────────────┴──────────────┴──────────────┘</w:t>
      </w:r>
    </w:p>
    <w:p>
      <w:pPr>
        <w:pStyle w:val="0"/>
        <w:ind w:firstLine="540"/>
        <w:jc w:val="both"/>
      </w:pPr>
      <w:r>
        <w:rPr>
          <w:sz w:val="20"/>
        </w:rPr>
      </w:r>
    </w:p>
    <w:p>
      <w:pPr>
        <w:pStyle w:val="1"/>
        <w:jc w:val="both"/>
      </w:pPr>
      <w:r>
        <w:rPr>
          <w:sz w:val="20"/>
        </w:rPr>
        <w:t xml:space="preserve">    C     for liquid fuels (O  content 3%):</w:t>
      </w:r>
    </w:p>
    <w:p>
      <w:pPr>
        <w:pStyle w:val="1"/>
        <w:jc w:val="both"/>
      </w:pPr>
      <w:r>
        <w:rPr>
          <w:sz w:val="20"/>
        </w:rPr>
        <w:t xml:space="preserve">     proc                    2</w:t>
      </w:r>
    </w:p>
    <w:p>
      <w:pPr>
        <w:pStyle w:val="0"/>
        <w:ind w:firstLine="540"/>
        <w:jc w:val="both"/>
      </w:pPr>
      <w:r>
        <w:rPr>
          <w:sz w:val="20"/>
        </w:rPr>
      </w:r>
    </w:p>
    <w:p>
      <w:pPr>
        <w:pStyle w:val="3"/>
        <w:jc w:val="both"/>
      </w:pPr>
      <w:r>
        <w:rPr>
          <w:sz w:val="20"/>
        </w:rPr>
        <w:t xml:space="preserve">┌────────────┬─────────┬──────────┬─────────────────────────┬─────────────┐</w:t>
      </w:r>
    </w:p>
    <w:p>
      <w:pPr>
        <w:pStyle w:val="3"/>
        <w:jc w:val="both"/>
      </w:pPr>
      <w:r>
        <w:rPr>
          <w:sz w:val="20"/>
        </w:rPr>
        <w:t xml:space="preserve">│ Polluting  │&lt; 50 MWth│ 50 to 100│     100 to 300 MWth     │ &gt; 300 MWth  │</w:t>
      </w:r>
    </w:p>
    <w:p>
      <w:pPr>
        <w:pStyle w:val="3"/>
        <w:jc w:val="both"/>
      </w:pPr>
      <w:r>
        <w:rPr>
          <w:sz w:val="20"/>
        </w:rPr>
        <w:t xml:space="preserve">│ substances │         │   MWth   │                         │             │</w:t>
      </w:r>
    </w:p>
    <w:p>
      <w:pPr>
        <w:pStyle w:val="3"/>
        <w:jc w:val="both"/>
      </w:pPr>
      <w:r>
        <w:rPr>
          <w:sz w:val="20"/>
        </w:rPr>
        <w:t xml:space="preserve">├────────────┼─────────┼──────────┼─────────────────────────┼─────────────┤</w:t>
      </w:r>
    </w:p>
    <w:p>
      <w:pPr>
        <w:pStyle w:val="3"/>
        <w:jc w:val="both"/>
      </w:pPr>
      <w:r>
        <w:rPr>
          <w:sz w:val="20"/>
        </w:rPr>
        <w:t xml:space="preserve">│SO          │    -    │       850│400 to 200               │          200│</w:t>
      </w:r>
    </w:p>
    <w:p>
      <w:pPr>
        <w:pStyle w:val="3"/>
        <w:jc w:val="both"/>
      </w:pPr>
      <w:r>
        <w:rPr>
          <w:sz w:val="20"/>
        </w:rPr>
        <w:t xml:space="preserve">│  2         │         │          │(linear decrease from 100│             │</w:t>
      </w:r>
    </w:p>
    <w:p>
      <w:pPr>
        <w:pStyle w:val="3"/>
        <w:jc w:val="both"/>
      </w:pPr>
      <w:r>
        <w:rPr>
          <w:sz w:val="20"/>
        </w:rPr>
        <w:t xml:space="preserve">│            │         │          │to 300 MWth)             │             │</w:t>
      </w:r>
    </w:p>
    <w:p>
      <w:pPr>
        <w:pStyle w:val="3"/>
        <w:jc w:val="both"/>
      </w:pPr>
      <w:r>
        <w:rPr>
          <w:sz w:val="20"/>
        </w:rPr>
        <w:t xml:space="preserve">├────────────┼─────────┼──────────┼─────────────────────────┼─────────────┤</w:t>
      </w:r>
    </w:p>
    <w:p>
      <w:pPr>
        <w:pStyle w:val="3"/>
        <w:jc w:val="both"/>
      </w:pPr>
      <w:r>
        <w:rPr>
          <w:sz w:val="20"/>
        </w:rPr>
        <w:t xml:space="preserve">│NO          │    -    │       400│200                      │          200│</w:t>
      </w:r>
    </w:p>
    <w:p>
      <w:pPr>
        <w:pStyle w:val="3"/>
        <w:jc w:val="both"/>
      </w:pPr>
      <w:r>
        <w:rPr>
          <w:sz w:val="20"/>
        </w:rPr>
        <w:t xml:space="preserve">│  x         │         │          │                         │             │</w:t>
      </w:r>
    </w:p>
    <w:p>
      <w:pPr>
        <w:pStyle w:val="3"/>
        <w:jc w:val="both"/>
      </w:pPr>
      <w:r>
        <w:rPr>
          <w:sz w:val="20"/>
        </w:rPr>
        <w:t xml:space="preserve">├────────────┼─────────┼──────────┼─────────────────────────┼─────────────┤</w:t>
      </w:r>
    </w:p>
    <w:p>
      <w:pPr>
        <w:pStyle w:val="3"/>
        <w:jc w:val="both"/>
      </w:pPr>
      <w:r>
        <w:rPr>
          <w:sz w:val="20"/>
        </w:rPr>
        <w:t xml:space="preserve">│Dust        │       50│        50│30                       │           30│</w:t>
      </w:r>
    </w:p>
    <w:p>
      <w:pPr>
        <w:pStyle w:val="3"/>
        <w:jc w:val="both"/>
      </w:pPr>
      <w:r>
        <w:rPr>
          <w:sz w:val="20"/>
        </w:rPr>
        <w:t xml:space="preserve">└────────────┴─────────┴──────────┴─────────────────────────┴─────────────┘</w:t>
      </w:r>
    </w:p>
    <w:p>
      <w:pPr>
        <w:pStyle w:val="0"/>
        <w:ind w:firstLine="540"/>
        <w:jc w:val="both"/>
      </w:pPr>
      <w:r>
        <w:rPr>
          <w:sz w:val="20"/>
        </w:rPr>
      </w:r>
    </w:p>
    <w:p>
      <w:pPr>
        <w:pStyle w:val="1"/>
        <w:jc w:val="both"/>
      </w:pPr>
      <w:r>
        <w:rPr>
          <w:sz w:val="20"/>
        </w:rPr>
        <w:t xml:space="preserve">                                                          3</w:t>
      </w:r>
    </w:p>
    <w:p>
      <w:pPr>
        <w:pStyle w:val="1"/>
        <w:jc w:val="both"/>
      </w:pPr>
      <w:r>
        <w:rPr>
          <w:sz w:val="20"/>
        </w:rPr>
        <w:t xml:space="preserve">    3.2.  C      expressed  as daily average values (mg/Nm ) valid from the</w:t>
      </w:r>
    </w:p>
    <w:p>
      <w:pPr>
        <w:pStyle w:val="1"/>
        <w:jc w:val="both"/>
      </w:pPr>
      <w:r>
        <w:rPr>
          <w:sz w:val="20"/>
        </w:rPr>
        <w:t xml:space="preserve">           proc</w:t>
      </w:r>
    </w:p>
    <w:p>
      <w:pPr>
        <w:pStyle w:val="1"/>
        <w:jc w:val="both"/>
      </w:pPr>
      <w:r>
        <w:rPr>
          <w:sz w:val="20"/>
        </w:rPr>
        <w:t xml:space="preserve">date set out in Article 82 (6)</w:t>
      </w:r>
    </w:p>
    <w:p>
      <w:pPr>
        <w:pStyle w:val="0"/>
        <w:ind w:firstLine="540"/>
        <w:jc w:val="both"/>
      </w:pPr>
      <w:r>
        <w:rPr>
          <w:sz w:val="20"/>
        </w:rPr>
        <w:t xml:space="preserve">For determining the total rated thermal input of the combustion plants, the aggregation rules as defined in Article 29 shall apply. Half-hourly average values shall only be needed in view of calculating the daily average values.</w:t>
      </w:r>
    </w:p>
    <w:p>
      <w:pPr>
        <w:pStyle w:val="1"/>
        <w:spacing w:before="200" w:line-rule="auto"/>
        <w:jc w:val="both"/>
      </w:pPr>
      <w:r>
        <w:rPr>
          <w:sz w:val="20"/>
        </w:rPr>
        <w:t xml:space="preserve">    3.2.1.  C     for combustion plants referred to in Article 30 (2), with</w:t>
      </w:r>
    </w:p>
    <w:p>
      <w:pPr>
        <w:pStyle w:val="1"/>
        <w:jc w:val="both"/>
      </w:pPr>
      <w:r>
        <w:rPr>
          <w:sz w:val="20"/>
        </w:rPr>
        <w:t xml:space="preserve">             proc</w:t>
      </w:r>
    </w:p>
    <w:p>
      <w:pPr>
        <w:pStyle w:val="1"/>
        <w:jc w:val="both"/>
      </w:pPr>
      <w:r>
        <w:rPr>
          <w:sz w:val="20"/>
        </w:rPr>
        <w:t xml:space="preserve">the exception of gas turbines and gas engines</w:t>
      </w:r>
    </w:p>
    <w:p>
      <w:pPr>
        <w:pStyle w:val="1"/>
        <w:jc w:val="both"/>
      </w:pPr>
      <w:r>
        <w:rPr>
          <w:sz w:val="20"/>
        </w:rPr>
      </w:r>
    </w:p>
    <w:p>
      <w:pPr>
        <w:pStyle w:val="1"/>
        <w:jc w:val="both"/>
      </w:pPr>
      <w:r>
        <w:rPr>
          <w:sz w:val="20"/>
        </w:rPr>
        <w:t xml:space="preserve">    C     for solid fuels with the exception of biomass (O  content 6%):</w:t>
      </w:r>
    </w:p>
    <w:p>
      <w:pPr>
        <w:pStyle w:val="1"/>
        <w:jc w:val="both"/>
      </w:pPr>
      <w:r>
        <w:rPr>
          <w:sz w:val="20"/>
        </w:rPr>
        <w:t xml:space="preserve">     proc                                                 2</w:t>
      </w:r>
    </w:p>
    <w:p>
      <w:pPr>
        <w:pStyle w:val="0"/>
        <w:ind w:firstLine="540"/>
        <w:jc w:val="both"/>
      </w:pPr>
      <w:r>
        <w:rPr>
          <w:sz w:val="20"/>
        </w:rPr>
      </w:r>
    </w:p>
    <w:p>
      <w:pPr>
        <w:pStyle w:val="3"/>
        <w:jc w:val="both"/>
      </w:pPr>
      <w:r>
        <w:rPr>
          <w:sz w:val="20"/>
        </w:rPr>
        <w:t xml:space="preserve">┌──────────┬──────────┬────────────────────────────┬──────────┬───────────┐</w:t>
      </w:r>
    </w:p>
    <w:p>
      <w:pPr>
        <w:pStyle w:val="3"/>
        <w:jc w:val="both"/>
      </w:pPr>
      <w:r>
        <w:rPr>
          <w:sz w:val="20"/>
        </w:rPr>
        <w:t xml:space="preserve">│Polluting │&lt; 50 MWth │        50 - 100 MWth       │100 to 300│ &gt; 300 MWth│</w:t>
      </w:r>
    </w:p>
    <w:p>
      <w:pPr>
        <w:pStyle w:val="3"/>
        <w:jc w:val="both"/>
      </w:pPr>
      <w:r>
        <w:rPr>
          <w:sz w:val="20"/>
        </w:rPr>
        <w:t xml:space="preserve">│substance │          │                            │   MWth   │           │</w:t>
      </w:r>
    </w:p>
    <w:p>
      <w:pPr>
        <w:pStyle w:val="3"/>
        <w:jc w:val="both"/>
      </w:pPr>
      <w:r>
        <w:rPr>
          <w:sz w:val="20"/>
        </w:rPr>
        <w:t xml:space="preserve">├──────────┼──────────┼────────────────────────────┼──────────┼───────────┤</w:t>
      </w:r>
    </w:p>
    <w:p>
      <w:pPr>
        <w:pStyle w:val="3"/>
        <w:jc w:val="both"/>
      </w:pPr>
      <w:r>
        <w:rPr>
          <w:sz w:val="20"/>
        </w:rPr>
        <w:t xml:space="preserve">│SO        │    -     │400 for peat: 300           │       200│        200│</w:t>
      </w:r>
    </w:p>
    <w:p>
      <w:pPr>
        <w:pStyle w:val="3"/>
        <w:jc w:val="both"/>
      </w:pPr>
      <w:r>
        <w:rPr>
          <w:sz w:val="20"/>
        </w:rPr>
        <w:t xml:space="preserve">│  2       │          │                            │          │           │</w:t>
      </w:r>
    </w:p>
    <w:p>
      <w:pPr>
        <w:pStyle w:val="3"/>
        <w:jc w:val="both"/>
      </w:pPr>
      <w:r>
        <w:rPr>
          <w:sz w:val="20"/>
        </w:rPr>
        <w:t xml:space="preserve">├──────────┼──────────┼────────────────────────────┼──────────┼───────────┤</w:t>
      </w:r>
    </w:p>
    <w:p>
      <w:pPr>
        <w:pStyle w:val="3"/>
        <w:jc w:val="both"/>
      </w:pPr>
      <w:r>
        <w:rPr>
          <w:sz w:val="20"/>
        </w:rPr>
        <w:t xml:space="preserve">│NO        │    -     │300                         │       200│        200│</w:t>
      </w:r>
    </w:p>
    <w:p>
      <w:pPr>
        <w:pStyle w:val="3"/>
        <w:jc w:val="both"/>
      </w:pPr>
      <w:r>
        <w:rPr>
          <w:sz w:val="20"/>
        </w:rPr>
        <w:t xml:space="preserve">│  x       │          │for pulverised lignite: 400 │          │           │</w:t>
      </w:r>
    </w:p>
    <w:p>
      <w:pPr>
        <w:pStyle w:val="3"/>
        <w:jc w:val="both"/>
      </w:pPr>
      <w:r>
        <w:rPr>
          <w:sz w:val="20"/>
        </w:rPr>
        <w:t xml:space="preserve">├──────────┼──────────┼────────────────────────────┼──────────┼───────────┤</w:t>
      </w:r>
    </w:p>
    <w:p>
      <w:pPr>
        <w:pStyle w:val="3"/>
        <w:jc w:val="both"/>
      </w:pPr>
      <w:r>
        <w:rPr>
          <w:sz w:val="20"/>
        </w:rPr>
        <w:t xml:space="preserve">│Dust      │        50│30                          │25 for    │         20│</w:t>
      </w:r>
    </w:p>
    <w:p>
      <w:pPr>
        <w:pStyle w:val="3"/>
        <w:jc w:val="both"/>
      </w:pPr>
      <w:r>
        <w:rPr>
          <w:sz w:val="20"/>
        </w:rPr>
        <w:t xml:space="preserve">│          │          │                            │peat: 20  │           │</w:t>
      </w:r>
    </w:p>
    <w:p>
      <w:pPr>
        <w:pStyle w:val="3"/>
        <w:jc w:val="both"/>
      </w:pPr>
      <w:r>
        <w:rPr>
          <w:sz w:val="20"/>
        </w:rPr>
        <w:t xml:space="preserve">└──────────┴──────────┴────────────────────────────┴──────────┴───────────┘</w:t>
      </w:r>
    </w:p>
    <w:p>
      <w:pPr>
        <w:pStyle w:val="0"/>
        <w:ind w:firstLine="540"/>
        <w:jc w:val="both"/>
      </w:pPr>
      <w:r>
        <w:rPr>
          <w:sz w:val="20"/>
        </w:rPr>
      </w:r>
    </w:p>
    <w:p>
      <w:pPr>
        <w:pStyle w:val="1"/>
        <w:jc w:val="both"/>
      </w:pPr>
      <w:r>
        <w:rPr>
          <w:sz w:val="20"/>
        </w:rPr>
        <w:t xml:space="preserve">    C     for biomass (O  content 6%):</w:t>
      </w:r>
    </w:p>
    <w:p>
      <w:pPr>
        <w:pStyle w:val="1"/>
        <w:jc w:val="both"/>
      </w:pPr>
      <w:r>
        <w:rPr>
          <w:sz w:val="20"/>
        </w:rPr>
        <w:t xml:space="preserve">     proc               2</w:t>
      </w:r>
    </w:p>
    <w:p>
      <w:pPr>
        <w:pStyle w:val="0"/>
        <w:ind w:firstLine="540"/>
        <w:jc w:val="both"/>
      </w:pPr>
      <w:r>
        <w:rPr>
          <w:sz w:val="20"/>
        </w:rPr>
      </w:r>
    </w:p>
    <w:p>
      <w:pPr>
        <w:pStyle w:val="3"/>
        <w:jc w:val="both"/>
      </w:pPr>
      <w:r>
        <w:rPr>
          <w:sz w:val="20"/>
        </w:rPr>
        <w:t xml:space="preserve">┌─────────────┬──────────────┬──────────────┬──────────────┬──────────────┐</w:t>
      </w:r>
    </w:p>
    <w:p>
      <w:pPr>
        <w:pStyle w:val="3"/>
        <w:jc w:val="both"/>
      </w:pPr>
      <w:r>
        <w:rPr>
          <w:sz w:val="20"/>
        </w:rPr>
        <w:t xml:space="preserve">│  Polluting  │  &lt; 50 MWth   │  50 to 100   │  100 to 300  │  &gt; 300 MWth  │</w:t>
      </w:r>
    </w:p>
    <w:p>
      <w:pPr>
        <w:pStyle w:val="3"/>
        <w:jc w:val="both"/>
      </w:pPr>
      <w:r>
        <w:rPr>
          <w:sz w:val="20"/>
        </w:rPr>
        <w:t xml:space="preserve">│  substance  │              │     MWth     │     MWth     │              │</w:t>
      </w:r>
    </w:p>
    <w:p>
      <w:pPr>
        <w:pStyle w:val="3"/>
        <w:jc w:val="both"/>
      </w:pPr>
      <w:r>
        <w:rPr>
          <w:sz w:val="20"/>
        </w:rPr>
        <w:t xml:space="preserve">├─────────────┼──────────────┼──────────────┼──────────────┼──────────────┤</w:t>
      </w:r>
    </w:p>
    <w:p>
      <w:pPr>
        <w:pStyle w:val="3"/>
        <w:jc w:val="both"/>
      </w:pPr>
      <w:r>
        <w:rPr>
          <w:sz w:val="20"/>
        </w:rPr>
        <w:t xml:space="preserve">│SO           │      -       │           200│           200│           200│</w:t>
      </w:r>
    </w:p>
    <w:p>
      <w:pPr>
        <w:pStyle w:val="3"/>
        <w:jc w:val="both"/>
      </w:pPr>
      <w:r>
        <w:rPr>
          <w:sz w:val="20"/>
        </w:rPr>
        <w:t xml:space="preserve">│  2          │              │              │              │              │</w:t>
      </w:r>
    </w:p>
    <w:p>
      <w:pPr>
        <w:pStyle w:val="3"/>
        <w:jc w:val="both"/>
      </w:pPr>
      <w:r>
        <w:rPr>
          <w:sz w:val="20"/>
        </w:rPr>
        <w:t xml:space="preserve">├─────────────┼──────────────┼──────────────┼──────────────┼──────────────┤</w:t>
      </w:r>
    </w:p>
    <w:p>
      <w:pPr>
        <w:pStyle w:val="3"/>
        <w:jc w:val="both"/>
      </w:pPr>
      <w:r>
        <w:rPr>
          <w:sz w:val="20"/>
        </w:rPr>
        <w:t xml:space="preserve">│NO           │      -       │           300│           250│           200│</w:t>
      </w:r>
    </w:p>
    <w:p>
      <w:pPr>
        <w:pStyle w:val="3"/>
        <w:jc w:val="both"/>
      </w:pPr>
      <w:r>
        <w:rPr>
          <w:sz w:val="20"/>
        </w:rPr>
        <w:t xml:space="preserve">│  x          │              │              │              │              │</w:t>
      </w:r>
    </w:p>
    <w:p>
      <w:pPr>
        <w:pStyle w:val="3"/>
        <w:jc w:val="both"/>
      </w:pPr>
      <w:r>
        <w:rPr>
          <w:sz w:val="20"/>
        </w:rPr>
        <w:t xml:space="preserve">├─────────────┼──────────────┼──────────────┼──────────────┼──────────────┤</w:t>
      </w:r>
    </w:p>
    <w:p>
      <w:pPr>
        <w:pStyle w:val="3"/>
        <w:jc w:val="both"/>
      </w:pPr>
      <w:r>
        <w:rPr>
          <w:sz w:val="20"/>
        </w:rPr>
        <w:t xml:space="preserve">│Dust         │            50│            30│            20│            20│</w:t>
      </w:r>
    </w:p>
    <w:p>
      <w:pPr>
        <w:pStyle w:val="3"/>
        <w:jc w:val="both"/>
      </w:pPr>
      <w:r>
        <w:rPr>
          <w:sz w:val="20"/>
        </w:rPr>
        <w:t xml:space="preserve">└─────────────┴──────────────┴──────────────┴──────────────┴──────────────┘</w:t>
      </w:r>
    </w:p>
    <w:p>
      <w:pPr>
        <w:pStyle w:val="0"/>
        <w:ind w:firstLine="540"/>
        <w:jc w:val="both"/>
      </w:pPr>
      <w:r>
        <w:rPr>
          <w:sz w:val="20"/>
        </w:rPr>
      </w:r>
    </w:p>
    <w:p>
      <w:pPr>
        <w:pStyle w:val="1"/>
        <w:jc w:val="both"/>
      </w:pPr>
      <w:r>
        <w:rPr>
          <w:sz w:val="20"/>
        </w:rPr>
        <w:t xml:space="preserve">    C     for liquid fuels (O  content 3%):</w:t>
      </w:r>
    </w:p>
    <w:p>
      <w:pPr>
        <w:pStyle w:val="1"/>
        <w:jc w:val="both"/>
      </w:pPr>
      <w:r>
        <w:rPr>
          <w:sz w:val="20"/>
        </w:rPr>
        <w:t xml:space="preserve">     proc                    2</w:t>
      </w:r>
    </w:p>
    <w:p>
      <w:pPr>
        <w:pStyle w:val="0"/>
        <w:ind w:firstLine="540"/>
        <w:jc w:val="both"/>
      </w:pPr>
      <w:r>
        <w:rPr>
          <w:sz w:val="20"/>
        </w:rPr>
      </w:r>
    </w:p>
    <w:p>
      <w:pPr>
        <w:pStyle w:val="3"/>
        <w:jc w:val="both"/>
      </w:pPr>
      <w:r>
        <w:rPr>
          <w:sz w:val="20"/>
        </w:rPr>
        <w:t xml:space="preserve">┌─────────────┬──────────────┬──────────────┬──────────────┬──────────────┐</w:t>
      </w:r>
    </w:p>
    <w:p>
      <w:pPr>
        <w:pStyle w:val="3"/>
        <w:jc w:val="both"/>
      </w:pPr>
      <w:r>
        <w:rPr>
          <w:sz w:val="20"/>
        </w:rPr>
        <w:t xml:space="preserve">│Polluting    │  &lt; 50 MWth   │  50 to 100   │  100 to 300  │  &gt; 300 MWth  │</w:t>
      </w:r>
    </w:p>
    <w:p>
      <w:pPr>
        <w:pStyle w:val="3"/>
        <w:jc w:val="both"/>
      </w:pPr>
      <w:r>
        <w:rPr>
          <w:sz w:val="20"/>
        </w:rPr>
        <w:t xml:space="preserve">│substance    │              │    MWth      │     MWth     │              │</w:t>
      </w:r>
    </w:p>
    <w:p>
      <w:pPr>
        <w:pStyle w:val="3"/>
        <w:jc w:val="both"/>
      </w:pPr>
      <w:r>
        <w:rPr>
          <w:sz w:val="20"/>
        </w:rPr>
        <w:t xml:space="preserve">├─────────────┼──────────────┼──────────────┼──────────────┼──────────────┤</w:t>
      </w:r>
    </w:p>
    <w:p>
      <w:pPr>
        <w:pStyle w:val="3"/>
        <w:jc w:val="both"/>
      </w:pPr>
      <w:r>
        <w:rPr>
          <w:sz w:val="20"/>
        </w:rPr>
        <w:t xml:space="preserve">│SO           │      -       │           350│           250│           200│</w:t>
      </w:r>
    </w:p>
    <w:p>
      <w:pPr>
        <w:pStyle w:val="3"/>
        <w:jc w:val="both"/>
      </w:pPr>
      <w:r>
        <w:rPr>
          <w:sz w:val="20"/>
        </w:rPr>
        <w:t xml:space="preserve">│  2          │              │              │              │              │</w:t>
      </w:r>
    </w:p>
    <w:p>
      <w:pPr>
        <w:pStyle w:val="3"/>
        <w:jc w:val="both"/>
      </w:pPr>
      <w:r>
        <w:rPr>
          <w:sz w:val="20"/>
        </w:rPr>
        <w:t xml:space="preserve">├─────────────┼──────────────┼──────────────┼──────────────┼──────────────┤</w:t>
      </w:r>
    </w:p>
    <w:p>
      <w:pPr>
        <w:pStyle w:val="3"/>
        <w:jc w:val="both"/>
      </w:pPr>
      <w:r>
        <w:rPr>
          <w:sz w:val="20"/>
        </w:rPr>
        <w:t xml:space="preserve">│NO           │      -       │           400│           200│           150│</w:t>
      </w:r>
    </w:p>
    <w:p>
      <w:pPr>
        <w:pStyle w:val="3"/>
        <w:jc w:val="both"/>
      </w:pPr>
      <w:r>
        <w:rPr>
          <w:sz w:val="20"/>
        </w:rPr>
        <w:t xml:space="preserve">│  x          │              │              │              │              │</w:t>
      </w:r>
    </w:p>
    <w:p>
      <w:pPr>
        <w:pStyle w:val="3"/>
        <w:jc w:val="both"/>
      </w:pPr>
      <w:r>
        <w:rPr>
          <w:sz w:val="20"/>
        </w:rPr>
        <w:t xml:space="preserve">├─────────────┼──────────────┼──────────────┼──────────────┼──────────────┤</w:t>
      </w:r>
    </w:p>
    <w:p>
      <w:pPr>
        <w:pStyle w:val="3"/>
        <w:jc w:val="both"/>
      </w:pPr>
      <w:r>
        <w:rPr>
          <w:sz w:val="20"/>
        </w:rPr>
        <w:t xml:space="preserve">│Dust         │            50│            30│            25│            20│</w:t>
      </w:r>
    </w:p>
    <w:p>
      <w:pPr>
        <w:pStyle w:val="3"/>
        <w:jc w:val="both"/>
      </w:pPr>
      <w:r>
        <w:rPr>
          <w:sz w:val="20"/>
        </w:rPr>
        <w:t xml:space="preserve">└─────────────┴──────────────┴──────────────┴──────────────┴──────────────┘</w:t>
      </w:r>
    </w:p>
    <w:p>
      <w:pPr>
        <w:pStyle w:val="0"/>
        <w:ind w:firstLine="540"/>
        <w:jc w:val="both"/>
      </w:pPr>
      <w:r>
        <w:rPr>
          <w:sz w:val="20"/>
        </w:rPr>
      </w:r>
    </w:p>
    <w:p>
      <w:pPr>
        <w:pStyle w:val="1"/>
        <w:jc w:val="both"/>
      </w:pPr>
      <w:r>
        <w:rPr>
          <w:sz w:val="20"/>
        </w:rPr>
        <w:t xml:space="preserve">    3.2.2.  C     for combustion plants referred to in Article 30 (3), with</w:t>
      </w:r>
    </w:p>
    <w:p>
      <w:pPr>
        <w:pStyle w:val="1"/>
        <w:jc w:val="both"/>
      </w:pPr>
      <w:r>
        <w:rPr>
          <w:sz w:val="20"/>
        </w:rPr>
        <w:t xml:space="preserve">             proc</w:t>
      </w:r>
    </w:p>
    <w:p>
      <w:pPr>
        <w:pStyle w:val="1"/>
        <w:jc w:val="both"/>
      </w:pPr>
      <w:r>
        <w:rPr>
          <w:sz w:val="20"/>
        </w:rPr>
        <w:t xml:space="preserve">the exception of gas turbines and gas engines</w:t>
      </w:r>
    </w:p>
    <w:p>
      <w:pPr>
        <w:pStyle w:val="1"/>
        <w:jc w:val="both"/>
      </w:pPr>
      <w:r>
        <w:rPr>
          <w:sz w:val="20"/>
        </w:rPr>
        <w:t xml:space="preserve">    C     for solid fuels with the exception of biomass (O  content 6%):</w:t>
      </w:r>
    </w:p>
    <w:p>
      <w:pPr>
        <w:pStyle w:val="1"/>
        <w:jc w:val="both"/>
      </w:pPr>
      <w:r>
        <w:rPr>
          <w:sz w:val="20"/>
        </w:rPr>
        <w:t xml:space="preserve">     proc                                                 2</w:t>
      </w:r>
    </w:p>
    <w:p>
      <w:pPr>
        <w:pStyle w:val="0"/>
        <w:ind w:firstLine="540"/>
        <w:jc w:val="both"/>
      </w:pPr>
      <w:r>
        <w:rPr>
          <w:sz w:val="20"/>
        </w:rPr>
      </w:r>
    </w:p>
    <w:p>
      <w:pPr>
        <w:pStyle w:val="3"/>
        <w:jc w:val="both"/>
      </w:pPr>
      <w:r>
        <w:rPr>
          <w:sz w:val="20"/>
        </w:rPr>
        <w:t xml:space="preserve">┌─────────┬─────────┬─────────────┬───────────────┬───────────────────────┐</w:t>
      </w:r>
    </w:p>
    <w:p>
      <w:pPr>
        <w:pStyle w:val="3"/>
        <w:jc w:val="both"/>
      </w:pPr>
      <w:r>
        <w:rPr>
          <w:sz w:val="20"/>
        </w:rPr>
        <w:t xml:space="preserve">│Polluting│  &lt; 50   │  50 - 100   │  100 to 300   │       &gt; 300 MWth      │</w:t>
      </w:r>
    </w:p>
    <w:p>
      <w:pPr>
        <w:pStyle w:val="3"/>
        <w:jc w:val="both"/>
      </w:pPr>
      <w:r>
        <w:rPr>
          <w:sz w:val="20"/>
        </w:rPr>
        <w:t xml:space="preserve">│substance│  MWth   │    MWth     │     MWth      │                       │</w:t>
      </w:r>
    </w:p>
    <w:p>
      <w:pPr>
        <w:pStyle w:val="3"/>
        <w:jc w:val="both"/>
      </w:pPr>
      <w:r>
        <w:rPr>
          <w:sz w:val="20"/>
        </w:rPr>
        <w:t xml:space="preserve">│         │         │             │               │                       │</w:t>
      </w:r>
    </w:p>
    <w:p>
      <w:pPr>
        <w:pStyle w:val="3"/>
        <w:jc w:val="both"/>
      </w:pPr>
      <w:r>
        <w:rPr>
          <w:sz w:val="20"/>
        </w:rPr>
        <w:t xml:space="preserve">├─────────┼─────────┼─────────────┼───────────────┼───────────────────────┤</w:t>
      </w:r>
    </w:p>
    <w:p>
      <w:pPr>
        <w:pStyle w:val="3"/>
        <w:jc w:val="both"/>
      </w:pPr>
      <w:r>
        <w:rPr>
          <w:sz w:val="20"/>
        </w:rPr>
        <w:t xml:space="preserve">│SO       │    -    │400          │200            │150                    │</w:t>
      </w:r>
    </w:p>
    <w:p>
      <w:pPr>
        <w:pStyle w:val="3"/>
        <w:jc w:val="both"/>
      </w:pPr>
      <w:r>
        <w:rPr>
          <w:sz w:val="20"/>
        </w:rPr>
        <w:t xml:space="preserve">│  2      │         │for peat: 300│for peat: 300, │for circulating or     │</w:t>
      </w:r>
    </w:p>
    <w:p>
      <w:pPr>
        <w:pStyle w:val="3"/>
        <w:jc w:val="both"/>
      </w:pPr>
      <w:r>
        <w:rPr>
          <w:sz w:val="20"/>
        </w:rPr>
        <w:t xml:space="preserve">│         │         │             │except in the  │pressurised fluidised  │</w:t>
      </w:r>
    </w:p>
    <w:p>
      <w:pPr>
        <w:pStyle w:val="3"/>
        <w:jc w:val="both"/>
      </w:pPr>
      <w:r>
        <w:rPr>
          <w:sz w:val="20"/>
        </w:rPr>
        <w:t xml:space="preserve">│         │         │             │case of        │bed combustion or, in  │</w:t>
      </w:r>
    </w:p>
    <w:p>
      <w:pPr>
        <w:pStyle w:val="3"/>
        <w:jc w:val="both"/>
      </w:pPr>
      <w:r>
        <w:rPr>
          <w:sz w:val="20"/>
        </w:rPr>
        <w:t xml:space="preserve">│         │         │             │fluidised bed  │case of peat firing,   │</w:t>
      </w:r>
    </w:p>
    <w:p>
      <w:pPr>
        <w:pStyle w:val="3"/>
        <w:jc w:val="both"/>
      </w:pPr>
      <w:r>
        <w:rPr>
          <w:sz w:val="20"/>
        </w:rPr>
        <w:t xml:space="preserve">│         │         │             │combustion: 250│for all fluidised bed  │</w:t>
      </w:r>
    </w:p>
    <w:p>
      <w:pPr>
        <w:pStyle w:val="3"/>
        <w:jc w:val="both"/>
      </w:pPr>
      <w:r>
        <w:rPr>
          <w:sz w:val="20"/>
        </w:rPr>
        <w:t xml:space="preserve">│         │         │             │               │combustion: 200        │</w:t>
      </w:r>
    </w:p>
    <w:p>
      <w:pPr>
        <w:pStyle w:val="3"/>
        <w:jc w:val="both"/>
      </w:pPr>
      <w:r>
        <w:rPr>
          <w:sz w:val="20"/>
        </w:rPr>
        <w:t xml:space="preserve">├─────────┼─────────┼─────────────┼───────────────┼───────────────────────┤</w:t>
      </w:r>
    </w:p>
    <w:p>
      <w:pPr>
        <w:pStyle w:val="3"/>
        <w:jc w:val="both"/>
      </w:pPr>
      <w:r>
        <w:rPr>
          <w:sz w:val="20"/>
        </w:rPr>
        <w:t xml:space="preserve">│NO       │    -    │300          │200            │150                    │</w:t>
      </w:r>
    </w:p>
    <w:p>
      <w:pPr>
        <w:pStyle w:val="3"/>
        <w:jc w:val="both"/>
      </w:pPr>
      <w:r>
        <w:rPr>
          <w:sz w:val="20"/>
        </w:rPr>
        <w:t xml:space="preserve">│  x      │         │for peat: 250│               │for pulverised lignite │</w:t>
      </w:r>
    </w:p>
    <w:p>
      <w:pPr>
        <w:pStyle w:val="3"/>
        <w:jc w:val="both"/>
      </w:pPr>
      <w:r>
        <w:rPr>
          <w:sz w:val="20"/>
        </w:rPr>
        <w:t xml:space="preserve">│         │         │             │               │combustion: 200        │</w:t>
      </w:r>
    </w:p>
    <w:p>
      <w:pPr>
        <w:pStyle w:val="3"/>
        <w:jc w:val="both"/>
      </w:pPr>
      <w:r>
        <w:rPr>
          <w:sz w:val="20"/>
        </w:rPr>
        <w:t xml:space="preserve">├─────────┼─────────┼─────────────┼───────────────┼───────────────────────┤</w:t>
      </w:r>
    </w:p>
    <w:p>
      <w:pPr>
        <w:pStyle w:val="3"/>
        <w:jc w:val="both"/>
      </w:pPr>
      <w:r>
        <w:rPr>
          <w:sz w:val="20"/>
        </w:rPr>
        <w:t xml:space="preserve">│Dust     │       50│20           │20             │10                     │</w:t>
      </w:r>
    </w:p>
    <w:p>
      <w:pPr>
        <w:pStyle w:val="3"/>
        <w:jc w:val="both"/>
      </w:pPr>
      <w:r>
        <w:rPr>
          <w:sz w:val="20"/>
        </w:rPr>
        <w:t xml:space="preserve">│         │         │             │               │for peat: 20           │</w:t>
      </w:r>
    </w:p>
    <w:p>
      <w:pPr>
        <w:pStyle w:val="3"/>
        <w:jc w:val="both"/>
      </w:pPr>
      <w:r>
        <w:rPr>
          <w:sz w:val="20"/>
        </w:rPr>
        <w:t xml:space="preserve">└─────────┴─────────┴─────────────┴───────────────┴───────────────────────┘</w:t>
      </w:r>
    </w:p>
    <w:p>
      <w:pPr>
        <w:pStyle w:val="0"/>
        <w:ind w:firstLine="540"/>
        <w:jc w:val="both"/>
      </w:pPr>
      <w:r>
        <w:rPr>
          <w:sz w:val="20"/>
        </w:rPr>
      </w:r>
    </w:p>
    <w:p>
      <w:pPr>
        <w:pStyle w:val="1"/>
        <w:jc w:val="both"/>
      </w:pPr>
      <w:r>
        <w:rPr>
          <w:sz w:val="20"/>
        </w:rPr>
        <w:t xml:space="preserve">    C     for biomass (O  content 6%):</w:t>
      </w:r>
    </w:p>
    <w:p>
      <w:pPr>
        <w:pStyle w:val="1"/>
        <w:jc w:val="both"/>
      </w:pPr>
      <w:r>
        <w:rPr>
          <w:sz w:val="20"/>
        </w:rPr>
        <w:t xml:space="preserve">     proc               2</w:t>
      </w:r>
    </w:p>
    <w:p>
      <w:pPr>
        <w:pStyle w:val="0"/>
        <w:ind w:firstLine="540"/>
        <w:jc w:val="both"/>
      </w:pPr>
      <w:r>
        <w:rPr>
          <w:sz w:val="20"/>
        </w:rPr>
      </w:r>
    </w:p>
    <w:p>
      <w:pPr>
        <w:pStyle w:val="3"/>
        <w:jc w:val="both"/>
      </w:pPr>
      <w:r>
        <w:rPr>
          <w:sz w:val="20"/>
        </w:rPr>
        <w:t xml:space="preserve">┌──────────────┬─────────────┬──────────────┬──────────────┬──────────────┐</w:t>
      </w:r>
    </w:p>
    <w:p>
      <w:pPr>
        <w:pStyle w:val="3"/>
        <w:jc w:val="both"/>
      </w:pPr>
      <w:r>
        <w:rPr>
          <w:sz w:val="20"/>
        </w:rPr>
        <w:t xml:space="preserve">│  Polluting   │  &lt; 50 MWth  │  50 to 100   │  100 to 300  │  &gt; 300 MWth  │</w:t>
      </w:r>
    </w:p>
    <w:p>
      <w:pPr>
        <w:pStyle w:val="3"/>
        <w:jc w:val="both"/>
      </w:pPr>
      <w:r>
        <w:rPr>
          <w:sz w:val="20"/>
        </w:rPr>
        <w:t xml:space="preserve">│  substance   │             │     MWth     │     MWth     │              │</w:t>
      </w:r>
    </w:p>
    <w:p>
      <w:pPr>
        <w:pStyle w:val="3"/>
        <w:jc w:val="both"/>
      </w:pPr>
      <w:r>
        <w:rPr>
          <w:sz w:val="20"/>
        </w:rPr>
        <w:t xml:space="preserve">├──────────────┼─────────────┼──────────────┼──────────────┼──────────────┤</w:t>
      </w:r>
    </w:p>
    <w:p>
      <w:pPr>
        <w:pStyle w:val="3"/>
        <w:jc w:val="both"/>
      </w:pPr>
      <w:r>
        <w:rPr>
          <w:sz w:val="20"/>
        </w:rPr>
        <w:t xml:space="preserve">│SO            │      -      │           200│           200│           150│</w:t>
      </w:r>
    </w:p>
    <w:p>
      <w:pPr>
        <w:pStyle w:val="3"/>
        <w:jc w:val="both"/>
      </w:pPr>
      <w:r>
        <w:rPr>
          <w:sz w:val="20"/>
        </w:rPr>
        <w:t xml:space="preserve">│  2           │             │              │              │              │</w:t>
      </w:r>
    </w:p>
    <w:p>
      <w:pPr>
        <w:pStyle w:val="3"/>
        <w:jc w:val="both"/>
      </w:pPr>
      <w:r>
        <w:rPr>
          <w:sz w:val="20"/>
        </w:rPr>
        <w:t xml:space="preserve">├──────────────┼─────────────┼──────────────┼──────────────┼──────────────┤</w:t>
      </w:r>
    </w:p>
    <w:p>
      <w:pPr>
        <w:pStyle w:val="3"/>
        <w:jc w:val="both"/>
      </w:pPr>
      <w:r>
        <w:rPr>
          <w:sz w:val="20"/>
        </w:rPr>
        <w:t xml:space="preserve">│NO            │      -      │           250│           200│           150│</w:t>
      </w:r>
    </w:p>
    <w:p>
      <w:pPr>
        <w:pStyle w:val="3"/>
        <w:jc w:val="both"/>
      </w:pPr>
      <w:r>
        <w:rPr>
          <w:sz w:val="20"/>
        </w:rPr>
        <w:t xml:space="preserve">│  x           │             │              │              │              │</w:t>
      </w:r>
    </w:p>
    <w:p>
      <w:pPr>
        <w:pStyle w:val="3"/>
        <w:jc w:val="both"/>
      </w:pPr>
      <w:r>
        <w:rPr>
          <w:sz w:val="20"/>
        </w:rPr>
        <w:t xml:space="preserve">├──────────────┼─────────────┼──────────────┼──────────────┼──────────────┤</w:t>
      </w:r>
    </w:p>
    <w:p>
      <w:pPr>
        <w:pStyle w:val="3"/>
        <w:jc w:val="both"/>
      </w:pPr>
      <w:r>
        <w:rPr>
          <w:sz w:val="20"/>
        </w:rPr>
        <w:t xml:space="preserve">│Dust          │           50│            20│            20│            20│</w:t>
      </w:r>
    </w:p>
    <w:p>
      <w:pPr>
        <w:pStyle w:val="3"/>
        <w:jc w:val="both"/>
      </w:pPr>
      <w:r>
        <w:rPr>
          <w:sz w:val="20"/>
        </w:rPr>
        <w:t xml:space="preserve">└──────────────┴─────────────┴──────────────┴──────────────┴──────────────┘</w:t>
      </w:r>
    </w:p>
    <w:p>
      <w:pPr>
        <w:pStyle w:val="0"/>
        <w:ind w:firstLine="540"/>
        <w:jc w:val="both"/>
      </w:pPr>
      <w:r>
        <w:rPr>
          <w:sz w:val="20"/>
        </w:rPr>
      </w:r>
    </w:p>
    <w:p>
      <w:pPr>
        <w:pStyle w:val="1"/>
        <w:jc w:val="both"/>
      </w:pPr>
      <w:r>
        <w:rPr>
          <w:sz w:val="20"/>
        </w:rPr>
        <w:t xml:space="preserve">    C     for liquid fuels (O  content 3%):</w:t>
      </w:r>
    </w:p>
    <w:p>
      <w:pPr>
        <w:pStyle w:val="1"/>
        <w:jc w:val="both"/>
      </w:pPr>
      <w:r>
        <w:rPr>
          <w:sz w:val="20"/>
        </w:rPr>
        <w:t xml:space="preserve">     proc                    2</w:t>
      </w:r>
    </w:p>
    <w:p>
      <w:pPr>
        <w:pStyle w:val="0"/>
        <w:ind w:firstLine="540"/>
        <w:jc w:val="both"/>
      </w:pPr>
      <w:r>
        <w:rPr>
          <w:sz w:val="20"/>
        </w:rPr>
      </w:r>
    </w:p>
    <w:p>
      <w:pPr>
        <w:pStyle w:val="3"/>
        <w:jc w:val="both"/>
      </w:pPr>
      <w:r>
        <w:rPr>
          <w:sz w:val="20"/>
        </w:rPr>
        <w:t xml:space="preserve">┌─────────────┬──────────────┬──────────────┬──────────────┬──────────────┐</w:t>
      </w:r>
    </w:p>
    <w:p>
      <w:pPr>
        <w:pStyle w:val="3"/>
        <w:jc w:val="both"/>
      </w:pPr>
      <w:r>
        <w:rPr>
          <w:sz w:val="20"/>
        </w:rPr>
        <w:t xml:space="preserve">│  Polluting  │  &lt; 50 MWth   │  50 to 100   │  100 to 300  │  &gt; 300 MWth  │</w:t>
      </w:r>
    </w:p>
    <w:p>
      <w:pPr>
        <w:pStyle w:val="3"/>
        <w:jc w:val="both"/>
      </w:pPr>
      <w:r>
        <w:rPr>
          <w:sz w:val="20"/>
        </w:rPr>
        <w:t xml:space="preserve">│  substance  │              │     MWth     │     MWth     │              │</w:t>
      </w:r>
    </w:p>
    <w:p>
      <w:pPr>
        <w:pStyle w:val="3"/>
        <w:jc w:val="both"/>
      </w:pPr>
      <w:r>
        <w:rPr>
          <w:sz w:val="20"/>
        </w:rPr>
        <w:t xml:space="preserve">├─────────────┼──────────────┼──────────────┼──────────────┼──────────────┤</w:t>
      </w:r>
    </w:p>
    <w:p>
      <w:pPr>
        <w:pStyle w:val="3"/>
        <w:jc w:val="both"/>
      </w:pPr>
      <w:r>
        <w:rPr>
          <w:sz w:val="20"/>
        </w:rPr>
        <w:t xml:space="preserve">│SO           │      -       │           350│           200│           150│</w:t>
      </w:r>
    </w:p>
    <w:p>
      <w:pPr>
        <w:pStyle w:val="3"/>
        <w:jc w:val="both"/>
      </w:pPr>
      <w:r>
        <w:rPr>
          <w:sz w:val="20"/>
        </w:rPr>
        <w:t xml:space="preserve">│  2          │              │              │              │              │</w:t>
      </w:r>
    </w:p>
    <w:p>
      <w:pPr>
        <w:pStyle w:val="3"/>
        <w:jc w:val="both"/>
      </w:pPr>
      <w:r>
        <w:rPr>
          <w:sz w:val="20"/>
        </w:rPr>
        <w:t xml:space="preserve">├─────────────┼──────────────┼──────────────┼──────────────┼──────────────┤</w:t>
      </w:r>
    </w:p>
    <w:p>
      <w:pPr>
        <w:pStyle w:val="3"/>
        <w:jc w:val="both"/>
      </w:pPr>
      <w:r>
        <w:rPr>
          <w:sz w:val="20"/>
        </w:rPr>
        <w:t xml:space="preserve">│NO           │      -       │           300│           150│           100│</w:t>
      </w:r>
    </w:p>
    <w:p>
      <w:pPr>
        <w:pStyle w:val="3"/>
        <w:jc w:val="both"/>
      </w:pPr>
      <w:r>
        <w:rPr>
          <w:sz w:val="20"/>
        </w:rPr>
        <w:t xml:space="preserve">│  x          │              │              │              │              │</w:t>
      </w:r>
    </w:p>
    <w:p>
      <w:pPr>
        <w:pStyle w:val="3"/>
        <w:jc w:val="both"/>
      </w:pPr>
      <w:r>
        <w:rPr>
          <w:sz w:val="20"/>
        </w:rPr>
        <w:t xml:space="preserve">├─────────────┼──────────────┼──────────────┼──────────────┼──────────────┤</w:t>
      </w:r>
    </w:p>
    <w:p>
      <w:pPr>
        <w:pStyle w:val="3"/>
        <w:jc w:val="both"/>
      </w:pPr>
      <w:r>
        <w:rPr>
          <w:sz w:val="20"/>
        </w:rPr>
        <w:t xml:space="preserve">│Dust         │            50│            20│            20│            10│</w:t>
      </w:r>
    </w:p>
    <w:p>
      <w:pPr>
        <w:pStyle w:val="3"/>
        <w:jc w:val="both"/>
      </w:pPr>
      <w:r>
        <w:rPr>
          <w:sz w:val="20"/>
        </w:rPr>
        <w:t xml:space="preserve">└─────────────┴──────────────┴──────────────┴──────────────┴──────────────┘</w:t>
      </w:r>
    </w:p>
    <w:p>
      <w:pPr>
        <w:pStyle w:val="0"/>
        <w:ind w:firstLine="540"/>
        <w:jc w:val="both"/>
      </w:pPr>
      <w:r>
        <w:rPr>
          <w:sz w:val="20"/>
        </w:rPr>
      </w:r>
    </w:p>
    <w:p>
      <w:pPr>
        <w:pStyle w:val="1"/>
        <w:jc w:val="both"/>
      </w:pPr>
      <w:r>
        <w:rPr>
          <w:sz w:val="20"/>
        </w:rPr>
        <w:t xml:space="preserve">                                                                         3</w:t>
      </w:r>
    </w:p>
    <w:p>
      <w:pPr>
        <w:pStyle w:val="1"/>
        <w:jc w:val="both"/>
      </w:pPr>
      <w:r>
        <w:rPr>
          <w:sz w:val="20"/>
        </w:rPr>
        <w:t xml:space="preserve">    3.3.  C  -  total  emission  limit  values  for  heavy  metals (mg/Nm )</w:t>
      </w:r>
    </w:p>
    <w:p>
      <w:pPr>
        <w:pStyle w:val="1"/>
        <w:jc w:val="both"/>
      </w:pPr>
      <w:r>
        <w:rPr>
          <w:sz w:val="20"/>
        </w:rPr>
        <w:t xml:space="preserve">expressed  as  average  values  over the sampling period of a minimum of 30</w:t>
      </w:r>
    </w:p>
    <w:p>
      <w:pPr>
        <w:pStyle w:val="1"/>
        <w:jc w:val="both"/>
      </w:pPr>
      <w:r>
        <w:rPr>
          <w:sz w:val="20"/>
        </w:rPr>
        <w:t xml:space="preserve">minutes  and a maximum of 8 hours (O  content 6% for solid fuels and 3% for</w:t>
      </w:r>
    </w:p>
    <w:p>
      <w:pPr>
        <w:pStyle w:val="1"/>
        <w:jc w:val="both"/>
      </w:pPr>
      <w:r>
        <w:rPr>
          <w:sz w:val="20"/>
        </w:rPr>
        <w:t xml:space="preserve">                                    2</w:t>
      </w:r>
    </w:p>
    <w:p>
      <w:pPr>
        <w:pStyle w:val="1"/>
        <w:jc w:val="both"/>
      </w:pPr>
      <w:r>
        <w:rPr>
          <w:sz w:val="20"/>
        </w:rPr>
        <w:t xml:space="preserve">liquid fuels)</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6084"/>
        <w:gridCol w:w="2574"/>
      </w:tblGrid>
      <w:tr>
        <w:trPr>
          <w:trHeight w:val="240" w:hRule="atLeast"/>
        </w:trPr>
        <w:tc>
          <w:tcPr>
            <w:tcW w:w="6201" w:type="dxa"/>
          </w:tcPr>
          <w:p>
            <w:pPr>
              <w:pStyle w:val="1"/>
              <w:jc w:val="both"/>
            </w:pPr>
            <w:r>
              <w:rPr>
                <w:sz w:val="20"/>
              </w:rPr>
              <w:t xml:space="preserve">               Polluting substances                </w:t>
            </w:r>
          </w:p>
        </w:tc>
        <w:tc>
          <w:tcPr>
            <w:tcW w:w="2691" w:type="dxa"/>
          </w:tcPr>
          <w:p>
            <w:pPr>
              <w:pStyle w:val="1"/>
              <w:jc w:val="both"/>
            </w:pPr>
            <w:r>
              <w:rPr>
                <w:sz w:val="20"/>
              </w:rPr>
              <w:t xml:space="preserve">          C          </w:t>
            </w:r>
          </w:p>
        </w:tc>
      </w:tr>
      <w:tr>
        <w:trPr>
          <w:trHeight w:val="240" w:hRule="atLeast"/>
        </w:trPr>
        <w:tc>
          <w:tcPr>
            <w:tcW w:w="6201" w:type="dxa"/>
            <w:tcBorders>
              <w:top w:val="nil"/>
            </w:tcBorders>
          </w:tcPr>
          <w:p>
            <w:pPr>
              <w:pStyle w:val="1"/>
              <w:jc w:val="both"/>
            </w:pPr>
            <w:r>
              <w:rPr>
                <w:sz w:val="20"/>
              </w:rPr>
              <w:t xml:space="preserve">Cd + Tl                                            </w:t>
            </w:r>
          </w:p>
        </w:tc>
        <w:tc>
          <w:tcPr>
            <w:tcW w:w="2691" w:type="dxa"/>
            <w:tcBorders>
              <w:top w:val="nil"/>
            </w:tcBorders>
          </w:tcPr>
          <w:p>
            <w:pPr>
              <w:pStyle w:val="1"/>
              <w:jc w:val="both"/>
            </w:pPr>
            <w:r>
              <w:rPr>
                <w:sz w:val="20"/>
              </w:rPr>
              <w:t xml:space="preserve">                 0,05</w:t>
            </w:r>
          </w:p>
        </w:tc>
      </w:tr>
      <w:tr>
        <w:trPr>
          <w:trHeight w:val="240" w:hRule="atLeast"/>
        </w:trPr>
        <w:tc>
          <w:tcPr>
            <w:tcW w:w="6201" w:type="dxa"/>
            <w:tcBorders>
              <w:top w:val="nil"/>
            </w:tcBorders>
          </w:tcPr>
          <w:p>
            <w:pPr>
              <w:pStyle w:val="1"/>
              <w:jc w:val="both"/>
            </w:pPr>
            <w:r>
              <w:rPr>
                <w:sz w:val="20"/>
              </w:rPr>
              <w:t xml:space="preserve">Hg                                                 </w:t>
            </w:r>
          </w:p>
        </w:tc>
        <w:tc>
          <w:tcPr>
            <w:tcW w:w="2691" w:type="dxa"/>
            <w:tcBorders>
              <w:top w:val="nil"/>
            </w:tcBorders>
          </w:tcPr>
          <w:p>
            <w:pPr>
              <w:pStyle w:val="1"/>
              <w:jc w:val="both"/>
            </w:pPr>
            <w:r>
              <w:rPr>
                <w:sz w:val="20"/>
              </w:rPr>
              <w:t xml:space="preserve">                 0,05</w:t>
            </w:r>
          </w:p>
        </w:tc>
      </w:tr>
      <w:tr>
        <w:trPr>
          <w:trHeight w:val="240" w:hRule="atLeast"/>
        </w:trPr>
        <w:tc>
          <w:tcPr>
            <w:tcW w:w="6201" w:type="dxa"/>
            <w:tcBorders>
              <w:top w:val="nil"/>
            </w:tcBorders>
          </w:tcPr>
          <w:p>
            <w:pPr>
              <w:pStyle w:val="1"/>
              <w:jc w:val="both"/>
            </w:pPr>
            <w:r>
              <w:rPr>
                <w:sz w:val="20"/>
              </w:rPr>
              <w:t xml:space="preserve">Sb + As + Pb + Cr + Co + Cu + Mn + Ni + V          </w:t>
            </w:r>
          </w:p>
        </w:tc>
        <w:tc>
          <w:tcPr>
            <w:tcW w:w="2691" w:type="dxa"/>
            <w:tcBorders>
              <w:top w:val="nil"/>
            </w:tcBorders>
          </w:tcPr>
          <w:p>
            <w:pPr>
              <w:pStyle w:val="1"/>
              <w:jc w:val="both"/>
            </w:pPr>
            <w:r>
              <w:rPr>
                <w:sz w:val="20"/>
              </w:rPr>
              <w:t xml:space="preserve">                 0,5 </w:t>
            </w:r>
          </w:p>
        </w:tc>
      </w:tr>
    </w:tbl>
    <w:p>
      <w:pPr>
        <w:pStyle w:val="0"/>
        <w:ind w:firstLine="540"/>
        <w:jc w:val="both"/>
      </w:pPr>
      <w:r>
        <w:rPr>
          <w:sz w:val="20"/>
        </w:rPr>
      </w:r>
    </w:p>
    <w:p>
      <w:pPr>
        <w:pStyle w:val="1"/>
        <w:jc w:val="both"/>
      </w:pPr>
      <w:r>
        <w:rPr>
          <w:sz w:val="20"/>
        </w:rPr>
        <w:t xml:space="preserve">                                                  3</w:t>
      </w:r>
    </w:p>
    <w:p>
      <w:pPr>
        <w:pStyle w:val="1"/>
        <w:jc w:val="both"/>
      </w:pPr>
      <w:r>
        <w:rPr>
          <w:sz w:val="20"/>
        </w:rPr>
        <w:t xml:space="preserve">    3.4.  C  -  total  emission limit value (ng/Nm ) for dioxins and furans</w:t>
      </w:r>
    </w:p>
    <w:p>
      <w:pPr>
        <w:pStyle w:val="1"/>
        <w:jc w:val="both"/>
      </w:pPr>
      <w:r>
        <w:rPr>
          <w:sz w:val="20"/>
        </w:rPr>
        <w:t xml:space="preserve">expressed  as  average value measured over the sampling period of a minimum</w:t>
      </w:r>
    </w:p>
    <w:p>
      <w:pPr>
        <w:pStyle w:val="1"/>
        <w:jc w:val="both"/>
      </w:pPr>
      <w:r>
        <w:rPr>
          <w:sz w:val="20"/>
        </w:rPr>
        <w:t xml:space="preserve">of  6  hours and a maximum of 8 hours (O  content 6% for solid fuels and 3%</w:t>
      </w:r>
    </w:p>
    <w:p>
      <w:pPr>
        <w:pStyle w:val="1"/>
        <w:jc w:val="both"/>
      </w:pPr>
      <w:r>
        <w:rPr>
          <w:sz w:val="20"/>
        </w:rPr>
        <w:t xml:space="preserve">                                        2</w:t>
      </w:r>
    </w:p>
    <w:p>
      <w:pPr>
        <w:pStyle w:val="1"/>
        <w:jc w:val="both"/>
      </w:pPr>
      <w:r>
        <w:rPr>
          <w:sz w:val="20"/>
        </w:rPr>
        <w:t xml:space="preserve">for liquid fuels)</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5616"/>
        <w:gridCol w:w="3042"/>
      </w:tblGrid>
      <w:tr>
        <w:trPr>
          <w:trHeight w:val="240" w:hRule="atLeast"/>
        </w:trPr>
        <w:tc>
          <w:tcPr>
            <w:tcW w:w="5733" w:type="dxa"/>
          </w:tcPr>
          <w:p>
            <w:pPr>
              <w:pStyle w:val="1"/>
              <w:jc w:val="both"/>
            </w:pPr>
            <w:r>
              <w:rPr>
                <w:sz w:val="20"/>
              </w:rPr>
              <w:t xml:space="preserve">             Polluting substance               </w:t>
            </w:r>
          </w:p>
        </w:tc>
        <w:tc>
          <w:tcPr>
            <w:tcW w:w="3159" w:type="dxa"/>
          </w:tcPr>
          <w:p>
            <w:pPr>
              <w:pStyle w:val="1"/>
              <w:jc w:val="both"/>
            </w:pPr>
            <w:r>
              <w:rPr>
                <w:sz w:val="20"/>
              </w:rPr>
              <w:t xml:space="preserve">             C           </w:t>
            </w:r>
          </w:p>
        </w:tc>
      </w:tr>
      <w:tr>
        <w:trPr>
          <w:trHeight w:val="240" w:hRule="atLeast"/>
        </w:trPr>
        <w:tc>
          <w:tcPr>
            <w:tcW w:w="5733" w:type="dxa"/>
            <w:tcBorders>
              <w:top w:val="nil"/>
            </w:tcBorders>
          </w:tcPr>
          <w:p>
            <w:pPr>
              <w:pStyle w:val="1"/>
              <w:jc w:val="both"/>
            </w:pPr>
            <w:r>
              <w:rPr>
                <w:sz w:val="20"/>
              </w:rPr>
              <w:t xml:space="preserve">Dioxins and furans                             </w:t>
            </w:r>
          </w:p>
        </w:tc>
        <w:tc>
          <w:tcPr>
            <w:tcW w:w="3159" w:type="dxa"/>
            <w:tcBorders>
              <w:top w:val="nil"/>
            </w:tcBorders>
          </w:tcPr>
          <w:p>
            <w:pPr>
              <w:pStyle w:val="1"/>
              <w:jc w:val="both"/>
            </w:pPr>
            <w:r>
              <w:rPr>
                <w:sz w:val="20"/>
              </w:rPr>
              <w:t xml:space="preserve">                      0,1</w:t>
            </w:r>
          </w:p>
        </w:tc>
      </w:tr>
    </w:tbl>
    <w:p>
      <w:pPr>
        <w:pStyle w:val="0"/>
        <w:ind w:firstLine="540"/>
        <w:jc w:val="both"/>
      </w:pPr>
      <w:r>
        <w:rPr>
          <w:sz w:val="20"/>
        </w:rPr>
      </w:r>
    </w:p>
    <w:p>
      <w:pPr>
        <w:pStyle w:val="0"/>
        <w:ind w:firstLine="540"/>
        <w:jc w:val="both"/>
      </w:pPr>
      <w:r>
        <w:rPr>
          <w:sz w:val="20"/>
        </w:rPr>
        <w:t xml:space="preserve">4. Special provisions for waste co-incineration plants in industrial sectors not covered under Points 2 and 3 of this Part</w:t>
      </w:r>
    </w:p>
    <w:p>
      <w:pPr>
        <w:pStyle w:val="1"/>
        <w:spacing w:before="200" w:line-rule="auto"/>
        <w:jc w:val="both"/>
      </w:pPr>
      <w:r>
        <w:rPr>
          <w:sz w:val="20"/>
        </w:rPr>
        <w:t xml:space="preserve">                                                  3</w:t>
      </w:r>
    </w:p>
    <w:p>
      <w:pPr>
        <w:pStyle w:val="1"/>
        <w:jc w:val="both"/>
      </w:pPr>
      <w:r>
        <w:rPr>
          <w:sz w:val="20"/>
        </w:rPr>
        <w:t xml:space="preserve">    4.1.  C  -  total  emission limit value (ng/Nm ) for dioxins and furans</w:t>
      </w:r>
    </w:p>
    <w:p>
      <w:pPr>
        <w:pStyle w:val="1"/>
        <w:jc w:val="both"/>
      </w:pPr>
      <w:r>
        <w:rPr>
          <w:sz w:val="20"/>
        </w:rPr>
        <w:t xml:space="preserve">expressed  as  average value measured over the sampling period of a minimum</w:t>
      </w:r>
    </w:p>
    <w:p>
      <w:pPr>
        <w:pStyle w:val="1"/>
        <w:jc w:val="both"/>
      </w:pPr>
      <w:r>
        <w:rPr>
          <w:sz w:val="20"/>
        </w:rPr>
        <w:t xml:space="preserve">of 6 hours and a maximum of 8 hours:</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5616"/>
        <w:gridCol w:w="3042"/>
      </w:tblGrid>
      <w:tr>
        <w:trPr>
          <w:trHeight w:val="240" w:hRule="atLeast"/>
        </w:trPr>
        <w:tc>
          <w:tcPr>
            <w:tcW w:w="5733" w:type="dxa"/>
          </w:tcPr>
          <w:p>
            <w:pPr>
              <w:pStyle w:val="1"/>
              <w:jc w:val="both"/>
            </w:pPr>
            <w:r>
              <w:rPr>
                <w:sz w:val="20"/>
              </w:rPr>
              <w:t xml:space="preserve">             Polluting substance               </w:t>
            </w:r>
          </w:p>
        </w:tc>
        <w:tc>
          <w:tcPr>
            <w:tcW w:w="3159" w:type="dxa"/>
          </w:tcPr>
          <w:p>
            <w:pPr>
              <w:pStyle w:val="1"/>
              <w:jc w:val="both"/>
            </w:pPr>
            <w:r>
              <w:rPr>
                <w:sz w:val="20"/>
              </w:rPr>
              <w:t xml:space="preserve">             C           </w:t>
            </w:r>
          </w:p>
        </w:tc>
      </w:tr>
      <w:tr>
        <w:trPr>
          <w:trHeight w:val="240" w:hRule="atLeast"/>
        </w:trPr>
        <w:tc>
          <w:tcPr>
            <w:tcW w:w="5733" w:type="dxa"/>
            <w:tcBorders>
              <w:top w:val="nil"/>
            </w:tcBorders>
          </w:tcPr>
          <w:p>
            <w:pPr>
              <w:pStyle w:val="1"/>
              <w:jc w:val="both"/>
            </w:pPr>
            <w:r>
              <w:rPr>
                <w:sz w:val="20"/>
              </w:rPr>
              <w:t xml:space="preserve">Dioxins and furans                             </w:t>
            </w:r>
          </w:p>
        </w:tc>
        <w:tc>
          <w:tcPr>
            <w:tcW w:w="3159" w:type="dxa"/>
            <w:tcBorders>
              <w:top w:val="nil"/>
            </w:tcBorders>
          </w:tcPr>
          <w:p>
            <w:pPr>
              <w:pStyle w:val="1"/>
              <w:jc w:val="both"/>
            </w:pPr>
            <w:r>
              <w:rPr>
                <w:sz w:val="20"/>
              </w:rPr>
              <w:t xml:space="preserve">                      0,1</w:t>
            </w:r>
          </w:p>
        </w:tc>
      </w:tr>
    </w:tbl>
    <w:p>
      <w:pPr>
        <w:pStyle w:val="0"/>
        <w:ind w:firstLine="540"/>
        <w:jc w:val="both"/>
      </w:pPr>
      <w:r>
        <w:rPr>
          <w:sz w:val="20"/>
        </w:rPr>
      </w:r>
    </w:p>
    <w:p>
      <w:pPr>
        <w:pStyle w:val="1"/>
        <w:jc w:val="both"/>
      </w:pPr>
      <w:r>
        <w:rPr>
          <w:sz w:val="20"/>
        </w:rPr>
        <w:t xml:space="preserve">                                                      3</w:t>
      </w:r>
    </w:p>
    <w:p>
      <w:pPr>
        <w:pStyle w:val="1"/>
        <w:jc w:val="both"/>
      </w:pPr>
      <w:r>
        <w:rPr>
          <w:sz w:val="20"/>
        </w:rPr>
        <w:t xml:space="preserve">    4.2.  C  -  total  emission  limit  values  (mg/Nm )  for  heavy metals</w:t>
      </w:r>
    </w:p>
    <w:p>
      <w:pPr>
        <w:pStyle w:val="1"/>
        <w:jc w:val="both"/>
      </w:pPr>
      <w:r>
        <w:rPr>
          <w:sz w:val="20"/>
        </w:rPr>
        <w:t xml:space="preserve">expressed  as  average  values  over the sampling period of a minimum of 30</w:t>
      </w:r>
    </w:p>
    <w:p>
      <w:pPr>
        <w:pStyle w:val="1"/>
        <w:jc w:val="both"/>
      </w:pPr>
      <w:r>
        <w:rPr>
          <w:sz w:val="20"/>
        </w:rPr>
        <w:t xml:space="preserve">minutes and a maximum of 8 hours:</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5616"/>
        <w:gridCol w:w="3042"/>
      </w:tblGrid>
      <w:tr>
        <w:trPr>
          <w:trHeight w:val="240" w:hRule="atLeast"/>
        </w:trPr>
        <w:tc>
          <w:tcPr>
            <w:tcW w:w="5733" w:type="dxa"/>
          </w:tcPr>
          <w:p>
            <w:pPr>
              <w:pStyle w:val="1"/>
              <w:jc w:val="both"/>
            </w:pPr>
            <w:r>
              <w:rPr>
                <w:sz w:val="20"/>
              </w:rPr>
              <w:t xml:space="preserve">           Polluting substances                </w:t>
            </w:r>
          </w:p>
        </w:tc>
        <w:tc>
          <w:tcPr>
            <w:tcW w:w="3159" w:type="dxa"/>
          </w:tcPr>
          <w:p>
            <w:pPr>
              <w:pStyle w:val="1"/>
              <w:jc w:val="both"/>
            </w:pPr>
            <w:r>
              <w:rPr>
                <w:sz w:val="20"/>
              </w:rPr>
              <w:t xml:space="preserve">             C           </w:t>
            </w:r>
          </w:p>
        </w:tc>
      </w:tr>
      <w:tr>
        <w:trPr>
          <w:trHeight w:val="240" w:hRule="atLeast"/>
        </w:trPr>
        <w:tc>
          <w:tcPr>
            <w:tcW w:w="5733" w:type="dxa"/>
            <w:tcBorders>
              <w:top w:val="nil"/>
            </w:tcBorders>
          </w:tcPr>
          <w:p>
            <w:pPr>
              <w:pStyle w:val="1"/>
              <w:jc w:val="both"/>
            </w:pPr>
            <w:r>
              <w:rPr>
                <w:sz w:val="20"/>
              </w:rPr>
              <w:t xml:space="preserve">Cd + Tl                                        </w:t>
            </w:r>
          </w:p>
        </w:tc>
        <w:tc>
          <w:tcPr>
            <w:tcW w:w="3159" w:type="dxa"/>
            <w:tcBorders>
              <w:top w:val="nil"/>
            </w:tcBorders>
          </w:tcPr>
          <w:p>
            <w:pPr>
              <w:pStyle w:val="1"/>
              <w:jc w:val="both"/>
            </w:pPr>
            <w:r>
              <w:rPr>
                <w:sz w:val="20"/>
              </w:rPr>
              <w:t xml:space="preserve">                     0,05</w:t>
            </w:r>
          </w:p>
        </w:tc>
      </w:tr>
      <w:tr>
        <w:trPr>
          <w:trHeight w:val="240" w:hRule="atLeast"/>
        </w:trPr>
        <w:tc>
          <w:tcPr>
            <w:tcW w:w="5733" w:type="dxa"/>
            <w:tcBorders>
              <w:top w:val="nil"/>
            </w:tcBorders>
          </w:tcPr>
          <w:p>
            <w:pPr>
              <w:pStyle w:val="1"/>
              <w:jc w:val="both"/>
            </w:pPr>
            <w:r>
              <w:rPr>
                <w:sz w:val="20"/>
              </w:rPr>
              <w:t xml:space="preserve">Hg                                             </w:t>
            </w:r>
          </w:p>
        </w:tc>
        <w:tc>
          <w:tcPr>
            <w:tcW w:w="3159" w:type="dxa"/>
            <w:tcBorders>
              <w:top w:val="nil"/>
            </w:tcBorders>
          </w:tcPr>
          <w:p>
            <w:pPr>
              <w:pStyle w:val="1"/>
              <w:jc w:val="both"/>
            </w:pPr>
            <w:r>
              <w:rPr>
                <w:sz w:val="20"/>
              </w:rPr>
              <w:t xml:space="preserve">                     0,05</w:t>
            </w:r>
          </w:p>
        </w:tc>
      </w:tr>
    </w:tbl>
    <w:p>
      <w:pPr>
        <w:pStyle w:val="0"/>
        <w:jc w:val="center"/>
      </w:pPr>
      <w:r>
        <w:rPr>
          <w:sz w:val="20"/>
        </w:rPr>
      </w:r>
    </w:p>
    <w:p>
      <w:pPr>
        <w:pStyle w:val="0"/>
        <w:outlineLvl w:val="1"/>
        <w:jc w:val="center"/>
      </w:pPr>
      <w:r>
        <w:rPr>
          <w:sz w:val="20"/>
        </w:rPr>
        <w:t xml:space="preserve">Part 5</w:t>
      </w:r>
    </w:p>
    <w:p>
      <w:pPr>
        <w:pStyle w:val="0"/>
        <w:jc w:val="center"/>
      </w:pPr>
      <w:r>
        <w:rPr>
          <w:sz w:val="20"/>
        </w:rPr>
      </w:r>
    </w:p>
    <w:p>
      <w:pPr>
        <w:pStyle w:val="0"/>
        <w:jc w:val="center"/>
      </w:pPr>
      <w:r>
        <w:rPr>
          <w:sz w:val="20"/>
        </w:rPr>
        <w:t xml:space="preserve">Emission limit values for discharges of waste water</w:t>
      </w:r>
    </w:p>
    <w:p>
      <w:pPr>
        <w:pStyle w:val="0"/>
        <w:jc w:val="center"/>
      </w:pPr>
      <w:r>
        <w:rPr>
          <w:sz w:val="20"/>
        </w:rPr>
        <w:t xml:space="preserve">from the cleaning of waste gases</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5499"/>
        <w:gridCol w:w="1521"/>
        <w:gridCol w:w="1638"/>
      </w:tblGrid>
      <w:tr>
        <w:trPr>
          <w:trHeight w:val="240" w:hRule="atLeast"/>
        </w:trPr>
        <w:tc>
          <w:tcPr>
            <w:tcW w:w="5616" w:type="dxa"/>
          </w:tcPr>
          <w:p>
            <w:pPr>
              <w:pStyle w:val="1"/>
              <w:jc w:val="both"/>
            </w:pPr>
            <w:r>
              <w:rPr>
                <w:sz w:val="20"/>
              </w:rPr>
              <w:t xml:space="preserve">              Polluting substances            </w:t>
            </w:r>
          </w:p>
        </w:tc>
        <w:tc>
          <w:tcPr>
            <w:gridSpan w:val="2"/>
            <w:tcW w:w="3393" w:type="dxa"/>
          </w:tcPr>
          <w:p>
            <w:pPr>
              <w:pStyle w:val="1"/>
              <w:jc w:val="both"/>
            </w:pPr>
            <w:r>
              <w:rPr>
                <w:sz w:val="20"/>
              </w:rPr>
              <w:t xml:space="preserve">Emission limit values for </w:t>
            </w:r>
          </w:p>
          <w:p>
            <w:pPr>
              <w:pStyle w:val="1"/>
              <w:jc w:val="both"/>
            </w:pPr>
            <w:r>
              <w:rPr>
                <w:sz w:val="20"/>
              </w:rPr>
              <w:t xml:space="preserve"> unfiltered samples (mg/l </w:t>
            </w:r>
          </w:p>
          <w:p>
            <w:pPr>
              <w:pStyle w:val="1"/>
              <w:jc w:val="both"/>
            </w:pPr>
            <w:r>
              <w:rPr>
                <w:sz w:val="20"/>
              </w:rPr>
              <w:t xml:space="preserve">  except for dioxins and  </w:t>
            </w:r>
          </w:p>
          <w:p>
            <w:pPr>
              <w:pStyle w:val="1"/>
              <w:jc w:val="both"/>
            </w:pPr>
            <w:r>
              <w:rPr>
                <w:sz w:val="20"/>
              </w:rPr>
              <w:t xml:space="preserve">          furans)         </w:t>
            </w:r>
          </w:p>
        </w:tc>
      </w:tr>
      <w:tr>
        <w:trPr>
          <w:trHeight w:val="240" w:hRule="atLeast"/>
        </w:trPr>
        <w:tc>
          <w:tcPr>
            <w:tcW w:w="5616" w:type="dxa"/>
            <w:tcBorders>
              <w:top w:val="nil"/>
            </w:tcBorders>
          </w:tcPr>
          <w:p>
            <w:pPr>
              <w:pStyle w:val="1"/>
              <w:jc w:val="both"/>
            </w:pPr>
            <w:r>
              <w:rPr>
                <w:sz w:val="20"/>
              </w:rPr>
              <w:t xml:space="preserve">1. Total suspended solids as defined in Annex </w:t>
            </w:r>
          </w:p>
          <w:p>
            <w:pPr>
              <w:pStyle w:val="1"/>
              <w:jc w:val="both"/>
            </w:pPr>
            <w:r>
              <w:rPr>
                <w:sz w:val="20"/>
              </w:rPr>
              <w:t xml:space="preserve">I of Directive 91/271/EEC                     </w:t>
            </w:r>
          </w:p>
        </w:tc>
        <w:tc>
          <w:tcPr>
            <w:tcW w:w="1638" w:type="dxa"/>
            <w:tcBorders>
              <w:top w:val="nil"/>
            </w:tcBorders>
          </w:tcPr>
          <w:p>
            <w:pPr>
              <w:pStyle w:val="1"/>
              <w:jc w:val="both"/>
            </w:pPr>
            <w:r>
              <w:rPr>
                <w:sz w:val="20"/>
              </w:rPr>
              <w:t xml:space="preserve">     (95%)  </w:t>
            </w:r>
          </w:p>
          <w:p>
            <w:pPr>
              <w:pStyle w:val="1"/>
              <w:jc w:val="both"/>
            </w:pPr>
            <w:r>
              <w:rPr>
                <w:sz w:val="20"/>
              </w:rPr>
              <w:t xml:space="preserve">      30    </w:t>
            </w:r>
          </w:p>
        </w:tc>
        <w:tc>
          <w:tcPr>
            <w:tcW w:w="1755" w:type="dxa"/>
            <w:tcBorders>
              <w:top w:val="nil"/>
            </w:tcBorders>
          </w:tcPr>
          <w:p>
            <w:pPr>
              <w:pStyle w:val="1"/>
              <w:jc w:val="both"/>
            </w:pPr>
            <w:r>
              <w:rPr>
                <w:sz w:val="20"/>
              </w:rPr>
              <w:t xml:space="preserve">  (100%)     </w:t>
            </w:r>
          </w:p>
          <w:p>
            <w:pPr>
              <w:pStyle w:val="1"/>
              <w:jc w:val="both"/>
            </w:pPr>
            <w:r>
              <w:rPr>
                <w:sz w:val="20"/>
              </w:rPr>
              <w:t xml:space="preserve">    45       </w:t>
            </w:r>
          </w:p>
        </w:tc>
      </w:tr>
      <w:tr>
        <w:trPr>
          <w:trHeight w:val="240" w:hRule="atLeast"/>
        </w:trPr>
        <w:tc>
          <w:tcPr>
            <w:tcW w:w="5616" w:type="dxa"/>
            <w:tcBorders>
              <w:top w:val="nil"/>
            </w:tcBorders>
          </w:tcPr>
          <w:p>
            <w:pPr>
              <w:pStyle w:val="1"/>
              <w:jc w:val="both"/>
            </w:pPr>
            <w:r>
              <w:rPr>
                <w:sz w:val="20"/>
              </w:rPr>
              <w:t xml:space="preserve">2. Mercury and its compounds, expressed as    </w:t>
            </w:r>
          </w:p>
          <w:p>
            <w:pPr>
              <w:pStyle w:val="1"/>
              <w:jc w:val="both"/>
            </w:pPr>
            <w:r>
              <w:rPr>
                <w:sz w:val="20"/>
              </w:rPr>
              <w:t xml:space="preserve">mercury (Hg)                                  </w:t>
            </w:r>
          </w:p>
        </w:tc>
        <w:tc>
          <w:tcPr>
            <w:gridSpan w:val="2"/>
            <w:tcW w:w="3393" w:type="dxa"/>
            <w:tcBorders>
              <w:top w:val="nil"/>
            </w:tcBorders>
          </w:tcPr>
          <w:p>
            <w:pPr>
              <w:pStyle w:val="1"/>
              <w:jc w:val="both"/>
            </w:pPr>
            <w:r>
              <w:rPr>
                <w:sz w:val="20"/>
              </w:rPr>
              <w:t xml:space="preserve">                  0,03    </w:t>
            </w:r>
          </w:p>
        </w:tc>
      </w:tr>
      <w:tr>
        <w:trPr>
          <w:trHeight w:val="240" w:hRule="atLeast"/>
        </w:trPr>
        <w:tc>
          <w:tcPr>
            <w:tcW w:w="5616" w:type="dxa"/>
            <w:tcBorders>
              <w:top w:val="nil"/>
            </w:tcBorders>
          </w:tcPr>
          <w:p>
            <w:pPr>
              <w:pStyle w:val="1"/>
              <w:jc w:val="both"/>
            </w:pPr>
            <w:r>
              <w:rPr>
                <w:sz w:val="20"/>
              </w:rPr>
              <w:t xml:space="preserve">3. Cadmium and its compounds, expressed as    </w:t>
            </w:r>
          </w:p>
          <w:p>
            <w:pPr>
              <w:pStyle w:val="1"/>
              <w:jc w:val="both"/>
            </w:pPr>
            <w:r>
              <w:rPr>
                <w:sz w:val="20"/>
              </w:rPr>
              <w:t xml:space="preserve">cadmium (Cd)                                  </w:t>
            </w:r>
          </w:p>
        </w:tc>
        <w:tc>
          <w:tcPr>
            <w:gridSpan w:val="2"/>
            <w:tcW w:w="3393" w:type="dxa"/>
            <w:tcBorders>
              <w:top w:val="nil"/>
            </w:tcBorders>
          </w:tcPr>
          <w:p>
            <w:pPr>
              <w:pStyle w:val="1"/>
              <w:jc w:val="both"/>
            </w:pPr>
            <w:r>
              <w:rPr>
                <w:sz w:val="20"/>
              </w:rPr>
              <w:t xml:space="preserve">                  0,05    </w:t>
            </w:r>
          </w:p>
        </w:tc>
      </w:tr>
      <w:tr>
        <w:trPr>
          <w:trHeight w:val="240" w:hRule="atLeast"/>
        </w:trPr>
        <w:tc>
          <w:tcPr>
            <w:tcW w:w="5616" w:type="dxa"/>
            <w:tcBorders>
              <w:top w:val="nil"/>
            </w:tcBorders>
          </w:tcPr>
          <w:p>
            <w:pPr>
              <w:pStyle w:val="1"/>
              <w:jc w:val="both"/>
            </w:pPr>
            <w:r>
              <w:rPr>
                <w:sz w:val="20"/>
              </w:rPr>
              <w:t xml:space="preserve">4. Thallium and its compounds, expressed as   </w:t>
            </w:r>
          </w:p>
          <w:p>
            <w:pPr>
              <w:pStyle w:val="1"/>
              <w:jc w:val="both"/>
            </w:pPr>
            <w:r>
              <w:rPr>
                <w:sz w:val="20"/>
              </w:rPr>
              <w:t xml:space="preserve">thallium (Tl)                                 </w:t>
            </w:r>
          </w:p>
        </w:tc>
        <w:tc>
          <w:tcPr>
            <w:gridSpan w:val="2"/>
            <w:tcW w:w="3393" w:type="dxa"/>
            <w:tcBorders>
              <w:top w:val="nil"/>
            </w:tcBorders>
          </w:tcPr>
          <w:p>
            <w:pPr>
              <w:pStyle w:val="1"/>
              <w:jc w:val="both"/>
            </w:pPr>
            <w:r>
              <w:rPr>
                <w:sz w:val="20"/>
              </w:rPr>
              <w:t xml:space="preserve">                  0,05    </w:t>
            </w:r>
          </w:p>
        </w:tc>
      </w:tr>
      <w:tr>
        <w:trPr>
          <w:trHeight w:val="240" w:hRule="atLeast"/>
        </w:trPr>
        <w:tc>
          <w:tcPr>
            <w:tcW w:w="5616" w:type="dxa"/>
            <w:tcBorders>
              <w:top w:val="nil"/>
            </w:tcBorders>
          </w:tcPr>
          <w:p>
            <w:pPr>
              <w:pStyle w:val="1"/>
              <w:jc w:val="both"/>
            </w:pPr>
            <w:r>
              <w:rPr>
                <w:sz w:val="20"/>
              </w:rPr>
              <w:t xml:space="preserve">5. Arsenic and its compounds, expressed as    </w:t>
            </w:r>
          </w:p>
          <w:p>
            <w:pPr>
              <w:pStyle w:val="1"/>
              <w:jc w:val="both"/>
            </w:pPr>
            <w:r>
              <w:rPr>
                <w:sz w:val="20"/>
              </w:rPr>
              <w:t xml:space="preserve">arsenic (As)                                  </w:t>
            </w:r>
          </w:p>
        </w:tc>
        <w:tc>
          <w:tcPr>
            <w:gridSpan w:val="2"/>
            <w:tcW w:w="3393" w:type="dxa"/>
            <w:tcBorders>
              <w:top w:val="nil"/>
            </w:tcBorders>
          </w:tcPr>
          <w:p>
            <w:pPr>
              <w:pStyle w:val="1"/>
              <w:jc w:val="both"/>
            </w:pPr>
            <w:r>
              <w:rPr>
                <w:sz w:val="20"/>
              </w:rPr>
              <w:t xml:space="preserve">                  0,15    </w:t>
            </w:r>
          </w:p>
        </w:tc>
      </w:tr>
      <w:tr>
        <w:trPr>
          <w:trHeight w:val="240" w:hRule="atLeast"/>
        </w:trPr>
        <w:tc>
          <w:tcPr>
            <w:tcW w:w="5616" w:type="dxa"/>
            <w:tcBorders>
              <w:top w:val="nil"/>
            </w:tcBorders>
          </w:tcPr>
          <w:p>
            <w:pPr>
              <w:pStyle w:val="1"/>
              <w:jc w:val="both"/>
            </w:pPr>
            <w:r>
              <w:rPr>
                <w:sz w:val="20"/>
              </w:rPr>
              <w:t xml:space="preserve">6. Lead and its compounds, expressed as lead  </w:t>
            </w:r>
          </w:p>
          <w:p>
            <w:pPr>
              <w:pStyle w:val="1"/>
              <w:jc w:val="both"/>
            </w:pPr>
            <w:r>
              <w:rPr>
                <w:sz w:val="20"/>
              </w:rPr>
              <w:t xml:space="preserve">(Pb)                                          </w:t>
            </w:r>
          </w:p>
        </w:tc>
        <w:tc>
          <w:tcPr>
            <w:gridSpan w:val="2"/>
            <w:tcW w:w="3393" w:type="dxa"/>
            <w:tcBorders>
              <w:top w:val="nil"/>
            </w:tcBorders>
          </w:tcPr>
          <w:p>
            <w:pPr>
              <w:pStyle w:val="1"/>
              <w:jc w:val="both"/>
            </w:pPr>
            <w:r>
              <w:rPr>
                <w:sz w:val="20"/>
              </w:rPr>
              <w:t xml:space="preserve">                  0,2     </w:t>
            </w:r>
          </w:p>
        </w:tc>
      </w:tr>
      <w:tr>
        <w:trPr>
          <w:trHeight w:val="240" w:hRule="atLeast"/>
        </w:trPr>
        <w:tc>
          <w:tcPr>
            <w:tcW w:w="5616" w:type="dxa"/>
            <w:tcBorders>
              <w:top w:val="nil"/>
            </w:tcBorders>
          </w:tcPr>
          <w:p>
            <w:pPr>
              <w:pStyle w:val="1"/>
              <w:jc w:val="both"/>
            </w:pPr>
            <w:r>
              <w:rPr>
                <w:sz w:val="20"/>
              </w:rPr>
              <w:t xml:space="preserve">7. Chromium and its compounds, expressed as   </w:t>
            </w:r>
          </w:p>
          <w:p>
            <w:pPr>
              <w:pStyle w:val="1"/>
              <w:jc w:val="both"/>
            </w:pPr>
            <w:r>
              <w:rPr>
                <w:sz w:val="20"/>
              </w:rPr>
              <w:t xml:space="preserve">chromium (Cr)                                 </w:t>
            </w:r>
          </w:p>
        </w:tc>
        <w:tc>
          <w:tcPr>
            <w:gridSpan w:val="2"/>
            <w:tcW w:w="3393" w:type="dxa"/>
            <w:tcBorders>
              <w:top w:val="nil"/>
            </w:tcBorders>
          </w:tcPr>
          <w:p>
            <w:pPr>
              <w:pStyle w:val="1"/>
              <w:jc w:val="both"/>
            </w:pPr>
            <w:r>
              <w:rPr>
                <w:sz w:val="20"/>
              </w:rPr>
              <w:t xml:space="preserve">                  0,5     </w:t>
            </w:r>
          </w:p>
        </w:tc>
      </w:tr>
      <w:tr>
        <w:trPr>
          <w:trHeight w:val="240" w:hRule="atLeast"/>
        </w:trPr>
        <w:tc>
          <w:tcPr>
            <w:tcW w:w="5616" w:type="dxa"/>
            <w:tcBorders>
              <w:top w:val="nil"/>
            </w:tcBorders>
          </w:tcPr>
          <w:p>
            <w:pPr>
              <w:pStyle w:val="1"/>
              <w:jc w:val="both"/>
            </w:pPr>
            <w:r>
              <w:rPr>
                <w:sz w:val="20"/>
              </w:rPr>
              <w:t xml:space="preserve">8. Copper and its compounds, expressed as     </w:t>
            </w:r>
          </w:p>
          <w:p>
            <w:pPr>
              <w:pStyle w:val="1"/>
              <w:jc w:val="both"/>
            </w:pPr>
            <w:r>
              <w:rPr>
                <w:sz w:val="20"/>
              </w:rPr>
              <w:t xml:space="preserve">copper (Cu)                                   </w:t>
            </w:r>
          </w:p>
        </w:tc>
        <w:tc>
          <w:tcPr>
            <w:gridSpan w:val="2"/>
            <w:tcW w:w="3393" w:type="dxa"/>
            <w:tcBorders>
              <w:top w:val="nil"/>
            </w:tcBorders>
          </w:tcPr>
          <w:p>
            <w:pPr>
              <w:pStyle w:val="1"/>
              <w:jc w:val="both"/>
            </w:pPr>
            <w:r>
              <w:rPr>
                <w:sz w:val="20"/>
              </w:rPr>
              <w:t xml:space="preserve">                  0,5     </w:t>
            </w:r>
          </w:p>
        </w:tc>
      </w:tr>
      <w:tr>
        <w:trPr>
          <w:trHeight w:val="240" w:hRule="atLeast"/>
        </w:trPr>
        <w:tc>
          <w:tcPr>
            <w:tcW w:w="5616" w:type="dxa"/>
            <w:tcBorders>
              <w:top w:val="nil"/>
            </w:tcBorders>
          </w:tcPr>
          <w:p>
            <w:pPr>
              <w:pStyle w:val="1"/>
              <w:jc w:val="both"/>
            </w:pPr>
            <w:r>
              <w:rPr>
                <w:sz w:val="20"/>
              </w:rPr>
              <w:t xml:space="preserve">9. Nickel and its compounds, expressed as     </w:t>
            </w:r>
          </w:p>
          <w:p>
            <w:pPr>
              <w:pStyle w:val="1"/>
              <w:jc w:val="both"/>
            </w:pPr>
            <w:r>
              <w:rPr>
                <w:sz w:val="20"/>
              </w:rPr>
              <w:t xml:space="preserve">nickel (Ni)                                   </w:t>
            </w:r>
          </w:p>
        </w:tc>
        <w:tc>
          <w:tcPr>
            <w:gridSpan w:val="2"/>
            <w:tcW w:w="3393" w:type="dxa"/>
            <w:tcBorders>
              <w:top w:val="nil"/>
            </w:tcBorders>
          </w:tcPr>
          <w:p>
            <w:pPr>
              <w:pStyle w:val="1"/>
              <w:jc w:val="both"/>
            </w:pPr>
            <w:r>
              <w:rPr>
                <w:sz w:val="20"/>
              </w:rPr>
              <w:t xml:space="preserve">                  0,5     </w:t>
            </w:r>
          </w:p>
        </w:tc>
      </w:tr>
      <w:tr>
        <w:trPr>
          <w:trHeight w:val="240" w:hRule="atLeast"/>
        </w:trPr>
        <w:tc>
          <w:tcPr>
            <w:tcW w:w="5616" w:type="dxa"/>
            <w:tcBorders>
              <w:top w:val="nil"/>
            </w:tcBorders>
          </w:tcPr>
          <w:p>
            <w:pPr>
              <w:pStyle w:val="1"/>
              <w:jc w:val="both"/>
            </w:pPr>
            <w:r>
              <w:rPr>
                <w:sz w:val="20"/>
              </w:rPr>
              <w:t xml:space="preserve">10. Zinc and its compounds, expressed as zinc </w:t>
            </w:r>
          </w:p>
          <w:p>
            <w:pPr>
              <w:pStyle w:val="1"/>
              <w:jc w:val="both"/>
            </w:pPr>
            <w:r>
              <w:rPr>
                <w:sz w:val="20"/>
              </w:rPr>
              <w:t xml:space="preserve">(Zn)                                          </w:t>
            </w:r>
          </w:p>
        </w:tc>
        <w:tc>
          <w:tcPr>
            <w:gridSpan w:val="2"/>
            <w:tcW w:w="3393" w:type="dxa"/>
            <w:tcBorders>
              <w:top w:val="nil"/>
            </w:tcBorders>
          </w:tcPr>
          <w:p>
            <w:pPr>
              <w:pStyle w:val="1"/>
              <w:jc w:val="both"/>
            </w:pPr>
            <w:r>
              <w:rPr>
                <w:sz w:val="20"/>
              </w:rPr>
              <w:t xml:space="preserve">                  1,5     </w:t>
            </w:r>
          </w:p>
        </w:tc>
      </w:tr>
      <w:tr>
        <w:trPr>
          <w:trHeight w:val="240" w:hRule="atLeast"/>
        </w:trPr>
        <w:tc>
          <w:tcPr>
            <w:tcW w:w="5616" w:type="dxa"/>
            <w:tcBorders>
              <w:top w:val="nil"/>
            </w:tcBorders>
          </w:tcPr>
          <w:p>
            <w:pPr>
              <w:pStyle w:val="1"/>
              <w:jc w:val="both"/>
            </w:pPr>
            <w:r>
              <w:rPr>
                <w:sz w:val="20"/>
              </w:rPr>
              <w:t xml:space="preserve">11. Dioxins and furans                        </w:t>
            </w:r>
          </w:p>
        </w:tc>
        <w:tc>
          <w:tcPr>
            <w:gridSpan w:val="2"/>
            <w:tcW w:w="3393" w:type="dxa"/>
            <w:tcBorders>
              <w:top w:val="nil"/>
            </w:tcBorders>
          </w:tcPr>
          <w:p>
            <w:pPr>
              <w:pStyle w:val="1"/>
              <w:jc w:val="both"/>
            </w:pPr>
            <w:r>
              <w:rPr>
                <w:sz w:val="20"/>
              </w:rPr>
              <w:t xml:space="preserve">                  0,3 ng/l</w:t>
            </w:r>
          </w:p>
        </w:tc>
      </w:tr>
    </w:tbl>
    <w:p>
      <w:pPr>
        <w:pStyle w:val="0"/>
        <w:jc w:val="center"/>
      </w:pPr>
      <w:r>
        <w:rPr>
          <w:sz w:val="20"/>
        </w:rPr>
      </w:r>
    </w:p>
    <w:p>
      <w:pPr>
        <w:pStyle w:val="0"/>
        <w:outlineLvl w:val="1"/>
        <w:jc w:val="center"/>
      </w:pPr>
      <w:r>
        <w:rPr>
          <w:sz w:val="20"/>
        </w:rPr>
        <w:t xml:space="preserve">Part 6</w:t>
      </w:r>
    </w:p>
    <w:p>
      <w:pPr>
        <w:pStyle w:val="0"/>
        <w:jc w:val="center"/>
      </w:pPr>
      <w:r>
        <w:rPr>
          <w:sz w:val="20"/>
        </w:rPr>
      </w:r>
    </w:p>
    <w:p>
      <w:pPr>
        <w:pStyle w:val="0"/>
        <w:jc w:val="center"/>
      </w:pPr>
      <w:r>
        <w:rPr>
          <w:sz w:val="20"/>
        </w:rPr>
        <w:t xml:space="preserve">Monitoring of emissions</w:t>
      </w:r>
    </w:p>
    <w:p>
      <w:pPr>
        <w:pStyle w:val="0"/>
        <w:jc w:val="center"/>
      </w:pPr>
      <w:r>
        <w:rPr>
          <w:sz w:val="20"/>
        </w:rPr>
      </w:r>
    </w:p>
    <w:p>
      <w:pPr>
        <w:pStyle w:val="0"/>
        <w:ind w:firstLine="540"/>
        <w:jc w:val="both"/>
      </w:pPr>
      <w:r>
        <w:rPr>
          <w:sz w:val="20"/>
        </w:rPr>
        <w:t xml:space="preserve">1. Measurement techniques</w:t>
      </w:r>
    </w:p>
    <w:p>
      <w:pPr>
        <w:pStyle w:val="0"/>
        <w:spacing w:before="200" w:line-rule="auto"/>
        <w:ind w:firstLine="540"/>
        <w:jc w:val="both"/>
      </w:pPr>
      <w:r>
        <w:rPr>
          <w:sz w:val="20"/>
        </w:rPr>
        <w:t xml:space="preserve">1.1. Measurements for the determination of concentrations of air and water polluting substances shall be carried out representatively.</w:t>
      </w:r>
    </w:p>
    <w:p>
      <w:pPr>
        <w:pStyle w:val="0"/>
        <w:spacing w:before="200" w:line-rule="auto"/>
        <w:ind w:firstLine="540"/>
        <w:jc w:val="both"/>
      </w:pPr>
      <w:r>
        <w:rPr>
          <w:sz w:val="20"/>
        </w:rPr>
        <w:t xml:space="preserve">1.2. Sampling and analysis of all polluting substances including dioxins and furans as well as the quality assurance of automated measuring systems and the reference measurement methods to calibrate them shall be carried out according to CEN-standards. If CEN standards are not available, ISO, national or other international standards which ensure the provision of data of an equivalent scientific quality shall apply. Automated measuring systems shall be subject to control by means of parallel measurements with the reference methods at least once per year.</w:t>
      </w:r>
    </w:p>
    <w:p>
      <w:pPr>
        <w:pStyle w:val="0"/>
        <w:spacing w:before="200" w:line-rule="auto"/>
        <w:ind w:firstLine="540"/>
        <w:jc w:val="both"/>
      </w:pPr>
      <w:r>
        <w:rPr>
          <w:sz w:val="20"/>
        </w:rPr>
        <w:t xml:space="preserve">1.3. At the daily emission limit value level, the values of the 95% confidence intervals of a single measured result shall not exceed the following percentages of the emission limit values:</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6084"/>
        <w:gridCol w:w="2574"/>
      </w:tblGrid>
      <w:tr>
        <w:trPr>
          <w:trHeight w:val="240" w:hRule="atLeast"/>
        </w:trPr>
        <w:tc>
          <w:tcPr>
            <w:tcW w:w="6201" w:type="dxa"/>
          </w:tcPr>
          <w:p>
            <w:pPr>
              <w:pStyle w:val="1"/>
              <w:jc w:val="both"/>
            </w:pPr>
            <w:r>
              <w:rPr>
                <w:sz w:val="20"/>
              </w:rPr>
              <w:t xml:space="preserve">Carbon monoxide:                                   </w:t>
            </w:r>
          </w:p>
        </w:tc>
        <w:tc>
          <w:tcPr>
            <w:tcW w:w="2691" w:type="dxa"/>
          </w:tcPr>
          <w:p>
            <w:pPr>
              <w:pStyle w:val="1"/>
              <w:jc w:val="both"/>
            </w:pPr>
            <w:r>
              <w:rPr>
                <w:sz w:val="20"/>
              </w:rPr>
              <w:t xml:space="preserve">10%                  </w:t>
            </w:r>
          </w:p>
        </w:tc>
      </w:tr>
      <w:tr>
        <w:trPr>
          <w:trHeight w:val="240" w:hRule="atLeast"/>
        </w:trPr>
        <w:tc>
          <w:tcPr>
            <w:tcW w:w="6201" w:type="dxa"/>
            <w:tcBorders>
              <w:top w:val="nil"/>
            </w:tcBorders>
          </w:tcPr>
          <w:p>
            <w:pPr>
              <w:pStyle w:val="1"/>
              <w:jc w:val="both"/>
            </w:pPr>
            <w:r>
              <w:rPr>
                <w:sz w:val="20"/>
              </w:rPr>
              <w:t xml:space="preserve">Sulphur dioxide:                                   </w:t>
            </w:r>
          </w:p>
        </w:tc>
        <w:tc>
          <w:tcPr>
            <w:tcW w:w="2691" w:type="dxa"/>
            <w:tcBorders>
              <w:top w:val="nil"/>
            </w:tcBorders>
          </w:tcPr>
          <w:p>
            <w:pPr>
              <w:pStyle w:val="1"/>
              <w:jc w:val="both"/>
            </w:pPr>
            <w:r>
              <w:rPr>
                <w:sz w:val="20"/>
              </w:rPr>
              <w:t xml:space="preserve">20%                  </w:t>
            </w:r>
          </w:p>
        </w:tc>
      </w:tr>
      <w:tr>
        <w:trPr>
          <w:trHeight w:val="240" w:hRule="atLeast"/>
        </w:trPr>
        <w:tc>
          <w:tcPr>
            <w:tcW w:w="6201" w:type="dxa"/>
            <w:tcBorders>
              <w:top w:val="nil"/>
            </w:tcBorders>
          </w:tcPr>
          <w:p>
            <w:pPr>
              <w:pStyle w:val="1"/>
              <w:jc w:val="both"/>
            </w:pPr>
            <w:r>
              <w:rPr>
                <w:sz w:val="20"/>
              </w:rPr>
              <w:t xml:space="preserve">Nitrogen dioxide:                                  </w:t>
            </w:r>
          </w:p>
        </w:tc>
        <w:tc>
          <w:tcPr>
            <w:tcW w:w="2691" w:type="dxa"/>
            <w:tcBorders>
              <w:top w:val="nil"/>
            </w:tcBorders>
          </w:tcPr>
          <w:p>
            <w:pPr>
              <w:pStyle w:val="1"/>
              <w:jc w:val="both"/>
            </w:pPr>
            <w:r>
              <w:rPr>
                <w:sz w:val="20"/>
              </w:rPr>
              <w:t xml:space="preserve">20%                  </w:t>
            </w:r>
          </w:p>
        </w:tc>
      </w:tr>
      <w:tr>
        <w:trPr>
          <w:trHeight w:val="240" w:hRule="atLeast"/>
        </w:trPr>
        <w:tc>
          <w:tcPr>
            <w:tcW w:w="6201" w:type="dxa"/>
            <w:tcBorders>
              <w:top w:val="nil"/>
            </w:tcBorders>
          </w:tcPr>
          <w:p>
            <w:pPr>
              <w:pStyle w:val="1"/>
              <w:jc w:val="both"/>
            </w:pPr>
            <w:r>
              <w:rPr>
                <w:sz w:val="20"/>
              </w:rPr>
              <w:t xml:space="preserve">Total dust:                                        </w:t>
            </w:r>
          </w:p>
        </w:tc>
        <w:tc>
          <w:tcPr>
            <w:tcW w:w="2691" w:type="dxa"/>
            <w:tcBorders>
              <w:top w:val="nil"/>
            </w:tcBorders>
          </w:tcPr>
          <w:p>
            <w:pPr>
              <w:pStyle w:val="1"/>
              <w:jc w:val="both"/>
            </w:pPr>
            <w:r>
              <w:rPr>
                <w:sz w:val="20"/>
              </w:rPr>
              <w:t xml:space="preserve">30%                  </w:t>
            </w:r>
          </w:p>
        </w:tc>
      </w:tr>
      <w:tr>
        <w:trPr>
          <w:trHeight w:val="240" w:hRule="atLeast"/>
        </w:trPr>
        <w:tc>
          <w:tcPr>
            <w:tcW w:w="6201" w:type="dxa"/>
            <w:tcBorders>
              <w:top w:val="nil"/>
            </w:tcBorders>
          </w:tcPr>
          <w:p>
            <w:pPr>
              <w:pStyle w:val="1"/>
              <w:jc w:val="both"/>
            </w:pPr>
            <w:r>
              <w:rPr>
                <w:sz w:val="20"/>
              </w:rPr>
              <w:t xml:space="preserve">Total organic carbon:                              </w:t>
            </w:r>
          </w:p>
        </w:tc>
        <w:tc>
          <w:tcPr>
            <w:tcW w:w="2691" w:type="dxa"/>
            <w:tcBorders>
              <w:top w:val="nil"/>
            </w:tcBorders>
          </w:tcPr>
          <w:p>
            <w:pPr>
              <w:pStyle w:val="1"/>
              <w:jc w:val="both"/>
            </w:pPr>
            <w:r>
              <w:rPr>
                <w:sz w:val="20"/>
              </w:rPr>
              <w:t xml:space="preserve">30%                  </w:t>
            </w:r>
          </w:p>
        </w:tc>
      </w:tr>
      <w:tr>
        <w:trPr>
          <w:trHeight w:val="240" w:hRule="atLeast"/>
        </w:trPr>
        <w:tc>
          <w:tcPr>
            <w:tcW w:w="6201" w:type="dxa"/>
            <w:tcBorders>
              <w:top w:val="nil"/>
            </w:tcBorders>
          </w:tcPr>
          <w:p>
            <w:pPr>
              <w:pStyle w:val="1"/>
              <w:jc w:val="both"/>
            </w:pPr>
            <w:r>
              <w:rPr>
                <w:sz w:val="20"/>
              </w:rPr>
              <w:t xml:space="preserve">Hydrogen chloride:                                 </w:t>
            </w:r>
          </w:p>
        </w:tc>
        <w:tc>
          <w:tcPr>
            <w:tcW w:w="2691" w:type="dxa"/>
            <w:tcBorders>
              <w:top w:val="nil"/>
            </w:tcBorders>
          </w:tcPr>
          <w:p>
            <w:pPr>
              <w:pStyle w:val="1"/>
              <w:jc w:val="both"/>
            </w:pPr>
            <w:r>
              <w:rPr>
                <w:sz w:val="20"/>
              </w:rPr>
              <w:t xml:space="preserve">40%                  </w:t>
            </w:r>
          </w:p>
        </w:tc>
      </w:tr>
      <w:tr>
        <w:trPr>
          <w:trHeight w:val="240" w:hRule="atLeast"/>
        </w:trPr>
        <w:tc>
          <w:tcPr>
            <w:tcW w:w="6201" w:type="dxa"/>
            <w:tcBorders>
              <w:top w:val="nil"/>
            </w:tcBorders>
          </w:tcPr>
          <w:p>
            <w:pPr>
              <w:pStyle w:val="1"/>
              <w:jc w:val="both"/>
            </w:pPr>
            <w:r>
              <w:rPr>
                <w:sz w:val="20"/>
              </w:rPr>
              <w:t xml:space="preserve">Hydrogen fluoride:                                 </w:t>
            </w:r>
          </w:p>
        </w:tc>
        <w:tc>
          <w:tcPr>
            <w:tcW w:w="2691" w:type="dxa"/>
            <w:tcBorders>
              <w:top w:val="nil"/>
            </w:tcBorders>
          </w:tcPr>
          <w:p>
            <w:pPr>
              <w:pStyle w:val="1"/>
              <w:jc w:val="both"/>
            </w:pPr>
            <w:r>
              <w:rPr>
                <w:sz w:val="20"/>
              </w:rPr>
              <w:t xml:space="preserve">40%                  </w:t>
            </w:r>
          </w:p>
        </w:tc>
      </w:tr>
    </w:tbl>
    <w:p>
      <w:pPr>
        <w:pStyle w:val="0"/>
        <w:ind w:firstLine="540"/>
        <w:jc w:val="both"/>
      </w:pPr>
      <w:r>
        <w:rPr>
          <w:sz w:val="20"/>
        </w:rPr>
      </w:r>
    </w:p>
    <w:p>
      <w:pPr>
        <w:pStyle w:val="0"/>
        <w:ind w:firstLine="540"/>
        <w:jc w:val="both"/>
      </w:pPr>
      <w:r>
        <w:rPr>
          <w:sz w:val="20"/>
        </w:rPr>
        <w:t xml:space="preserve">Periodic measurements of the emissions into air and water shall be carried out in accordance with points 1.1 and 1.2.</w:t>
      </w:r>
    </w:p>
    <w:p>
      <w:pPr>
        <w:pStyle w:val="0"/>
        <w:spacing w:before="200" w:line-rule="auto"/>
        <w:ind w:firstLine="540"/>
        <w:jc w:val="both"/>
      </w:pPr>
      <w:r>
        <w:rPr>
          <w:sz w:val="20"/>
        </w:rPr>
        <w:t xml:space="preserve">2. Measurements relating to air polluting substances</w:t>
      </w:r>
    </w:p>
    <w:p>
      <w:pPr>
        <w:pStyle w:val="0"/>
        <w:spacing w:before="200" w:line-rule="auto"/>
        <w:ind w:firstLine="540"/>
        <w:jc w:val="both"/>
      </w:pPr>
      <w:r>
        <w:rPr>
          <w:sz w:val="20"/>
        </w:rPr>
        <w:t xml:space="preserve">2.1. The following measurements relating to air polluting substances shall be carried out:</w:t>
      </w:r>
    </w:p>
    <w:p>
      <w:pPr>
        <w:pStyle w:val="1"/>
        <w:spacing w:before="200" w:line-rule="auto"/>
        <w:jc w:val="both"/>
      </w:pPr>
      <w:r>
        <w:rPr>
          <w:sz w:val="20"/>
        </w:rPr>
        <w:t xml:space="preserve">    (a)  continuous measurements of the following substances: NO , provided</w:t>
      </w:r>
    </w:p>
    <w:p>
      <w:pPr>
        <w:pStyle w:val="1"/>
        <w:jc w:val="both"/>
      </w:pPr>
      <w:r>
        <w:rPr>
          <w:sz w:val="20"/>
        </w:rPr>
        <w:t xml:space="preserve">                                                                x</w:t>
      </w:r>
    </w:p>
    <w:p>
      <w:pPr>
        <w:pStyle w:val="1"/>
        <w:jc w:val="both"/>
      </w:pPr>
      <w:r>
        <w:rPr>
          <w:sz w:val="20"/>
        </w:rPr>
        <w:t xml:space="preserve">that emission limit values are set, CO, total dust, TOC, HCl, HF, SO ;</w:t>
      </w:r>
    </w:p>
    <w:p>
      <w:pPr>
        <w:pStyle w:val="1"/>
        <w:jc w:val="both"/>
      </w:pPr>
      <w:r>
        <w:rPr>
          <w:sz w:val="20"/>
        </w:rPr>
        <w:t xml:space="preserve">                                                                    2</w:t>
      </w:r>
    </w:p>
    <w:p>
      <w:pPr>
        <w:pStyle w:val="0"/>
        <w:ind w:firstLine="540"/>
        <w:jc w:val="both"/>
      </w:pPr>
      <w:r>
        <w:rPr>
          <w:sz w:val="20"/>
        </w:rPr>
        <w:t xml:space="preserve">(b) continuous measurements of the following process operation parameters: temperature near the inner wall or at another representative point of the combustion chamber as authorised by the competent authority, concentration of oxygen, pressure, temperature and water vapour content of the waste gas;</w:t>
      </w:r>
    </w:p>
    <w:p>
      <w:pPr>
        <w:pStyle w:val="0"/>
        <w:spacing w:before="200" w:line-rule="auto"/>
        <w:ind w:firstLine="540"/>
        <w:jc w:val="both"/>
      </w:pPr>
      <w:r>
        <w:rPr>
          <w:sz w:val="20"/>
        </w:rPr>
        <w:t xml:space="preserve">(c) at least two measurements per year of heavy metals and dioxins and furans; one measurement at least every 3 months shall, however, be carried out for the first 12 months of operation.</w:t>
      </w:r>
    </w:p>
    <w:p>
      <w:pPr>
        <w:pStyle w:val="0"/>
        <w:spacing w:before="200" w:line-rule="auto"/>
        <w:ind w:firstLine="540"/>
        <w:jc w:val="both"/>
      </w:pPr>
      <w:r>
        <w:rPr>
          <w:sz w:val="20"/>
        </w:rPr>
        <w:t xml:space="preserve">2.2. The residence time as well as the minimum temperature and the oxygen content of the waste gases shall be subject to appropriate verification, at least once when the waste incineration plant or waste co-incineration plant is brought into service and under the most unfavourable operating conditions anticipated.</w:t>
      </w:r>
    </w:p>
    <w:p>
      <w:pPr>
        <w:pStyle w:val="0"/>
        <w:spacing w:before="200" w:line-rule="auto"/>
        <w:ind w:firstLine="540"/>
        <w:jc w:val="both"/>
      </w:pPr>
      <w:r>
        <w:rPr>
          <w:sz w:val="20"/>
        </w:rPr>
        <w:t xml:space="preserve">2.3. The continuous measurement of HF may be omitted if treatment stages for HCl are used which ensure that the emission limit value for HCl is not being exceeded. In that case the emissions of HF shall be subject to periodic measurements as laid down in point 2.1 (c).</w:t>
      </w:r>
    </w:p>
    <w:p>
      <w:pPr>
        <w:pStyle w:val="0"/>
        <w:spacing w:before="200" w:line-rule="auto"/>
        <w:ind w:firstLine="540"/>
        <w:jc w:val="both"/>
      </w:pPr>
      <w:r>
        <w:rPr>
          <w:sz w:val="20"/>
        </w:rPr>
        <w:t xml:space="preserve">2.4. The continuous measurement of the water vapour content shall not be required if the sampled waste gas is dried before the emissions are analysed.</w:t>
      </w:r>
    </w:p>
    <w:p>
      <w:pPr>
        <w:pStyle w:val="1"/>
        <w:spacing w:before="200" w:line-rule="auto"/>
        <w:jc w:val="both"/>
      </w:pPr>
      <w:r>
        <w:rPr>
          <w:sz w:val="20"/>
        </w:rPr>
        <w:t xml:space="preserve">    2.5.  The  competent  authority  may  decide  not to require continuous</w:t>
      </w:r>
    </w:p>
    <w:p>
      <w:pPr>
        <w:pStyle w:val="1"/>
        <w:jc w:val="both"/>
      </w:pPr>
      <w:r>
        <w:rPr>
          <w:sz w:val="20"/>
        </w:rPr>
        <w:t xml:space="preserve">measurements  for  HCl,  HF  and  SO  in waste incineration plants or waste</w:t>
      </w:r>
    </w:p>
    <w:p>
      <w:pPr>
        <w:pStyle w:val="1"/>
        <w:jc w:val="both"/>
      </w:pPr>
      <w:r>
        <w:rPr>
          <w:sz w:val="20"/>
        </w:rPr>
        <w:t xml:space="preserve">                                    2</w:t>
      </w:r>
    </w:p>
    <w:p>
      <w:pPr>
        <w:pStyle w:val="1"/>
        <w:jc w:val="both"/>
      </w:pPr>
      <w:r>
        <w:rPr>
          <w:sz w:val="20"/>
        </w:rPr>
        <w:t xml:space="preserve">co-incineration  plants  and  require  periodic  measurements as set out in</w:t>
      </w:r>
    </w:p>
    <w:p>
      <w:pPr>
        <w:pStyle w:val="1"/>
        <w:jc w:val="both"/>
      </w:pPr>
      <w:r>
        <w:rPr>
          <w:sz w:val="20"/>
        </w:rPr>
        <w:t xml:space="preserve">point  2.1  (c)  or  no  measurements  if  the  operator can prove that the</w:t>
      </w:r>
    </w:p>
    <w:p>
      <w:pPr>
        <w:pStyle w:val="1"/>
        <w:jc w:val="both"/>
      </w:pPr>
      <w:r>
        <w:rPr>
          <w:sz w:val="20"/>
        </w:rPr>
        <w:t xml:space="preserve">emissions of those pollutants can under no circumstances be higher than the</w:t>
      </w:r>
    </w:p>
    <w:p>
      <w:pPr>
        <w:pStyle w:val="1"/>
        <w:jc w:val="both"/>
      </w:pPr>
      <w:r>
        <w:rPr>
          <w:sz w:val="20"/>
        </w:rPr>
        <w:t xml:space="preserve">prescribed emission limit values.</w:t>
      </w:r>
    </w:p>
    <w:p>
      <w:pPr>
        <w:pStyle w:val="1"/>
        <w:jc w:val="both"/>
      </w:pPr>
      <w:r>
        <w:rPr>
          <w:sz w:val="20"/>
        </w:rPr>
        <w:t xml:space="preserve">    The   competent   authority   may  decide  not  to  require  continuous</w:t>
      </w:r>
    </w:p>
    <w:p>
      <w:pPr>
        <w:pStyle w:val="1"/>
        <w:jc w:val="both"/>
      </w:pPr>
      <w:r>
        <w:rPr>
          <w:sz w:val="20"/>
        </w:rPr>
        <w:t xml:space="preserve">measurements  for NOx and require periodic measurements as set out in point</w:t>
      </w:r>
    </w:p>
    <w:p>
      <w:pPr>
        <w:pStyle w:val="1"/>
        <w:jc w:val="both"/>
      </w:pPr>
      <w:r>
        <w:rPr>
          <w:sz w:val="20"/>
        </w:rPr>
        <w:t xml:space="preserve">2.1  (c)  in  existing waste incineration plants with a nominal capacity of</w:t>
      </w:r>
    </w:p>
    <w:p>
      <w:pPr>
        <w:pStyle w:val="1"/>
        <w:jc w:val="both"/>
      </w:pPr>
      <w:r>
        <w:rPr>
          <w:sz w:val="20"/>
        </w:rPr>
        <w:t xml:space="preserve">less  than  6  tonnes  per hour or in existing waste co-incineration plants</w:t>
      </w:r>
    </w:p>
    <w:p>
      <w:pPr>
        <w:pStyle w:val="1"/>
        <w:jc w:val="both"/>
      </w:pPr>
      <w:r>
        <w:rPr>
          <w:sz w:val="20"/>
        </w:rPr>
        <w:t xml:space="preserve">with  a nominal capacity of less than 6 tonnes per hour if the operator can</w:t>
      </w:r>
    </w:p>
    <w:p>
      <w:pPr>
        <w:pStyle w:val="1"/>
        <w:jc w:val="both"/>
      </w:pPr>
      <w:r>
        <w:rPr>
          <w:sz w:val="20"/>
        </w:rPr>
        <w:t xml:space="preserve">prove  on  the  basis of information on the quality of the waste concerned,</w:t>
      </w:r>
    </w:p>
    <w:p>
      <w:pPr>
        <w:pStyle w:val="1"/>
        <w:jc w:val="both"/>
      </w:pPr>
      <w:r>
        <w:rPr>
          <w:sz w:val="20"/>
        </w:rPr>
        <w:t xml:space="preserve">the  technologies used and the results of the monitoring of emissions, that</w:t>
      </w:r>
    </w:p>
    <w:p>
      <w:pPr>
        <w:pStyle w:val="1"/>
        <w:jc w:val="both"/>
      </w:pPr>
      <w:r>
        <w:rPr>
          <w:sz w:val="20"/>
        </w:rPr>
        <w:t xml:space="preserve">the  emissions  of  NO   can  under  no  circumstances  be  higher than the</w:t>
      </w:r>
    </w:p>
    <w:p>
      <w:pPr>
        <w:pStyle w:val="1"/>
        <w:jc w:val="both"/>
      </w:pPr>
      <w:r>
        <w:rPr>
          <w:sz w:val="20"/>
        </w:rPr>
        <w:t xml:space="preserve">                      x</w:t>
      </w:r>
    </w:p>
    <w:p>
      <w:pPr>
        <w:pStyle w:val="1"/>
        <w:jc w:val="both"/>
      </w:pPr>
      <w:r>
        <w:rPr>
          <w:sz w:val="20"/>
        </w:rPr>
        <w:t xml:space="preserve">prescribed emission limit value.</w:t>
      </w:r>
    </w:p>
    <w:p>
      <w:pPr>
        <w:pStyle w:val="0"/>
        <w:ind w:firstLine="540"/>
        <w:jc w:val="both"/>
      </w:pPr>
      <w:r>
        <w:rPr>
          <w:sz w:val="20"/>
        </w:rPr>
        <w:t xml:space="preserve">2.6. The competent authority may decide to require one measurement every 2 years for heavy metals and one measure ment per year for dioxins and furans in the following cases:</w:t>
      </w:r>
    </w:p>
    <w:p>
      <w:pPr>
        <w:pStyle w:val="0"/>
        <w:spacing w:before="200" w:line-rule="auto"/>
        <w:ind w:firstLine="540"/>
        <w:jc w:val="both"/>
      </w:pPr>
      <w:r>
        <w:rPr>
          <w:sz w:val="20"/>
        </w:rPr>
        <w:t xml:space="preserve">(a) the emissions resulting from co-incineration or incineration of waste are under all circumstances below 50% of the emission limit values;</w:t>
      </w:r>
    </w:p>
    <w:p>
      <w:pPr>
        <w:pStyle w:val="0"/>
        <w:spacing w:before="200" w:line-rule="auto"/>
        <w:ind w:firstLine="540"/>
        <w:jc w:val="both"/>
      </w:pPr>
      <w:r>
        <w:rPr>
          <w:sz w:val="20"/>
        </w:rPr>
        <w:t xml:space="preserve">(b) the waste to be co-incinerated or incinerated consists only of certain sorted combustible fractions of non-hazardous waste not suitable for recycling and presenting certain characteristics, and which is further specified on the basis of the assessment referred to in point (c);</w:t>
      </w:r>
    </w:p>
    <w:p>
      <w:pPr>
        <w:pStyle w:val="0"/>
        <w:spacing w:before="200" w:line-rule="auto"/>
        <w:ind w:firstLine="540"/>
        <w:jc w:val="both"/>
      </w:pPr>
      <w:r>
        <w:rPr>
          <w:sz w:val="20"/>
        </w:rPr>
        <w:t xml:space="preserve">(c) the operator can prove on the basis of information on the quality of the waste concerned and the monitoring of the emissions that the emissions are under all circumstances significantly below the emission limit values for heavy metals and dioxins and furans.</w:t>
      </w:r>
    </w:p>
    <w:p>
      <w:pPr>
        <w:pStyle w:val="0"/>
        <w:spacing w:before="200" w:line-rule="auto"/>
        <w:ind w:firstLine="540"/>
        <w:jc w:val="both"/>
      </w:pPr>
      <w:r>
        <w:rPr>
          <w:sz w:val="20"/>
        </w:rPr>
        <w:t xml:space="preserve">2.7. The results of the measurements shall be standardised using the standard oxygen concentrations mentioned in Part 3 or calculated according to Part 4 and by applying the formula given in Part 7.</w:t>
      </w:r>
    </w:p>
    <w:p>
      <w:pPr>
        <w:pStyle w:val="0"/>
        <w:spacing w:before="200" w:line-rule="auto"/>
        <w:ind w:firstLine="540"/>
        <w:jc w:val="both"/>
      </w:pPr>
      <w:r>
        <w:rPr>
          <w:sz w:val="20"/>
        </w:rPr>
        <w:t xml:space="preserve">When waste is incinerated or co-incinerated in an oxygen-enriched atmosphere, the results of the measurements can be standardised at an oxygen content laid down by the competent authority reflecting the special circumstances of the individual case.</w:t>
      </w:r>
    </w:p>
    <w:p>
      <w:pPr>
        <w:pStyle w:val="0"/>
        <w:spacing w:before="200" w:line-rule="auto"/>
        <w:ind w:firstLine="540"/>
        <w:jc w:val="both"/>
      </w:pPr>
      <w:r>
        <w:rPr>
          <w:sz w:val="20"/>
        </w:rPr>
        <w:t xml:space="preserve">When the emissions of polluting substances are reduced by waste gas treatment in a waste incineration plant or waste co-incineration plant treating hazardous waste, the standardisation with respect to the oxygen contents provided for in the first subparagraph shall be done only if the oxygen content measured over the same period as for the polluting substance concerned exceeds the relevant standard oxygen content.</w:t>
      </w:r>
    </w:p>
    <w:p>
      <w:pPr>
        <w:pStyle w:val="0"/>
        <w:spacing w:before="200" w:line-rule="auto"/>
        <w:ind w:firstLine="540"/>
        <w:jc w:val="both"/>
      </w:pPr>
      <w:r>
        <w:rPr>
          <w:sz w:val="20"/>
        </w:rPr>
        <w:t xml:space="preserve">3. Measurements relating to water polluting substances</w:t>
      </w:r>
    </w:p>
    <w:p>
      <w:pPr>
        <w:pStyle w:val="0"/>
        <w:spacing w:before="200" w:line-rule="auto"/>
        <w:ind w:firstLine="540"/>
        <w:jc w:val="both"/>
      </w:pPr>
      <w:r>
        <w:rPr>
          <w:sz w:val="20"/>
        </w:rPr>
        <w:t xml:space="preserve">3.1. The following measurements shall be carried out at the point of waste water discharge:</w:t>
      </w:r>
    </w:p>
    <w:p>
      <w:pPr>
        <w:pStyle w:val="0"/>
        <w:spacing w:before="200" w:line-rule="auto"/>
        <w:ind w:firstLine="540"/>
        <w:jc w:val="both"/>
      </w:pPr>
      <w:r>
        <w:rPr>
          <w:sz w:val="20"/>
        </w:rPr>
        <w:t xml:space="preserve">(a) continuous measurements of pH, temperature and flow;</w:t>
      </w:r>
    </w:p>
    <w:p>
      <w:pPr>
        <w:pStyle w:val="0"/>
        <w:spacing w:before="200" w:line-rule="auto"/>
        <w:ind w:firstLine="540"/>
        <w:jc w:val="both"/>
      </w:pPr>
      <w:r>
        <w:rPr>
          <w:sz w:val="20"/>
        </w:rPr>
        <w:t xml:space="preserve">(b) spot sample daily measurements of total suspended solids or measurements of a flow proportional representative sample over a period of 24 hours;</w:t>
      </w:r>
    </w:p>
    <w:p>
      <w:pPr>
        <w:pStyle w:val="0"/>
        <w:spacing w:before="200" w:line-rule="auto"/>
        <w:ind w:firstLine="540"/>
        <w:jc w:val="both"/>
      </w:pPr>
      <w:r>
        <w:rPr>
          <w:sz w:val="20"/>
        </w:rPr>
        <w:t xml:space="preserve">(c) at least monthly measurements of a flow proportional representative sample of the discharge over a period of 24 hours of Hg, Cd, TI, As, Pb, Cr, Cu, Ni and Zn;</w:t>
      </w:r>
    </w:p>
    <w:p>
      <w:pPr>
        <w:pStyle w:val="0"/>
        <w:spacing w:before="200" w:line-rule="auto"/>
        <w:ind w:firstLine="540"/>
        <w:jc w:val="both"/>
      </w:pPr>
      <w:r>
        <w:rPr>
          <w:sz w:val="20"/>
        </w:rPr>
        <w:t xml:space="preserve">(d) at least every 6 months measurements of dioxins and furans; however, one measurement at least every 3 months shall be carried out for the first 12 months of operation.</w:t>
      </w:r>
    </w:p>
    <w:p>
      <w:pPr>
        <w:pStyle w:val="0"/>
        <w:spacing w:before="200" w:line-rule="auto"/>
        <w:ind w:firstLine="540"/>
        <w:jc w:val="both"/>
      </w:pPr>
      <w:r>
        <w:rPr>
          <w:sz w:val="20"/>
        </w:rPr>
        <w:t xml:space="preserve">3.2. Where the waste water from the cleaning of waste gases is treated on site collectively with other on-site sources of waste water, the operator shall take the measurements:</w:t>
      </w:r>
    </w:p>
    <w:p>
      <w:pPr>
        <w:pStyle w:val="0"/>
        <w:spacing w:before="200" w:line-rule="auto"/>
        <w:ind w:firstLine="540"/>
        <w:jc w:val="both"/>
      </w:pPr>
      <w:r>
        <w:rPr>
          <w:sz w:val="20"/>
        </w:rPr>
        <w:t xml:space="preserve">(a) on the waste water stream from the waste gas cleaning processes prior to its input into the collective waste water treatment plant;</w:t>
      </w:r>
    </w:p>
    <w:p>
      <w:pPr>
        <w:pStyle w:val="0"/>
        <w:spacing w:before="200" w:line-rule="auto"/>
        <w:ind w:firstLine="540"/>
        <w:jc w:val="both"/>
      </w:pPr>
      <w:r>
        <w:rPr>
          <w:sz w:val="20"/>
        </w:rPr>
        <w:t xml:space="preserve">(b) on the other waste water stream or streams prior to its or their input into the collective waste water treatment plant;</w:t>
      </w:r>
    </w:p>
    <w:p>
      <w:pPr>
        <w:pStyle w:val="0"/>
        <w:spacing w:before="200" w:line-rule="auto"/>
        <w:ind w:firstLine="540"/>
        <w:jc w:val="both"/>
      </w:pPr>
      <w:r>
        <w:rPr>
          <w:sz w:val="20"/>
        </w:rPr>
        <w:t xml:space="preserve">(c) at the point of final waste water discharge, after the treatment, from the waste incineration plant or waste co-incineration plant.</w:t>
      </w:r>
    </w:p>
    <w:p>
      <w:pPr>
        <w:pStyle w:val="0"/>
        <w:ind w:firstLine="540"/>
        <w:jc w:val="both"/>
      </w:pPr>
      <w:r>
        <w:rPr>
          <w:sz w:val="20"/>
        </w:rPr>
      </w:r>
    </w:p>
    <w:p>
      <w:pPr>
        <w:pStyle w:val="0"/>
        <w:outlineLvl w:val="1"/>
        <w:jc w:val="center"/>
      </w:pPr>
      <w:r>
        <w:rPr>
          <w:sz w:val="20"/>
        </w:rPr>
        <w:t xml:space="preserve">Part 7</w:t>
      </w:r>
    </w:p>
    <w:p>
      <w:pPr>
        <w:pStyle w:val="0"/>
        <w:jc w:val="center"/>
      </w:pPr>
      <w:r>
        <w:rPr>
          <w:sz w:val="20"/>
        </w:rPr>
      </w:r>
    </w:p>
    <w:p>
      <w:pPr>
        <w:pStyle w:val="0"/>
        <w:jc w:val="center"/>
      </w:pPr>
      <w:r>
        <w:rPr>
          <w:sz w:val="20"/>
        </w:rPr>
        <w:t xml:space="preserve">Formula to calculate the emission concentration</w:t>
      </w:r>
    </w:p>
    <w:p>
      <w:pPr>
        <w:pStyle w:val="0"/>
        <w:jc w:val="center"/>
      </w:pPr>
      <w:r>
        <w:rPr>
          <w:sz w:val="20"/>
        </w:rPr>
        <w:t xml:space="preserve">at the standard percentage oxygen concentration</w:t>
      </w:r>
    </w:p>
    <w:p>
      <w:pPr>
        <w:pStyle w:val="0"/>
        <w:ind w:firstLine="540"/>
        <w:jc w:val="both"/>
      </w:pPr>
      <w:r>
        <w:rPr>
          <w:sz w:val="20"/>
        </w:rPr>
      </w:r>
    </w:p>
    <w:p>
      <w:pPr>
        <w:pStyle w:val="1"/>
        <w:jc w:val="both"/>
      </w:pPr>
      <w:r>
        <w:rPr>
          <w:sz w:val="20"/>
        </w:rPr>
        <w:t xml:space="preserve">          21 - O</w:t>
      </w:r>
    </w:p>
    <w:p>
      <w:pPr>
        <w:pStyle w:val="1"/>
        <w:jc w:val="both"/>
      </w:pPr>
      <w:r>
        <w:rPr>
          <w:sz w:val="20"/>
        </w:rPr>
        <w:t xml:space="preserve">                s</w:t>
      </w:r>
    </w:p>
    <w:p>
      <w:pPr>
        <w:pStyle w:val="1"/>
        <w:jc w:val="both"/>
      </w:pPr>
      <w:r>
        <w:rPr>
          <w:sz w:val="20"/>
        </w:rPr>
        <w:t xml:space="preserve">    E  = --------- x E</w:t>
      </w:r>
    </w:p>
    <w:p>
      <w:pPr>
        <w:pStyle w:val="1"/>
        <w:jc w:val="both"/>
      </w:pPr>
      <w:r>
        <w:rPr>
          <w:sz w:val="20"/>
        </w:rPr>
        <w:t xml:space="preserve">     s    21 - O      M</w:t>
      </w:r>
    </w:p>
    <w:p>
      <w:pPr>
        <w:pStyle w:val="1"/>
        <w:jc w:val="both"/>
      </w:pPr>
      <w:r>
        <w:rPr>
          <w:sz w:val="20"/>
        </w:rPr>
        <w:t xml:space="preserve">                M</w:t>
      </w:r>
    </w:p>
    <w:p>
      <w:pPr>
        <w:pStyle w:val="0"/>
        <w:ind w:firstLine="540"/>
        <w:jc w:val="both"/>
      </w:pPr>
      <w:r>
        <w:rPr>
          <w:sz w:val="20"/>
        </w:rPr>
      </w:r>
    </w:p>
    <w:p>
      <w:pPr>
        <w:pStyle w:val="1"/>
        <w:jc w:val="both"/>
      </w:pPr>
      <w:r>
        <w:rPr>
          <w:sz w:val="20"/>
        </w:rPr>
        <w:t xml:space="preserve">    E   =  calculated  emission  concentration  at  the standard percentage</w:t>
      </w:r>
    </w:p>
    <w:p>
      <w:pPr>
        <w:pStyle w:val="1"/>
        <w:jc w:val="both"/>
      </w:pPr>
      <w:r>
        <w:rPr>
          <w:sz w:val="20"/>
        </w:rPr>
        <w:t xml:space="preserve">     s</w:t>
      </w:r>
    </w:p>
    <w:p>
      <w:pPr>
        <w:pStyle w:val="1"/>
        <w:jc w:val="both"/>
      </w:pPr>
      <w:r>
        <w:rPr>
          <w:sz w:val="20"/>
        </w:rPr>
        <w:t xml:space="preserve">oxygen concentration</w:t>
      </w:r>
    </w:p>
    <w:p>
      <w:pPr>
        <w:pStyle w:val="1"/>
        <w:jc w:val="both"/>
      </w:pPr>
      <w:r>
        <w:rPr>
          <w:sz w:val="20"/>
        </w:rPr>
      </w:r>
    </w:p>
    <w:p>
      <w:pPr>
        <w:pStyle w:val="1"/>
        <w:jc w:val="both"/>
      </w:pPr>
      <w:r>
        <w:rPr>
          <w:sz w:val="20"/>
        </w:rPr>
        <w:t xml:space="preserve">    E   = measured emission concentration</w:t>
      </w:r>
    </w:p>
    <w:p>
      <w:pPr>
        <w:pStyle w:val="1"/>
        <w:jc w:val="both"/>
      </w:pPr>
      <w:r>
        <w:rPr>
          <w:sz w:val="20"/>
        </w:rPr>
        <w:t xml:space="preserve">     M</w:t>
      </w:r>
    </w:p>
    <w:p>
      <w:pPr>
        <w:pStyle w:val="1"/>
        <w:jc w:val="both"/>
      </w:pPr>
      <w:r>
        <w:rPr>
          <w:sz w:val="20"/>
        </w:rPr>
      </w:r>
    </w:p>
    <w:p>
      <w:pPr>
        <w:pStyle w:val="1"/>
        <w:jc w:val="both"/>
      </w:pPr>
      <w:r>
        <w:rPr>
          <w:sz w:val="20"/>
        </w:rPr>
        <w:t xml:space="preserve">    O   = standard oxygen concentration</w:t>
      </w:r>
    </w:p>
    <w:p>
      <w:pPr>
        <w:pStyle w:val="1"/>
        <w:jc w:val="both"/>
      </w:pPr>
      <w:r>
        <w:rPr>
          <w:sz w:val="20"/>
        </w:rPr>
        <w:t xml:space="preserve">     s</w:t>
      </w:r>
    </w:p>
    <w:p>
      <w:pPr>
        <w:pStyle w:val="1"/>
        <w:jc w:val="both"/>
      </w:pPr>
      <w:r>
        <w:rPr>
          <w:sz w:val="20"/>
        </w:rPr>
      </w:r>
    </w:p>
    <w:p>
      <w:pPr>
        <w:pStyle w:val="1"/>
        <w:jc w:val="both"/>
      </w:pPr>
      <w:r>
        <w:rPr>
          <w:sz w:val="20"/>
        </w:rPr>
        <w:t xml:space="preserve">    O  = measured oxygen concentration</w:t>
      </w:r>
    </w:p>
    <w:p>
      <w:pPr>
        <w:pStyle w:val="1"/>
        <w:jc w:val="both"/>
      </w:pPr>
      <w:r>
        <w:rPr>
          <w:sz w:val="20"/>
        </w:rPr>
        <w:t xml:space="preserve">     M</w:t>
      </w:r>
    </w:p>
    <w:p>
      <w:pPr>
        <w:pStyle w:val="0"/>
        <w:jc w:val="center"/>
      </w:pPr>
      <w:r>
        <w:rPr>
          <w:sz w:val="20"/>
        </w:rPr>
      </w:r>
    </w:p>
    <w:p>
      <w:pPr>
        <w:pStyle w:val="0"/>
        <w:outlineLvl w:val="1"/>
        <w:jc w:val="center"/>
      </w:pPr>
      <w:r>
        <w:rPr>
          <w:sz w:val="20"/>
        </w:rPr>
        <w:t xml:space="preserve">Part 8</w:t>
      </w:r>
    </w:p>
    <w:p>
      <w:pPr>
        <w:pStyle w:val="0"/>
        <w:jc w:val="center"/>
      </w:pPr>
      <w:r>
        <w:rPr>
          <w:sz w:val="20"/>
        </w:rPr>
      </w:r>
    </w:p>
    <w:p>
      <w:pPr>
        <w:pStyle w:val="0"/>
        <w:jc w:val="center"/>
      </w:pPr>
      <w:r>
        <w:rPr>
          <w:sz w:val="20"/>
        </w:rPr>
        <w:t xml:space="preserve">Assessment of compliance with emission limit values</w:t>
      </w:r>
    </w:p>
    <w:p>
      <w:pPr>
        <w:pStyle w:val="0"/>
        <w:jc w:val="center"/>
      </w:pPr>
      <w:r>
        <w:rPr>
          <w:sz w:val="20"/>
        </w:rPr>
      </w:r>
    </w:p>
    <w:p>
      <w:pPr>
        <w:pStyle w:val="0"/>
        <w:ind w:firstLine="540"/>
        <w:jc w:val="both"/>
      </w:pPr>
      <w:r>
        <w:rPr>
          <w:sz w:val="20"/>
        </w:rPr>
        <w:t xml:space="preserve">1. Air emission limit values</w:t>
      </w:r>
    </w:p>
    <w:p>
      <w:pPr>
        <w:pStyle w:val="0"/>
        <w:spacing w:before="200" w:line-rule="auto"/>
        <w:ind w:firstLine="540"/>
        <w:jc w:val="both"/>
      </w:pPr>
      <w:r>
        <w:rPr>
          <w:sz w:val="20"/>
        </w:rPr>
        <w:t xml:space="preserve">1.1. The emission limit values for air shall be regarded as being complied with if:</w:t>
      </w:r>
    </w:p>
    <w:p>
      <w:pPr>
        <w:pStyle w:val="0"/>
        <w:spacing w:before="200" w:line-rule="auto"/>
        <w:ind w:firstLine="540"/>
        <w:jc w:val="both"/>
      </w:pPr>
      <w:r>
        <w:rPr>
          <w:sz w:val="20"/>
        </w:rPr>
        <w:t xml:space="preserve">(a) none of the daily average values exceeds any of the emission limit values set out in point 1.1 of Part 3 or in Part 4 or calculated in accordance with Part 4;</w:t>
      </w:r>
    </w:p>
    <w:p>
      <w:pPr>
        <w:pStyle w:val="0"/>
        <w:spacing w:before="200" w:line-rule="auto"/>
        <w:ind w:firstLine="540"/>
        <w:jc w:val="both"/>
      </w:pPr>
      <w:r>
        <w:rPr>
          <w:sz w:val="20"/>
        </w:rPr>
        <w:t xml:space="preserve">(b) either none of the half-hourly average values exceeds any of the emission limit values set out in column A of the table under point 1.2 of Part 3 or, where relevant, 97% of the half-hourly average values over the year do not exceed any of the emission limit values set out in column B of the table under point 1.2 of Part 3;</w:t>
      </w:r>
    </w:p>
    <w:p>
      <w:pPr>
        <w:pStyle w:val="0"/>
        <w:spacing w:before="200" w:line-rule="auto"/>
        <w:ind w:firstLine="540"/>
        <w:jc w:val="both"/>
      </w:pPr>
      <w:r>
        <w:rPr>
          <w:sz w:val="20"/>
        </w:rPr>
        <w:t xml:space="preserve">(c) none of the average values over the sampling period set out for heavy metals and dioxins and furans exceeds the emission limit values set out in points 1.3 and 1.4 of Part 3 or in Part 4 or calculated in accordance with Part 4;</w:t>
      </w:r>
    </w:p>
    <w:p>
      <w:pPr>
        <w:pStyle w:val="0"/>
        <w:spacing w:before="200" w:line-rule="auto"/>
        <w:ind w:firstLine="540"/>
        <w:jc w:val="both"/>
      </w:pPr>
      <w:r>
        <w:rPr>
          <w:sz w:val="20"/>
        </w:rPr>
        <w:t xml:space="preserve">(d) for carbon monoxide (CO):</w:t>
      </w:r>
    </w:p>
    <w:p>
      <w:pPr>
        <w:pStyle w:val="0"/>
        <w:spacing w:before="200" w:line-rule="auto"/>
        <w:ind w:firstLine="540"/>
        <w:jc w:val="both"/>
      </w:pPr>
      <w:r>
        <w:rPr>
          <w:sz w:val="20"/>
        </w:rPr>
        <w:t xml:space="preserve">(i) in case of waste incineration plants:</w:t>
      </w:r>
    </w:p>
    <w:p>
      <w:pPr>
        <w:pStyle w:val="0"/>
        <w:spacing w:before="200" w:line-rule="auto"/>
        <w:ind w:firstLine="540"/>
        <w:jc w:val="both"/>
      </w:pPr>
      <w:r>
        <w:rPr>
          <w:sz w:val="20"/>
        </w:rPr>
        <w:t xml:space="preserve">- at least 97% of the daily average values over the year do not exceed the emission limit value set out in point 1.5 (a) of Part 3; and,</w:t>
      </w:r>
    </w:p>
    <w:p>
      <w:pPr>
        <w:pStyle w:val="0"/>
        <w:spacing w:before="200" w:line-rule="auto"/>
        <w:ind w:firstLine="540"/>
        <w:jc w:val="both"/>
      </w:pPr>
      <w:r>
        <w:rPr>
          <w:sz w:val="20"/>
        </w:rPr>
        <w:t xml:space="preserve">- at least 95% of all 10-minute average values taken in any 24-hour period or all of the half-hourly average values taken in the same period do not exceed the emission limit values set out in points 1.5 (b) and (c) of Part 3; in case of waste incineration plants in which the gas resulting from the incineration process is raised to a temperature of at least 1100 °C for at least two seconds, Member States may apply an evaluation period of 7 days for the 10-minute average values;</w:t>
      </w:r>
    </w:p>
    <w:p>
      <w:pPr>
        <w:pStyle w:val="0"/>
        <w:spacing w:before="200" w:line-rule="auto"/>
        <w:ind w:firstLine="540"/>
        <w:jc w:val="both"/>
      </w:pPr>
      <w:r>
        <w:rPr>
          <w:sz w:val="20"/>
        </w:rPr>
        <w:t xml:space="preserve">(ii) in case of waste co-incineration plants: the provisions of Part 4 are met.</w:t>
      </w:r>
    </w:p>
    <w:p>
      <w:pPr>
        <w:pStyle w:val="0"/>
        <w:spacing w:before="200" w:line-rule="auto"/>
        <w:ind w:firstLine="540"/>
        <w:jc w:val="both"/>
      </w:pPr>
      <w:r>
        <w:rPr>
          <w:sz w:val="20"/>
        </w:rPr>
        <w:t xml:space="preserve">1.2. The half-hourly average values and the 10-minute averages shall be determined within the effective operating time (excluding the start-up and shut-down periods if no waste is being incinerated) from the measured values after having subtracted the value of the confidence interval specified in point 1.3 of Part 6. The daily average values shall be determined from those validated average values.</w:t>
      </w:r>
    </w:p>
    <w:p>
      <w:pPr>
        <w:pStyle w:val="0"/>
        <w:spacing w:before="200" w:line-rule="auto"/>
        <w:ind w:firstLine="540"/>
        <w:jc w:val="both"/>
      </w:pPr>
      <w:r>
        <w:rPr>
          <w:sz w:val="20"/>
        </w:rPr>
        <w:t xml:space="preserve">To obtain a valid daily average value no more than five half-hourly average values in any day shall be discarded due to malfunction or maintenance of the continuous measurement system. No more than ten daily average values per year shall be discarded due to malfunction or maintenance of the continuous measurement system.</w:t>
      </w:r>
    </w:p>
    <w:p>
      <w:pPr>
        <w:pStyle w:val="1"/>
        <w:spacing w:before="200" w:line-rule="auto"/>
        <w:jc w:val="both"/>
      </w:pPr>
      <w:r>
        <w:rPr>
          <w:sz w:val="20"/>
        </w:rPr>
        <w:t xml:space="preserve">    1.3. The average values over the sampling period and the average values</w:t>
      </w:r>
    </w:p>
    <w:p>
      <w:pPr>
        <w:pStyle w:val="1"/>
        <w:jc w:val="both"/>
      </w:pPr>
      <w:r>
        <w:rPr>
          <w:sz w:val="20"/>
        </w:rPr>
        <w:t xml:space="preserve">in  the  case  of  periodical  measurements  of  HF,  HCl  and SO  shall be</w:t>
      </w:r>
    </w:p>
    <w:p>
      <w:pPr>
        <w:pStyle w:val="1"/>
        <w:jc w:val="both"/>
      </w:pPr>
      <w:r>
        <w:rPr>
          <w:sz w:val="20"/>
        </w:rPr>
        <w:t xml:space="preserve">                                                                 2</w:t>
      </w:r>
    </w:p>
    <w:p>
      <w:pPr>
        <w:pStyle w:val="1"/>
        <w:jc w:val="both"/>
      </w:pPr>
      <w:r>
        <w:rPr>
          <w:sz w:val="20"/>
        </w:rPr>
        <w:t xml:space="preserve">determined  in  accordance with the requirements of Articles 45 (1) (e), 48</w:t>
      </w:r>
    </w:p>
    <w:p>
      <w:pPr>
        <w:pStyle w:val="1"/>
        <w:jc w:val="both"/>
      </w:pPr>
      <w:r>
        <w:rPr>
          <w:sz w:val="20"/>
        </w:rPr>
        <w:t xml:space="preserve">(3) and point 1 of Part 6.</w:t>
      </w:r>
    </w:p>
    <w:p>
      <w:pPr>
        <w:pStyle w:val="0"/>
        <w:ind w:firstLine="540"/>
        <w:jc w:val="both"/>
      </w:pPr>
      <w:r>
        <w:rPr>
          <w:sz w:val="20"/>
        </w:rPr>
        <w:t xml:space="preserve">2. Water emission limit values</w:t>
      </w:r>
    </w:p>
    <w:p>
      <w:pPr>
        <w:pStyle w:val="0"/>
        <w:spacing w:before="200" w:line-rule="auto"/>
        <w:ind w:firstLine="540"/>
        <w:jc w:val="both"/>
      </w:pPr>
      <w:r>
        <w:rPr>
          <w:sz w:val="20"/>
        </w:rPr>
        <w:t xml:space="preserve">The emission limit values for water shall be regarded as being complied with if:</w:t>
      </w:r>
    </w:p>
    <w:p>
      <w:pPr>
        <w:pStyle w:val="0"/>
        <w:spacing w:before="200" w:line-rule="auto"/>
        <w:ind w:firstLine="540"/>
        <w:jc w:val="both"/>
      </w:pPr>
      <w:r>
        <w:rPr>
          <w:sz w:val="20"/>
        </w:rPr>
        <w:t xml:space="preserve">(a) for total suspended solids 95% and 100% of the measured values do not exceed the respective emission limit values as set out in Part 5;</w:t>
      </w:r>
    </w:p>
    <w:p>
      <w:pPr>
        <w:pStyle w:val="0"/>
        <w:spacing w:before="200" w:line-rule="auto"/>
        <w:ind w:firstLine="540"/>
        <w:jc w:val="both"/>
      </w:pPr>
      <w:r>
        <w:rPr>
          <w:sz w:val="20"/>
        </w:rPr>
        <w:t xml:space="preserve">(b) for heavy metals (Hg, Cd, TI, As, Pb, Cr, Cu, Ni and Zn) no more than one measurement per year exceeds the emission limit values set out in Part 5; or, if the Member State provides for more than 20 samples per year, no more than 5% of these samples exceed the emission limit values set out in Part 5;</w:t>
      </w:r>
    </w:p>
    <w:p>
      <w:pPr>
        <w:pStyle w:val="0"/>
        <w:spacing w:before="200" w:line-rule="auto"/>
        <w:ind w:firstLine="540"/>
        <w:jc w:val="both"/>
      </w:pPr>
      <w:r>
        <w:rPr>
          <w:sz w:val="20"/>
        </w:rPr>
        <w:t xml:space="preserve">(c) for dioxins and furans, the measurement results do not exceed the emission limit value set out in Part 5.</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Annex VII</w:t>
      </w:r>
    </w:p>
    <w:p>
      <w:pPr>
        <w:pStyle w:val="0"/>
        <w:jc w:val="right"/>
      </w:pPr>
      <w:r>
        <w:rPr>
          <w:sz w:val="20"/>
        </w:rPr>
      </w:r>
    </w:p>
    <w:p>
      <w:pPr>
        <w:pStyle w:val="2"/>
        <w:jc w:val="center"/>
      </w:pPr>
      <w:r>
        <w:rPr>
          <w:sz w:val="20"/>
        </w:rPr>
        <w:t xml:space="preserve">TECHNICAL PROVISIONS RELATING TO INSTALLATIONS</w:t>
      </w:r>
    </w:p>
    <w:p>
      <w:pPr>
        <w:pStyle w:val="2"/>
        <w:jc w:val="center"/>
      </w:pPr>
      <w:r>
        <w:rPr>
          <w:sz w:val="20"/>
        </w:rPr>
        <w:t xml:space="preserve">AND ACTIVITIES USING ORGANIC SOLVENTS</w:t>
      </w:r>
    </w:p>
    <w:p>
      <w:pPr>
        <w:pStyle w:val="0"/>
        <w:jc w:val="center"/>
      </w:pPr>
      <w:r>
        <w:rPr>
          <w:sz w:val="20"/>
        </w:rPr>
      </w:r>
    </w:p>
    <w:p>
      <w:pPr>
        <w:pStyle w:val="0"/>
        <w:outlineLvl w:val="1"/>
        <w:jc w:val="center"/>
      </w:pPr>
      <w:r>
        <w:rPr>
          <w:sz w:val="20"/>
        </w:rPr>
        <w:t xml:space="preserve">Part 1</w:t>
      </w:r>
    </w:p>
    <w:p>
      <w:pPr>
        <w:pStyle w:val="0"/>
        <w:jc w:val="center"/>
      </w:pPr>
      <w:r>
        <w:rPr>
          <w:sz w:val="20"/>
        </w:rPr>
      </w:r>
    </w:p>
    <w:p>
      <w:pPr>
        <w:pStyle w:val="0"/>
        <w:jc w:val="center"/>
      </w:pPr>
      <w:r>
        <w:rPr>
          <w:sz w:val="20"/>
        </w:rPr>
        <w:t xml:space="preserve">Activities</w:t>
      </w:r>
    </w:p>
    <w:p>
      <w:pPr>
        <w:pStyle w:val="0"/>
        <w:jc w:val="center"/>
      </w:pPr>
      <w:r>
        <w:rPr>
          <w:sz w:val="20"/>
        </w:rPr>
      </w:r>
    </w:p>
    <w:p>
      <w:pPr>
        <w:pStyle w:val="0"/>
        <w:ind w:firstLine="540"/>
        <w:jc w:val="both"/>
      </w:pPr>
      <w:r>
        <w:rPr>
          <w:sz w:val="20"/>
        </w:rPr>
        <w:t xml:space="preserve">1. In each of the following points, the activity includes the cleaning of the equipment but not the cleaning of products unless specified otherwise.</w:t>
      </w:r>
    </w:p>
    <w:p>
      <w:pPr>
        <w:pStyle w:val="0"/>
        <w:spacing w:before="200" w:line-rule="auto"/>
        <w:ind w:firstLine="540"/>
        <w:jc w:val="both"/>
      </w:pPr>
      <w:r>
        <w:rPr>
          <w:sz w:val="20"/>
        </w:rPr>
        <w:t xml:space="preserve">2. Adhesive coating</w:t>
      </w:r>
    </w:p>
    <w:p>
      <w:pPr>
        <w:pStyle w:val="0"/>
        <w:spacing w:before="200" w:line-rule="auto"/>
        <w:ind w:firstLine="540"/>
        <w:jc w:val="both"/>
      </w:pPr>
      <w:r>
        <w:rPr>
          <w:sz w:val="20"/>
        </w:rPr>
        <w:t xml:space="preserve">Any activity in which an adhesive is applied to a surface, with the exception of adhesive coating and laminating associated with printing activities.</w:t>
      </w:r>
    </w:p>
    <w:p>
      <w:pPr>
        <w:pStyle w:val="0"/>
        <w:spacing w:before="200" w:line-rule="auto"/>
        <w:ind w:firstLine="540"/>
        <w:jc w:val="both"/>
      </w:pPr>
      <w:r>
        <w:rPr>
          <w:sz w:val="20"/>
        </w:rPr>
        <w:t xml:space="preserve">3. Coating activity</w:t>
      </w:r>
    </w:p>
    <w:p>
      <w:pPr>
        <w:pStyle w:val="0"/>
        <w:spacing w:before="200" w:line-rule="auto"/>
        <w:ind w:firstLine="540"/>
        <w:jc w:val="both"/>
      </w:pPr>
      <w:r>
        <w:rPr>
          <w:sz w:val="20"/>
        </w:rPr>
        <w:t xml:space="preserve">Any activity in which a single or multiple application of a continuous film of a coating is applied to:</w:t>
      </w:r>
    </w:p>
    <w:p>
      <w:pPr>
        <w:pStyle w:val="0"/>
        <w:spacing w:before="200" w:line-rule="auto"/>
        <w:ind w:firstLine="540"/>
        <w:jc w:val="both"/>
      </w:pPr>
      <w:r>
        <w:rPr>
          <w:sz w:val="20"/>
        </w:rPr>
        <w:t xml:space="preserve">(a) either of the following vehicles:</w:t>
      </w:r>
    </w:p>
    <w:p>
      <w:pPr>
        <w:pStyle w:val="0"/>
        <w:spacing w:before="200" w:line-rule="auto"/>
        <w:ind w:firstLine="540"/>
        <w:jc w:val="both"/>
      </w:pPr>
      <w:r>
        <w:rPr>
          <w:sz w:val="20"/>
        </w:rPr>
        <w:t xml:space="preserve">(i) new cars, defined as vehicles of category M1 in Directive 2007/46/EC of the European Parliament and of the Council of 5 September 2007 establishing a framework for the approval of motor vehicles and their trailers, and of systems, components and separate technical units intended for such vehicles &lt;*&gt; and of category N1 in so far as they are coated at the same installation as M1 vehicles;</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OJ L 263, 9.10.2007, p. 1.</w:t>
      </w:r>
    </w:p>
    <w:p>
      <w:pPr>
        <w:pStyle w:val="0"/>
        <w:ind w:firstLine="540"/>
        <w:jc w:val="both"/>
      </w:pPr>
      <w:r>
        <w:rPr>
          <w:sz w:val="20"/>
        </w:rPr>
      </w:r>
    </w:p>
    <w:p>
      <w:pPr>
        <w:pStyle w:val="0"/>
        <w:ind w:firstLine="540"/>
        <w:jc w:val="both"/>
      </w:pPr>
      <w:r>
        <w:rPr>
          <w:sz w:val="20"/>
        </w:rPr>
        <w:t xml:space="preserve">(ii) truck cabins, defined as the housing for the driver, and all integrated housing for the technical equipment, of vehicles of categories N2 and N3 in Directive 2007/46/EC;</w:t>
      </w:r>
    </w:p>
    <w:p>
      <w:pPr>
        <w:pStyle w:val="0"/>
        <w:spacing w:before="200" w:line-rule="auto"/>
        <w:ind w:firstLine="540"/>
        <w:jc w:val="both"/>
      </w:pPr>
      <w:r>
        <w:rPr>
          <w:sz w:val="20"/>
        </w:rPr>
        <w:t xml:space="preserve">(iii) vans and trucks, defined as vehicles of categories N1, N2 and N3 in Directive 2007/46/EC, but not including truck cabins;</w:t>
      </w:r>
    </w:p>
    <w:p>
      <w:pPr>
        <w:pStyle w:val="0"/>
        <w:spacing w:before="200" w:line-rule="auto"/>
        <w:ind w:firstLine="540"/>
        <w:jc w:val="both"/>
      </w:pPr>
      <w:r>
        <w:rPr>
          <w:sz w:val="20"/>
        </w:rPr>
        <w:t xml:space="preserve">(iv) buses, defined as vehicles of categories M2 and M3 in Directive 2007/46/EC;</w:t>
      </w:r>
    </w:p>
    <w:p>
      <w:pPr>
        <w:pStyle w:val="0"/>
        <w:spacing w:before="200" w:line-rule="auto"/>
        <w:ind w:firstLine="540"/>
        <w:jc w:val="both"/>
      </w:pPr>
      <w:r>
        <w:rPr>
          <w:sz w:val="20"/>
        </w:rPr>
        <w:t xml:space="preserve">(v) trailers, defined in categories O1, O2, O3 and O4 in Directive 2007/46/EC;</w:t>
      </w:r>
    </w:p>
    <w:p>
      <w:pPr>
        <w:pStyle w:val="0"/>
        <w:spacing w:before="200" w:line-rule="auto"/>
        <w:ind w:firstLine="540"/>
        <w:jc w:val="both"/>
      </w:pPr>
      <w:r>
        <w:rPr>
          <w:sz w:val="20"/>
        </w:rPr>
        <w:t xml:space="preserve">(b) metallic and plastic surfaces including surfaces of airplanes, ships, trains, etc.;</w:t>
      </w:r>
    </w:p>
    <w:p>
      <w:pPr>
        <w:pStyle w:val="0"/>
        <w:spacing w:before="200" w:line-rule="auto"/>
        <w:ind w:firstLine="540"/>
        <w:jc w:val="both"/>
      </w:pPr>
      <w:r>
        <w:rPr>
          <w:sz w:val="20"/>
        </w:rPr>
        <w:t xml:space="preserve">(c) wooden surfaces;</w:t>
      </w:r>
    </w:p>
    <w:p>
      <w:pPr>
        <w:pStyle w:val="0"/>
        <w:spacing w:before="200" w:line-rule="auto"/>
        <w:ind w:firstLine="540"/>
        <w:jc w:val="both"/>
      </w:pPr>
      <w:r>
        <w:rPr>
          <w:sz w:val="20"/>
        </w:rPr>
        <w:t xml:space="preserve">(d) textile, fabric, film and paper surfaces;</w:t>
      </w:r>
    </w:p>
    <w:p>
      <w:pPr>
        <w:pStyle w:val="0"/>
        <w:spacing w:before="200" w:line-rule="auto"/>
        <w:ind w:firstLine="540"/>
        <w:jc w:val="both"/>
      </w:pPr>
      <w:r>
        <w:rPr>
          <w:sz w:val="20"/>
        </w:rPr>
        <w:t xml:space="preserve">(e) leather.</w:t>
      </w:r>
    </w:p>
    <w:p>
      <w:pPr>
        <w:pStyle w:val="0"/>
        <w:spacing w:before="200" w:line-rule="auto"/>
        <w:ind w:firstLine="540"/>
        <w:jc w:val="both"/>
      </w:pPr>
      <w:r>
        <w:rPr>
          <w:sz w:val="20"/>
        </w:rPr>
        <w:t xml:space="preserve">Coating activities do not include the coating of substrate with metals by electrophoretic and chemical spraying techniques. If the coating activity includes a step in which the same article is printed by whatever technique used, that printing step is considered part of the coating activity. However, printing activities operated as a separate activity are not included, but may be covered by Chapter V of this Directive if the printing activity falls within the scope thereof.</w:t>
      </w:r>
    </w:p>
    <w:p>
      <w:pPr>
        <w:pStyle w:val="0"/>
        <w:spacing w:before="200" w:line-rule="auto"/>
        <w:ind w:firstLine="540"/>
        <w:jc w:val="both"/>
      </w:pPr>
      <w:r>
        <w:rPr>
          <w:sz w:val="20"/>
        </w:rPr>
        <w:t xml:space="preserve">4. Coil coating</w:t>
      </w:r>
    </w:p>
    <w:p>
      <w:pPr>
        <w:pStyle w:val="0"/>
        <w:spacing w:before="200" w:line-rule="auto"/>
        <w:ind w:firstLine="540"/>
        <w:jc w:val="both"/>
      </w:pPr>
      <w:r>
        <w:rPr>
          <w:sz w:val="20"/>
        </w:rPr>
        <w:t xml:space="preserve">Any activity where coiled steel, stainless steel, coated steel, copper alloys or aluminium strip is coated with either a film forming or laminate coating in a continuous process.</w:t>
      </w:r>
    </w:p>
    <w:p>
      <w:pPr>
        <w:pStyle w:val="0"/>
        <w:spacing w:before="200" w:line-rule="auto"/>
        <w:ind w:firstLine="540"/>
        <w:jc w:val="both"/>
      </w:pPr>
      <w:r>
        <w:rPr>
          <w:sz w:val="20"/>
        </w:rPr>
        <w:t xml:space="preserve">5. Dry cleaning</w:t>
      </w:r>
    </w:p>
    <w:p>
      <w:pPr>
        <w:pStyle w:val="0"/>
        <w:spacing w:before="200" w:line-rule="auto"/>
        <w:ind w:firstLine="540"/>
        <w:jc w:val="both"/>
      </w:pPr>
      <w:r>
        <w:rPr>
          <w:sz w:val="20"/>
        </w:rPr>
        <w:t xml:space="preserve">Any industrial or commercial activity using volatile organic compounds in an installation to clean garments, furnishing and similar consumer goods with the exception of the manual removal of stains and spots in the textile and clothing industry.</w:t>
      </w:r>
    </w:p>
    <w:p>
      <w:pPr>
        <w:pStyle w:val="0"/>
        <w:spacing w:before="200" w:line-rule="auto"/>
        <w:ind w:firstLine="540"/>
        <w:jc w:val="both"/>
      </w:pPr>
      <w:r>
        <w:rPr>
          <w:sz w:val="20"/>
        </w:rPr>
        <w:t xml:space="preserve">6. Footwear manufacture</w:t>
      </w:r>
    </w:p>
    <w:p>
      <w:pPr>
        <w:pStyle w:val="0"/>
        <w:spacing w:before="200" w:line-rule="auto"/>
        <w:ind w:firstLine="540"/>
        <w:jc w:val="both"/>
      </w:pPr>
      <w:r>
        <w:rPr>
          <w:sz w:val="20"/>
        </w:rPr>
        <w:t xml:space="preserve">Any activity of producing complete footwear or parts thereof.</w:t>
      </w:r>
    </w:p>
    <w:p>
      <w:pPr>
        <w:pStyle w:val="0"/>
        <w:spacing w:before="200" w:line-rule="auto"/>
        <w:ind w:firstLine="540"/>
        <w:jc w:val="both"/>
      </w:pPr>
      <w:r>
        <w:rPr>
          <w:sz w:val="20"/>
        </w:rPr>
        <w:t xml:space="preserve">7. Manufacturing of coating mixtures, varnishes, inks and adhesives</w:t>
      </w:r>
    </w:p>
    <w:p>
      <w:pPr>
        <w:pStyle w:val="0"/>
        <w:spacing w:before="200" w:line-rule="auto"/>
        <w:ind w:firstLine="540"/>
        <w:jc w:val="both"/>
      </w:pPr>
      <w:r>
        <w:rPr>
          <w:sz w:val="20"/>
        </w:rPr>
        <w:t xml:space="preserve">The manufacture of the above final products, and of intermediates where carried out at the same site, by mixing of pigments, resins and adhesive materials with organic solvent or other carrier, including dispersion and predispersion activities, viscosity and tint adjustments and operations for filling the final product into its container.</w:t>
      </w:r>
    </w:p>
    <w:p>
      <w:pPr>
        <w:pStyle w:val="0"/>
        <w:spacing w:before="200" w:line-rule="auto"/>
        <w:ind w:firstLine="540"/>
        <w:jc w:val="both"/>
      </w:pPr>
      <w:r>
        <w:rPr>
          <w:sz w:val="20"/>
        </w:rPr>
        <w:t xml:space="preserve">8. Manufacturing of pharmaceutical products</w:t>
      </w:r>
    </w:p>
    <w:p>
      <w:pPr>
        <w:pStyle w:val="0"/>
        <w:spacing w:before="200" w:line-rule="auto"/>
        <w:ind w:firstLine="540"/>
        <w:jc w:val="both"/>
      </w:pPr>
      <w:r>
        <w:rPr>
          <w:sz w:val="20"/>
        </w:rPr>
        <w:t xml:space="preserve">The chemical synthesis, fermentation, extraction, formulation and finishing of pharmaceutical products and, where carried out at the same site, the manufacture of intermediate products.</w:t>
      </w:r>
    </w:p>
    <w:p>
      <w:pPr>
        <w:pStyle w:val="0"/>
        <w:spacing w:before="200" w:line-rule="auto"/>
        <w:ind w:firstLine="540"/>
        <w:jc w:val="both"/>
      </w:pPr>
      <w:r>
        <w:rPr>
          <w:sz w:val="20"/>
        </w:rPr>
        <w:t xml:space="preserve">9. Printing</w:t>
      </w:r>
    </w:p>
    <w:p>
      <w:pPr>
        <w:pStyle w:val="0"/>
        <w:spacing w:before="200" w:line-rule="auto"/>
        <w:ind w:firstLine="540"/>
        <w:jc w:val="both"/>
      </w:pPr>
      <w:r>
        <w:rPr>
          <w:sz w:val="20"/>
        </w:rPr>
        <w:t xml:space="preserve">Any reproduction activity of text and/or images in which, with the use of an image carrier, ink is transferred onto whatever type of surface. It includes associated varnishing, coating and laminating techniques. However, only the following sub-processes are subject to Chapter V:</w:t>
      </w:r>
    </w:p>
    <w:p>
      <w:pPr>
        <w:pStyle w:val="0"/>
        <w:spacing w:before="200" w:line-rule="auto"/>
        <w:ind w:firstLine="540"/>
        <w:jc w:val="both"/>
      </w:pPr>
      <w:r>
        <w:rPr>
          <w:sz w:val="20"/>
        </w:rPr>
        <w:t xml:space="preserve">(a) flexography - a printing activity using an image carrier of rubber or elastic photopolymers on which the printing areas are above the non-printing areas, using liquid inks which dry through evaporation;</w:t>
      </w:r>
    </w:p>
    <w:p>
      <w:pPr>
        <w:pStyle w:val="0"/>
        <w:spacing w:before="200" w:line-rule="auto"/>
        <w:ind w:firstLine="540"/>
        <w:jc w:val="both"/>
      </w:pPr>
      <w:r>
        <w:rPr>
          <w:sz w:val="20"/>
        </w:rPr>
        <w:t xml:space="preserve">(b) heatset web offset - a web-fed printing activity using an image carrier in which the printing and non-printing area are in the same plane, where web-fed means that the material to be printed is fed to the machine from a reel as distinct from separate sheets. The non-printing area is treated to attract water and thus reject ink. The printing area is treated to receive and transmit ink to the surface to be printed. Evaporation takes place in an oven where hot air is used to heat the printed material;</w:t>
      </w:r>
    </w:p>
    <w:p>
      <w:pPr>
        <w:pStyle w:val="0"/>
        <w:spacing w:before="200" w:line-rule="auto"/>
        <w:ind w:firstLine="540"/>
        <w:jc w:val="both"/>
      </w:pPr>
      <w:r>
        <w:rPr>
          <w:sz w:val="20"/>
        </w:rPr>
        <w:t xml:space="preserve">(c) laminating associated to a printing activity - the adhering together of two or more flexible materials to produce laminates;</w:t>
      </w:r>
    </w:p>
    <w:p>
      <w:pPr>
        <w:pStyle w:val="0"/>
        <w:spacing w:before="200" w:line-rule="auto"/>
        <w:ind w:firstLine="540"/>
        <w:jc w:val="both"/>
      </w:pPr>
      <w:r>
        <w:rPr>
          <w:sz w:val="20"/>
        </w:rPr>
        <w:t xml:space="preserve">(d) publication rotogravure - a rotogravure printing activity used for printing paper for magazines, brochures, catalogues or similar products, using toluene-based inks;</w:t>
      </w:r>
    </w:p>
    <w:p>
      <w:pPr>
        <w:pStyle w:val="0"/>
        <w:spacing w:before="200" w:line-rule="auto"/>
        <w:ind w:firstLine="540"/>
        <w:jc w:val="both"/>
      </w:pPr>
      <w:r>
        <w:rPr>
          <w:sz w:val="20"/>
        </w:rPr>
        <w:t xml:space="preserve">(e) rotogravure - a printing activity using a cylindrical image carrier in which the printing area is below the nonprinting area, using liquid inks which dry through evaporation. The recesses are filled with ink and the surplus is cleaned off the non-printing area before the surface to be printed contacts the cylinder and lifts the ink from the recesses;</w:t>
      </w:r>
    </w:p>
    <w:p>
      <w:pPr>
        <w:pStyle w:val="0"/>
        <w:spacing w:before="200" w:line-rule="auto"/>
        <w:ind w:firstLine="540"/>
        <w:jc w:val="both"/>
      </w:pPr>
      <w:r>
        <w:rPr>
          <w:sz w:val="20"/>
        </w:rPr>
        <w:t xml:space="preserve">(f) rotary screen printing - a web-fed printing activity in which the ink is passed onto the surface to be printed by forcing it through a porous image carrier, in which the printing area is open and the non-printing area is sealed off, using liquid inks which dry only through evaporation. Web-fed means that the material to be printed is fed into the machine from a reel as distinct from separate sheets;</w:t>
      </w:r>
    </w:p>
    <w:p>
      <w:pPr>
        <w:pStyle w:val="0"/>
        <w:spacing w:before="200" w:line-rule="auto"/>
        <w:ind w:firstLine="540"/>
        <w:jc w:val="both"/>
      </w:pPr>
      <w:r>
        <w:rPr>
          <w:sz w:val="20"/>
        </w:rPr>
        <w:t xml:space="preserve">(g) varnishing - an activity by which a varnish or an adhesive coating for the purpose of later sealing the packaging material is applied to a flexible material.</w:t>
      </w:r>
    </w:p>
    <w:p>
      <w:pPr>
        <w:pStyle w:val="0"/>
        <w:spacing w:before="200" w:line-rule="auto"/>
        <w:ind w:firstLine="540"/>
        <w:jc w:val="both"/>
      </w:pPr>
      <w:r>
        <w:rPr>
          <w:sz w:val="20"/>
        </w:rPr>
        <w:t xml:space="preserve">10. Rubber conversion</w:t>
      </w:r>
    </w:p>
    <w:p>
      <w:pPr>
        <w:pStyle w:val="0"/>
        <w:spacing w:before="200" w:line-rule="auto"/>
        <w:ind w:firstLine="540"/>
        <w:jc w:val="both"/>
      </w:pPr>
      <w:r>
        <w:rPr>
          <w:sz w:val="20"/>
        </w:rPr>
        <w:t xml:space="preserve">Any activity of mixing, milling, blending, calendering, extrusion and vulcanisation of natural or synthetic rubber and any ancillary operations for converting natural or synthetic rubber into a finished product.</w:t>
      </w:r>
    </w:p>
    <w:p>
      <w:pPr>
        <w:pStyle w:val="0"/>
        <w:spacing w:before="200" w:line-rule="auto"/>
        <w:ind w:firstLine="540"/>
        <w:jc w:val="both"/>
      </w:pPr>
      <w:r>
        <w:rPr>
          <w:sz w:val="20"/>
        </w:rPr>
        <w:t xml:space="preserve">11. Surface cleaning</w:t>
      </w:r>
    </w:p>
    <w:p>
      <w:pPr>
        <w:pStyle w:val="0"/>
        <w:spacing w:before="200" w:line-rule="auto"/>
        <w:ind w:firstLine="540"/>
        <w:jc w:val="both"/>
      </w:pPr>
      <w:r>
        <w:rPr>
          <w:sz w:val="20"/>
        </w:rPr>
        <w:t xml:space="preserve">Any activity except dry cleaning using organic solvents to remove contamination from the surface of material including degreasing. A cleaning activity consisting of more than one step before or after any other activity shall be considered as one surface cleaning activity. This activity does not refer to the cleaning of the equipment but to the cleaning of the surface of products.</w:t>
      </w:r>
    </w:p>
    <w:p>
      <w:pPr>
        <w:pStyle w:val="0"/>
        <w:spacing w:before="200" w:line-rule="auto"/>
        <w:ind w:firstLine="540"/>
        <w:jc w:val="both"/>
      </w:pPr>
      <w:r>
        <w:rPr>
          <w:sz w:val="20"/>
        </w:rPr>
        <w:t xml:space="preserve">12. Vegetable oil and animal fat extraction and vegetable oil refining activities</w:t>
      </w:r>
    </w:p>
    <w:p>
      <w:pPr>
        <w:pStyle w:val="0"/>
        <w:spacing w:before="200" w:line-rule="auto"/>
        <w:ind w:firstLine="540"/>
        <w:jc w:val="both"/>
      </w:pPr>
      <w:r>
        <w:rPr>
          <w:sz w:val="20"/>
        </w:rPr>
        <w:t xml:space="preserve">Any activity to extract vegetable oil from seeds and other vegetable matter, the processing of dry residues to produce animal feed, the purification of fats and vegetable oils derived from seeds, vegetable matter and/or animal matter.</w:t>
      </w:r>
    </w:p>
    <w:p>
      <w:pPr>
        <w:pStyle w:val="0"/>
        <w:spacing w:before="200" w:line-rule="auto"/>
        <w:ind w:firstLine="540"/>
        <w:jc w:val="both"/>
      </w:pPr>
      <w:r>
        <w:rPr>
          <w:sz w:val="20"/>
        </w:rPr>
        <w:t xml:space="preserve">13. Vehicle refinishing</w:t>
      </w:r>
    </w:p>
    <w:p>
      <w:pPr>
        <w:pStyle w:val="0"/>
        <w:spacing w:before="200" w:line-rule="auto"/>
        <w:ind w:firstLine="540"/>
        <w:jc w:val="both"/>
      </w:pPr>
      <w:r>
        <w:rPr>
          <w:sz w:val="20"/>
        </w:rPr>
        <w:t xml:space="preserve">Any industrial or commercial coating activity and associated degreasing activities performing either of the following:</w:t>
      </w:r>
    </w:p>
    <w:p>
      <w:pPr>
        <w:pStyle w:val="0"/>
        <w:spacing w:before="200" w:line-rule="auto"/>
        <w:ind w:firstLine="540"/>
        <w:jc w:val="both"/>
      </w:pPr>
      <w:r>
        <w:rPr>
          <w:sz w:val="20"/>
        </w:rPr>
        <w:t xml:space="preserve">(a) the original coating of road vehicles as defined in Directive 2007/46/EC or part of them with refinishing-type materials, where this is carried out away from the original manufacturing line;</w:t>
      </w:r>
    </w:p>
    <w:p>
      <w:pPr>
        <w:pStyle w:val="0"/>
        <w:spacing w:before="200" w:line-rule="auto"/>
        <w:ind w:firstLine="540"/>
        <w:jc w:val="both"/>
      </w:pPr>
      <w:r>
        <w:rPr>
          <w:sz w:val="20"/>
        </w:rPr>
        <w:t xml:space="preserve">(b) the coating of trailers (including semi-trailers) (category O in Directive 2007/46/EC).</w:t>
      </w:r>
    </w:p>
    <w:p>
      <w:pPr>
        <w:pStyle w:val="0"/>
        <w:spacing w:before="200" w:line-rule="auto"/>
        <w:ind w:firstLine="540"/>
        <w:jc w:val="both"/>
      </w:pPr>
      <w:r>
        <w:rPr>
          <w:sz w:val="20"/>
        </w:rPr>
        <w:t xml:space="preserve">14. Winding wire coating</w:t>
      </w:r>
    </w:p>
    <w:p>
      <w:pPr>
        <w:pStyle w:val="0"/>
        <w:spacing w:before="200" w:line-rule="auto"/>
        <w:ind w:firstLine="540"/>
        <w:jc w:val="both"/>
      </w:pPr>
      <w:r>
        <w:rPr>
          <w:sz w:val="20"/>
        </w:rPr>
        <w:t xml:space="preserve">Any coating activity of metallic conductors used for winding the coils in transformers and motors, etc.</w:t>
      </w:r>
    </w:p>
    <w:p>
      <w:pPr>
        <w:pStyle w:val="0"/>
        <w:spacing w:before="200" w:line-rule="auto"/>
        <w:ind w:firstLine="540"/>
        <w:jc w:val="both"/>
      </w:pPr>
      <w:r>
        <w:rPr>
          <w:sz w:val="20"/>
        </w:rPr>
        <w:t xml:space="preserve">15. Wood impregnation</w:t>
      </w:r>
    </w:p>
    <w:p>
      <w:pPr>
        <w:pStyle w:val="0"/>
        <w:spacing w:before="200" w:line-rule="auto"/>
        <w:ind w:firstLine="540"/>
        <w:jc w:val="both"/>
      </w:pPr>
      <w:r>
        <w:rPr>
          <w:sz w:val="20"/>
        </w:rPr>
        <w:t xml:space="preserve">Any activity giving a loading of preservative in timber.</w:t>
      </w:r>
    </w:p>
    <w:p>
      <w:pPr>
        <w:pStyle w:val="0"/>
        <w:spacing w:before="200" w:line-rule="auto"/>
        <w:ind w:firstLine="540"/>
        <w:jc w:val="both"/>
      </w:pPr>
      <w:r>
        <w:rPr>
          <w:sz w:val="20"/>
        </w:rPr>
        <w:t xml:space="preserve">16. Wood and plastic lamination</w:t>
      </w:r>
    </w:p>
    <w:p>
      <w:pPr>
        <w:pStyle w:val="0"/>
        <w:spacing w:before="200" w:line-rule="auto"/>
        <w:ind w:firstLine="540"/>
        <w:jc w:val="both"/>
      </w:pPr>
      <w:r>
        <w:rPr>
          <w:sz w:val="20"/>
        </w:rPr>
        <w:t xml:space="preserve">Any activity to adhere together wood and/or plastic to produce laminated products.</w:t>
      </w:r>
    </w:p>
    <w:p>
      <w:pPr>
        <w:pStyle w:val="0"/>
        <w:jc w:val="center"/>
      </w:pPr>
      <w:r>
        <w:rPr>
          <w:sz w:val="20"/>
        </w:rPr>
      </w:r>
    </w:p>
    <w:p>
      <w:pPr>
        <w:pStyle w:val="0"/>
        <w:outlineLvl w:val="1"/>
        <w:jc w:val="center"/>
      </w:pPr>
      <w:r>
        <w:rPr>
          <w:sz w:val="20"/>
        </w:rPr>
        <w:t xml:space="preserve">Part 2</w:t>
      </w:r>
    </w:p>
    <w:p>
      <w:pPr>
        <w:pStyle w:val="0"/>
        <w:jc w:val="center"/>
      </w:pPr>
      <w:r>
        <w:rPr>
          <w:sz w:val="20"/>
        </w:rPr>
      </w:r>
    </w:p>
    <w:p>
      <w:pPr>
        <w:pStyle w:val="0"/>
        <w:jc w:val="center"/>
      </w:pPr>
      <w:r>
        <w:rPr>
          <w:sz w:val="20"/>
        </w:rPr>
        <w:t xml:space="preserve">Thresholds and emission limit values</w:t>
      </w:r>
    </w:p>
    <w:p>
      <w:pPr>
        <w:pStyle w:val="0"/>
        <w:jc w:val="center"/>
      </w:pPr>
      <w:r>
        <w:rPr>
          <w:sz w:val="20"/>
        </w:rPr>
      </w:r>
    </w:p>
    <w:p>
      <w:pPr>
        <w:pStyle w:val="0"/>
        <w:ind w:firstLine="540"/>
        <w:jc w:val="both"/>
      </w:pPr>
      <w:r>
        <w:rPr>
          <w:sz w:val="20"/>
        </w:rPr>
        <w:t xml:space="preserve">The emission limit values in waste gases shall be calculated at a temperature of 273,15 K, and a pressure of 101,3 kPa.</w:t>
      </w:r>
    </w:p>
    <w:p>
      <w:pPr>
        <w:pStyle w:val="0"/>
        <w:ind w:firstLine="540"/>
        <w:jc w:val="both"/>
      </w:pPr>
      <w:r>
        <w:rPr>
          <w:sz w:val="20"/>
        </w:rPr>
      </w:r>
    </w:p>
    <w:p>
      <w:pPr>
        <w:pStyle w:val="3"/>
        <w:jc w:val="both"/>
      </w:pPr>
      <w:r>
        <w:rPr>
          <w:sz w:val="14"/>
        </w:rPr>
        <w:t xml:space="preserve">┌──┬──────────────┬───────────┬────────┬───────────────────────────┬───────────────────────────┬──────────────┐</w:t>
      </w:r>
    </w:p>
    <w:p>
      <w:pPr>
        <w:pStyle w:val="3"/>
        <w:jc w:val="both"/>
      </w:pPr>
      <w:r>
        <w:rPr>
          <w:sz w:val="14"/>
        </w:rPr>
        <w:t xml:space="preserve">│  │   Activity   │ Threshold │Emission│  Fugitive emission limit  │   Total emission limit    │   Special    │</w:t>
      </w:r>
    </w:p>
    <w:p>
      <w:pPr>
        <w:pStyle w:val="3"/>
        <w:jc w:val="both"/>
      </w:pPr>
      <w:r>
        <w:rPr>
          <w:sz w:val="14"/>
        </w:rPr>
        <w:t xml:space="preserve">│  │   (solvent   │ (solvent  │  limit │   values (percentage of   │          values           │  provisions  │</w:t>
      </w:r>
    </w:p>
    <w:p>
      <w:pPr>
        <w:pStyle w:val="3"/>
        <w:jc w:val="both"/>
      </w:pPr>
      <w:r>
        <w:rPr>
          <w:sz w:val="14"/>
        </w:rPr>
        <w:t xml:space="preserve">│  │ consumption  │consumption│ values │      solvent input)       │                           │              │</w:t>
      </w:r>
    </w:p>
    <w:p>
      <w:pPr>
        <w:pStyle w:val="3"/>
        <w:jc w:val="both"/>
      </w:pPr>
      <w:r>
        <w:rPr>
          <w:sz w:val="14"/>
        </w:rPr>
        <w:t xml:space="preserve">│  │ threshold in │threshold  │in waste├─────────────┬─────────────┼─────────────┬─────────────┤              │</w:t>
      </w:r>
    </w:p>
    <w:p>
      <w:pPr>
        <w:pStyle w:val="3"/>
        <w:jc w:val="both"/>
      </w:pPr>
      <w:r>
        <w:rPr>
          <w:sz w:val="14"/>
        </w:rPr>
        <w:t xml:space="preserve">│  │ tonnes/year) │in tonnes /│  gases │     New     │  Existing   │     New     │  Existing   │              │</w:t>
      </w:r>
    </w:p>
    <w:p>
      <w:pPr>
        <w:pStyle w:val="3"/>
        <w:jc w:val="both"/>
      </w:pPr>
      <w:r>
        <w:rPr>
          <w:sz w:val="14"/>
        </w:rPr>
        <w:t xml:space="preserve">│  │              │   year)   │  (mg   │installations│installations│installations│installations│              │</w:t>
      </w:r>
    </w:p>
    <w:p>
      <w:pPr>
        <w:pStyle w:val="3"/>
        <w:jc w:val="both"/>
      </w:pPr>
      <w:r>
        <w:rPr>
          <w:sz w:val="14"/>
        </w:rPr>
        <w:t xml:space="preserve">│  │              │           │      3 │             │             │             │             │              │</w:t>
      </w:r>
    </w:p>
    <w:p>
      <w:pPr>
        <w:pStyle w:val="3"/>
        <w:jc w:val="both"/>
      </w:pPr>
      <w:r>
        <w:rPr>
          <w:sz w:val="14"/>
        </w:rPr>
        <w:t xml:space="preserve">│  │              │           │  C/Nm )│             │             │             │             │              │</w:t>
      </w:r>
    </w:p>
    <w:p>
      <w:pPr>
        <w:pStyle w:val="3"/>
        <w:jc w:val="both"/>
      </w:pPr>
      <w:r>
        <w:rPr>
          <w:sz w:val="14"/>
        </w:rPr>
        <w:t xml:space="preserve">├──┼──────────────┼───────────┼────────┼─────────────┴─────────────┼─────────────┴─────────────┼──────────────┤</w:t>
      </w:r>
    </w:p>
    <w:p>
      <w:pPr>
        <w:pStyle w:val="3"/>
        <w:jc w:val="both"/>
      </w:pPr>
      <w:r>
        <w:rPr>
          <w:sz w:val="14"/>
        </w:rPr>
        <w:t xml:space="preserve">│1 │Heatset web   │ 15 - 25   │100     │30 &lt;1&gt;                     │                           │&lt;1&gt; Solvent   │</w:t>
      </w:r>
    </w:p>
    <w:p>
      <w:pPr>
        <w:pStyle w:val="3"/>
        <w:jc w:val="both"/>
      </w:pPr>
      <w:r>
        <w:rPr>
          <w:sz w:val="14"/>
        </w:rPr>
        <w:t xml:space="preserve">│  │offset        │           │        │                           │                           │residue in    │</w:t>
      </w:r>
    </w:p>
    <w:p>
      <w:pPr>
        <w:pStyle w:val="3"/>
        <w:jc w:val="both"/>
      </w:pPr>
      <w:r>
        <w:rPr>
          <w:sz w:val="14"/>
        </w:rPr>
        <w:t xml:space="preserve">│  │printing      │    &gt; 25   │20      │30 &lt;1&gt;                     │                           │finished      │</w:t>
      </w:r>
    </w:p>
    <w:p>
      <w:pPr>
        <w:pStyle w:val="3"/>
        <w:jc w:val="both"/>
      </w:pPr>
      <w:r>
        <w:rPr>
          <w:sz w:val="14"/>
        </w:rPr>
        <w:t xml:space="preserve">│  │(&gt; 15)        │           │        │                           │                           │product is not│</w:t>
      </w:r>
    </w:p>
    <w:p>
      <w:pPr>
        <w:pStyle w:val="3"/>
        <w:jc w:val="both"/>
      </w:pPr>
      <w:r>
        <w:rPr>
          <w:sz w:val="14"/>
        </w:rPr>
        <w:t xml:space="preserve">│  │              │           │        │                           │                           │to be         │</w:t>
      </w:r>
    </w:p>
    <w:p>
      <w:pPr>
        <w:pStyle w:val="3"/>
        <w:jc w:val="both"/>
      </w:pPr>
      <w:r>
        <w:rPr>
          <w:sz w:val="14"/>
        </w:rPr>
        <w:t xml:space="preserve">│  │              │           │        │                           │                           │considered as │</w:t>
      </w:r>
    </w:p>
    <w:p>
      <w:pPr>
        <w:pStyle w:val="3"/>
        <w:jc w:val="both"/>
      </w:pPr>
      <w:r>
        <w:rPr>
          <w:sz w:val="14"/>
        </w:rPr>
        <w:t xml:space="preserve">│  │              │           │        │                           │                           │part of       │</w:t>
      </w:r>
    </w:p>
    <w:p>
      <w:pPr>
        <w:pStyle w:val="3"/>
        <w:jc w:val="both"/>
      </w:pPr>
      <w:r>
        <w:rPr>
          <w:sz w:val="14"/>
        </w:rPr>
        <w:t xml:space="preserve">│  │              │           │        │                           │                           │fugitive      │</w:t>
      </w:r>
    </w:p>
    <w:p>
      <w:pPr>
        <w:pStyle w:val="3"/>
        <w:jc w:val="both"/>
      </w:pPr>
      <w:r>
        <w:rPr>
          <w:sz w:val="14"/>
        </w:rPr>
        <w:t xml:space="preserve">│  │              │           │        │                           │                           │emissions.    │</w:t>
      </w:r>
    </w:p>
    <w:p>
      <w:pPr>
        <w:pStyle w:val="3"/>
        <w:jc w:val="both"/>
      </w:pPr>
      <w:r>
        <w:rPr>
          <w:sz w:val="14"/>
        </w:rPr>
        <w:t xml:space="preserve">├──┼──────────────┼───────────┼────────┼────────────┬──────────────┼─────────────┬─────────────┼──────────────┤</w:t>
      </w:r>
    </w:p>
    <w:p>
      <w:pPr>
        <w:pStyle w:val="3"/>
        <w:jc w:val="both"/>
      </w:pPr>
      <w:r>
        <w:rPr>
          <w:sz w:val="14"/>
        </w:rPr>
        <w:t xml:space="preserve">│2 │Publication   │           │75      │10          │15            │             │             │              │</w:t>
      </w:r>
    </w:p>
    <w:p>
      <w:pPr>
        <w:pStyle w:val="3"/>
        <w:jc w:val="both"/>
      </w:pPr>
      <w:r>
        <w:rPr>
          <w:sz w:val="14"/>
        </w:rPr>
        <w:t xml:space="preserve">│  │rotogravure   │           │        │            │              │             │             │              │</w:t>
      </w:r>
    </w:p>
    <w:p>
      <w:pPr>
        <w:pStyle w:val="3"/>
        <w:jc w:val="both"/>
      </w:pPr>
      <w:r>
        <w:rPr>
          <w:sz w:val="14"/>
        </w:rPr>
        <w:t xml:space="preserve">│  │(&gt; 25)        │           │        │            │              │             │             │              │</w:t>
      </w:r>
    </w:p>
    <w:p>
      <w:pPr>
        <w:pStyle w:val="3"/>
        <w:jc w:val="both"/>
      </w:pPr>
      <w:r>
        <w:rPr>
          <w:sz w:val="14"/>
        </w:rPr>
        <w:t xml:space="preserve">├──┼──────────────┼───────────┼────────┼────────────┴──────────────┼─────────────┴─────────────┼──────────────┤</w:t>
      </w:r>
    </w:p>
    <w:p>
      <w:pPr>
        <w:pStyle w:val="3"/>
        <w:jc w:val="both"/>
      </w:pPr>
      <w:r>
        <w:rPr>
          <w:sz w:val="14"/>
        </w:rPr>
        <w:t xml:space="preserve">│3 │Other         │ 15 - 25   │100     │25                         │                           │&lt;1&gt; Threshold │</w:t>
      </w:r>
    </w:p>
    <w:p>
      <w:pPr>
        <w:pStyle w:val="3"/>
        <w:jc w:val="both"/>
      </w:pPr>
      <w:r>
        <w:rPr>
          <w:sz w:val="14"/>
        </w:rPr>
        <w:t xml:space="preserve">│  │rotogravure,  │           │        │                           │                           │for rotary    │</w:t>
      </w:r>
    </w:p>
    <w:p>
      <w:pPr>
        <w:pStyle w:val="3"/>
        <w:jc w:val="both"/>
      </w:pPr>
      <w:r>
        <w:rPr>
          <w:sz w:val="14"/>
        </w:rPr>
        <w:t xml:space="preserve">│  │flexography,  │    &gt; 25   │100     │20                         │                           │screen        │</w:t>
      </w:r>
    </w:p>
    <w:p>
      <w:pPr>
        <w:pStyle w:val="3"/>
        <w:jc w:val="both"/>
      </w:pPr>
      <w:r>
        <w:rPr>
          <w:sz w:val="14"/>
        </w:rPr>
        <w:t xml:space="preserve">│  │rotary screen │           │        │                           │                           │printing on   │</w:t>
      </w:r>
    </w:p>
    <w:p>
      <w:pPr>
        <w:pStyle w:val="3"/>
        <w:jc w:val="both"/>
      </w:pPr>
      <w:r>
        <w:rPr>
          <w:sz w:val="14"/>
        </w:rPr>
        <w:t xml:space="preserve">│  │printing,     │    &gt; 30   │100     │20                         │                           │textile and on│</w:t>
      </w:r>
    </w:p>
    <w:p>
      <w:pPr>
        <w:pStyle w:val="3"/>
        <w:jc w:val="both"/>
      </w:pPr>
      <w:r>
        <w:rPr>
          <w:sz w:val="14"/>
        </w:rPr>
        <w:t xml:space="preserve">│  │laminating or │      &lt;1&gt;  │        │                           │                           │cardboard.    │</w:t>
      </w:r>
    </w:p>
    <w:p>
      <w:pPr>
        <w:pStyle w:val="3"/>
        <w:jc w:val="both"/>
      </w:pPr>
      <w:r>
        <w:rPr>
          <w:sz w:val="14"/>
        </w:rPr>
        <w:t xml:space="preserve">│  │varnishing    │           │        │                           │                           │              │</w:t>
      </w:r>
    </w:p>
    <w:p>
      <w:pPr>
        <w:pStyle w:val="3"/>
        <w:jc w:val="both"/>
      </w:pPr>
      <w:r>
        <w:rPr>
          <w:sz w:val="14"/>
        </w:rPr>
        <w:t xml:space="preserve">│  │units (&gt; 15)  │           │        │                           │                           │              │</w:t>
      </w:r>
    </w:p>
    <w:p>
      <w:pPr>
        <w:pStyle w:val="3"/>
        <w:jc w:val="both"/>
      </w:pPr>
      <w:r>
        <w:rPr>
          <w:sz w:val="14"/>
        </w:rPr>
        <w:t xml:space="preserve">│  │rotary screen │           │        │                           │                           │              │</w:t>
      </w:r>
    </w:p>
    <w:p>
      <w:pPr>
        <w:pStyle w:val="3"/>
        <w:jc w:val="both"/>
      </w:pPr>
      <w:r>
        <w:rPr>
          <w:sz w:val="14"/>
        </w:rPr>
        <w:t xml:space="preserve">│  │printing on   │           │        │                           │                           │              │</w:t>
      </w:r>
    </w:p>
    <w:p>
      <w:pPr>
        <w:pStyle w:val="3"/>
        <w:jc w:val="both"/>
      </w:pPr>
      <w:r>
        <w:rPr>
          <w:sz w:val="14"/>
        </w:rPr>
        <w:t xml:space="preserve">│  │textile /     │           │        │                           │                           │              │</w:t>
      </w:r>
    </w:p>
    <w:p>
      <w:pPr>
        <w:pStyle w:val="3"/>
        <w:jc w:val="both"/>
      </w:pPr>
      <w:r>
        <w:rPr>
          <w:sz w:val="14"/>
        </w:rPr>
        <w:t xml:space="preserve">│  │cardboard     │           │        │                           │                           │              │</w:t>
      </w:r>
    </w:p>
    <w:p>
      <w:pPr>
        <w:pStyle w:val="3"/>
        <w:jc w:val="both"/>
      </w:pPr>
      <w:r>
        <w:rPr>
          <w:sz w:val="14"/>
        </w:rPr>
        <w:t xml:space="preserve">│  │(&gt; 30)        │           │        │                           │                           │              │</w:t>
      </w:r>
    </w:p>
    <w:p>
      <w:pPr>
        <w:pStyle w:val="3"/>
        <w:jc w:val="both"/>
      </w:pPr>
      <w:r>
        <w:rPr>
          <w:sz w:val="14"/>
        </w:rPr>
        <w:t xml:space="preserve">├──┼──────────────┼───────────┼────────┼───────────────────────────┼───────────────────────────┼──────────────┤</w:t>
      </w:r>
    </w:p>
    <w:p>
      <w:pPr>
        <w:pStyle w:val="3"/>
        <w:jc w:val="both"/>
      </w:pPr>
      <w:r>
        <w:rPr>
          <w:sz w:val="14"/>
        </w:rPr>
        <w:t xml:space="preserve">│4 │Surface       │  1 - 5    │20 &lt;1&gt;  │15                         │                           │&lt;1&gt; Limit     │</w:t>
      </w:r>
    </w:p>
    <w:p>
      <w:pPr>
        <w:pStyle w:val="3"/>
        <w:jc w:val="both"/>
      </w:pPr>
      <w:r>
        <w:rPr>
          <w:sz w:val="14"/>
        </w:rPr>
        <w:t xml:space="preserve">│  │cleaning      │           │        │                           │                           │value refers  │</w:t>
      </w:r>
    </w:p>
    <w:p>
      <w:pPr>
        <w:pStyle w:val="3"/>
        <w:jc w:val="both"/>
      </w:pPr>
      <w:r>
        <w:rPr>
          <w:sz w:val="14"/>
        </w:rPr>
        <w:t xml:space="preserve">│  │using         │           │        │                           │                           │to mass of    │</w:t>
      </w:r>
    </w:p>
    <w:p>
      <w:pPr>
        <w:pStyle w:val="3"/>
        <w:jc w:val="both"/>
      </w:pPr>
      <w:r>
        <w:rPr>
          <w:sz w:val="14"/>
        </w:rPr>
        <w:t xml:space="preserve">│  │compounds     │           │        │                           │                           │compounds in  │</w:t>
      </w:r>
    </w:p>
    <w:p>
      <w:pPr>
        <w:pStyle w:val="3"/>
        <w:jc w:val="both"/>
      </w:pPr>
      <w:r>
        <w:rPr>
          <w:sz w:val="14"/>
        </w:rPr>
        <w:t xml:space="preserve">│  │specified in  │           │        │                           │                           │     3        │</w:t>
      </w:r>
    </w:p>
    <w:p>
      <w:pPr>
        <w:pStyle w:val="3"/>
        <w:jc w:val="both"/>
      </w:pPr>
      <w:r>
        <w:rPr>
          <w:sz w:val="14"/>
        </w:rPr>
        <w:t xml:space="preserve">│  │Article 59 (5)│           │        │                           │                           │mg/Nm , and   │</w:t>
      </w:r>
    </w:p>
    <w:p>
      <w:pPr>
        <w:pStyle w:val="3"/>
        <w:jc w:val="both"/>
      </w:pPr>
      <w:r>
        <w:rPr>
          <w:sz w:val="14"/>
        </w:rPr>
        <w:t xml:space="preserve">│  │(&gt; 1)         │    &gt; 5    │20 &lt;1&gt;  │10                         │                           │not to total  │</w:t>
      </w:r>
    </w:p>
    <w:p>
      <w:pPr>
        <w:pStyle w:val="3"/>
        <w:jc w:val="both"/>
      </w:pPr>
      <w:r>
        <w:rPr>
          <w:sz w:val="14"/>
        </w:rPr>
        <w:t xml:space="preserve">│  │              │           │        │                           │                           │carbon.       │</w:t>
      </w:r>
    </w:p>
    <w:p>
      <w:pPr>
        <w:pStyle w:val="3"/>
        <w:jc w:val="both"/>
      </w:pPr>
      <w:r>
        <w:rPr>
          <w:sz w:val="14"/>
        </w:rPr>
        <w:t xml:space="preserve">├──┼──────────────┼───────────┼────────┼───────────────────────────┼───────────────────────────┼──────────────┤</w:t>
      </w:r>
    </w:p>
    <w:p>
      <w:pPr>
        <w:pStyle w:val="3"/>
        <w:jc w:val="both"/>
      </w:pPr>
      <w:r>
        <w:rPr>
          <w:sz w:val="14"/>
        </w:rPr>
        <w:t xml:space="preserve">│5 │Other surface │  2 - 10   │75 &lt;1&gt;  │20 &lt;1&gt;                     │                           │&lt;1&gt;           │</w:t>
      </w:r>
    </w:p>
    <w:p>
      <w:pPr>
        <w:pStyle w:val="3"/>
        <w:jc w:val="both"/>
      </w:pPr>
      <w:r>
        <w:rPr>
          <w:sz w:val="14"/>
        </w:rPr>
        <w:t xml:space="preserve">│  │cleaning      │           │        │                           │                           │Installations │</w:t>
      </w:r>
    </w:p>
    <w:p>
      <w:pPr>
        <w:pStyle w:val="3"/>
        <w:jc w:val="both"/>
      </w:pPr>
      <w:r>
        <w:rPr>
          <w:sz w:val="14"/>
        </w:rPr>
        <w:t xml:space="preserve">│  │(&gt; 2)         │    &gt; 10   │75 &lt;1&gt;  │15 &lt;1&gt;                     │                           │which         │</w:t>
      </w:r>
    </w:p>
    <w:p>
      <w:pPr>
        <w:pStyle w:val="3"/>
        <w:jc w:val="both"/>
      </w:pPr>
      <w:r>
        <w:rPr>
          <w:sz w:val="14"/>
        </w:rPr>
        <w:t xml:space="preserve">│  │              │           │        │                           │                           │demonstrate to│</w:t>
      </w:r>
    </w:p>
    <w:p>
      <w:pPr>
        <w:pStyle w:val="3"/>
        <w:jc w:val="both"/>
      </w:pPr>
      <w:r>
        <w:rPr>
          <w:sz w:val="14"/>
        </w:rPr>
        <w:t xml:space="preserve">│  │              │           │        │                           │                           │the competent │</w:t>
      </w:r>
    </w:p>
    <w:p>
      <w:pPr>
        <w:pStyle w:val="3"/>
        <w:jc w:val="both"/>
      </w:pPr>
      <w:r>
        <w:rPr>
          <w:sz w:val="14"/>
        </w:rPr>
        <w:t xml:space="preserve">│  │              │           │        │                           │                           │authority that│</w:t>
      </w:r>
    </w:p>
    <w:p>
      <w:pPr>
        <w:pStyle w:val="3"/>
        <w:jc w:val="both"/>
      </w:pPr>
      <w:r>
        <w:rPr>
          <w:sz w:val="14"/>
        </w:rPr>
        <w:t xml:space="preserve">│  │              │           │        │                           │                           │the average   │</w:t>
      </w:r>
    </w:p>
    <w:p>
      <w:pPr>
        <w:pStyle w:val="3"/>
        <w:jc w:val="both"/>
      </w:pPr>
      <w:r>
        <w:rPr>
          <w:sz w:val="14"/>
        </w:rPr>
        <w:t xml:space="preserve">│  │              │           │        │                           │                           │organic       │</w:t>
      </w:r>
    </w:p>
    <w:p>
      <w:pPr>
        <w:pStyle w:val="3"/>
        <w:jc w:val="both"/>
      </w:pPr>
      <w:r>
        <w:rPr>
          <w:sz w:val="14"/>
        </w:rPr>
        <w:t xml:space="preserve">│  │              │           │        │                           │                           │solvent       │</w:t>
      </w:r>
    </w:p>
    <w:p>
      <w:pPr>
        <w:pStyle w:val="3"/>
        <w:jc w:val="both"/>
      </w:pPr>
      <w:r>
        <w:rPr>
          <w:sz w:val="14"/>
        </w:rPr>
        <w:t xml:space="preserve">│  │              │           │        │                           │                           │content of all│</w:t>
      </w:r>
    </w:p>
    <w:p>
      <w:pPr>
        <w:pStyle w:val="3"/>
        <w:jc w:val="both"/>
      </w:pPr>
      <w:r>
        <w:rPr>
          <w:sz w:val="14"/>
        </w:rPr>
        <w:t xml:space="preserve">│  │              │           │        │                           │                           │cleaning      │</w:t>
      </w:r>
    </w:p>
    <w:p>
      <w:pPr>
        <w:pStyle w:val="3"/>
        <w:jc w:val="both"/>
      </w:pPr>
      <w:r>
        <w:rPr>
          <w:sz w:val="14"/>
        </w:rPr>
        <w:t xml:space="preserve">│  │              │           │        │                           │                           │material used │</w:t>
      </w:r>
    </w:p>
    <w:p>
      <w:pPr>
        <w:pStyle w:val="3"/>
        <w:jc w:val="both"/>
      </w:pPr>
      <w:r>
        <w:rPr>
          <w:sz w:val="14"/>
        </w:rPr>
        <w:t xml:space="preserve">│  │              │           │        │                           │                           │does not      │</w:t>
      </w:r>
    </w:p>
    <w:p>
      <w:pPr>
        <w:pStyle w:val="3"/>
        <w:jc w:val="both"/>
      </w:pPr>
      <w:r>
        <w:rPr>
          <w:sz w:val="14"/>
        </w:rPr>
        <w:t xml:space="preserve">│  │              │           │        │                           │                           │exceed 30% by │</w:t>
      </w:r>
    </w:p>
    <w:p>
      <w:pPr>
        <w:pStyle w:val="3"/>
        <w:jc w:val="both"/>
      </w:pPr>
      <w:r>
        <w:rPr>
          <w:sz w:val="14"/>
        </w:rPr>
        <w:t xml:space="preserve">│  │              │           │        │                           │                           │weight are    │</w:t>
      </w:r>
    </w:p>
    <w:p>
      <w:pPr>
        <w:pStyle w:val="3"/>
        <w:jc w:val="both"/>
      </w:pPr>
      <w:r>
        <w:rPr>
          <w:sz w:val="14"/>
        </w:rPr>
        <w:t xml:space="preserve">│  │              │           │        │                           │                           │exempt from   │</w:t>
      </w:r>
    </w:p>
    <w:p>
      <w:pPr>
        <w:pStyle w:val="3"/>
        <w:jc w:val="both"/>
      </w:pPr>
      <w:r>
        <w:rPr>
          <w:sz w:val="14"/>
        </w:rPr>
        <w:t xml:space="preserve">│  │              │           │        │                           │                           │application of│</w:t>
      </w:r>
    </w:p>
    <w:p>
      <w:pPr>
        <w:pStyle w:val="3"/>
        <w:jc w:val="both"/>
      </w:pPr>
      <w:r>
        <w:rPr>
          <w:sz w:val="14"/>
        </w:rPr>
        <w:t xml:space="preserve">│  │              │           │        │                           │                           │these values. │</w:t>
      </w:r>
    </w:p>
    <w:p>
      <w:pPr>
        <w:pStyle w:val="3"/>
        <w:jc w:val="both"/>
      </w:pPr>
      <w:r>
        <w:rPr>
          <w:sz w:val="14"/>
        </w:rPr>
        <w:t xml:space="preserve">├──┼──────────────┼───────────┼────────┼───────────────────────────┼───────────────────────────┼──────────────┤</w:t>
      </w:r>
    </w:p>
    <w:p>
      <w:pPr>
        <w:pStyle w:val="3"/>
        <w:jc w:val="both"/>
      </w:pPr>
      <w:r>
        <w:rPr>
          <w:sz w:val="14"/>
        </w:rPr>
        <w:t xml:space="preserve">│6 │Vehicle       │    &gt; 0,5  │50 &lt;1&gt;  │25                         │                           │&lt;1&gt; Compliance│</w:t>
      </w:r>
    </w:p>
    <w:p>
      <w:pPr>
        <w:pStyle w:val="3"/>
        <w:jc w:val="both"/>
      </w:pPr>
      <w:r>
        <w:rPr>
          <w:sz w:val="14"/>
        </w:rPr>
        <w:t xml:space="preserve">│  │coating (&lt; 15)│           │        │                           │                           │in accordance │</w:t>
      </w:r>
    </w:p>
    <w:p>
      <w:pPr>
        <w:pStyle w:val="3"/>
        <w:jc w:val="both"/>
      </w:pPr>
      <w:r>
        <w:rPr>
          <w:sz w:val="14"/>
        </w:rPr>
        <w:t xml:space="preserve">│  │and vehicle   │           │        │                           │                           │with point 2  │</w:t>
      </w:r>
    </w:p>
    <w:p>
      <w:pPr>
        <w:pStyle w:val="3"/>
        <w:jc w:val="both"/>
      </w:pPr>
      <w:r>
        <w:rPr>
          <w:sz w:val="14"/>
        </w:rPr>
        <w:t xml:space="preserve">│  │refinishing   │           │        │                           │                           │of Part 8     │</w:t>
      </w:r>
    </w:p>
    <w:p>
      <w:pPr>
        <w:pStyle w:val="3"/>
        <w:jc w:val="both"/>
      </w:pPr>
      <w:r>
        <w:rPr>
          <w:sz w:val="14"/>
        </w:rPr>
        <w:t xml:space="preserve">│  │              │           │        │                           │                           │shall be      │</w:t>
      </w:r>
    </w:p>
    <w:p>
      <w:pPr>
        <w:pStyle w:val="3"/>
        <w:jc w:val="both"/>
      </w:pPr>
      <w:r>
        <w:rPr>
          <w:sz w:val="14"/>
        </w:rPr>
        <w:t xml:space="preserve">│  │              │           │        │                           │                           │demonstrated  │</w:t>
      </w:r>
    </w:p>
    <w:p>
      <w:pPr>
        <w:pStyle w:val="3"/>
        <w:jc w:val="both"/>
      </w:pPr>
      <w:r>
        <w:rPr>
          <w:sz w:val="14"/>
        </w:rPr>
        <w:t xml:space="preserve">│  │              │           │        │                           │                           │based on 15   │</w:t>
      </w:r>
    </w:p>
    <w:p>
      <w:pPr>
        <w:pStyle w:val="3"/>
        <w:jc w:val="both"/>
      </w:pPr>
      <w:r>
        <w:rPr>
          <w:sz w:val="14"/>
        </w:rPr>
        <w:t xml:space="preserve">│  │              │           │        │                           │                           │minute average│</w:t>
      </w:r>
    </w:p>
    <w:p>
      <w:pPr>
        <w:pStyle w:val="3"/>
        <w:jc w:val="both"/>
      </w:pPr>
      <w:r>
        <w:rPr>
          <w:sz w:val="14"/>
        </w:rPr>
        <w:t xml:space="preserve">│  │              │           │        │                           │                           │measurements. │</w:t>
      </w:r>
    </w:p>
    <w:p>
      <w:pPr>
        <w:pStyle w:val="3"/>
        <w:jc w:val="both"/>
      </w:pPr>
      <w:r>
        <w:rPr>
          <w:sz w:val="14"/>
        </w:rPr>
        <w:t xml:space="preserve">├──┼──────────────┼───────────┼────────┼────────────┬──────────────┼───────────────────────────┼──────────────┤</w:t>
      </w:r>
    </w:p>
    <w:p>
      <w:pPr>
        <w:pStyle w:val="3"/>
        <w:jc w:val="both"/>
      </w:pPr>
      <w:r>
        <w:rPr>
          <w:sz w:val="14"/>
        </w:rPr>
        <w:t xml:space="preserve">│7 │Coil coating  │           │50 &lt;1&gt;  │5           │10            │                           │&lt;1&gt; For       │</w:t>
      </w:r>
    </w:p>
    <w:p>
      <w:pPr>
        <w:pStyle w:val="3"/>
        <w:jc w:val="both"/>
      </w:pPr>
      <w:r>
        <w:rPr>
          <w:sz w:val="14"/>
        </w:rPr>
        <w:t xml:space="preserve">│  │(&gt; 25)        │           │        │            │              │                           │installations │</w:t>
      </w:r>
    </w:p>
    <w:p>
      <w:pPr>
        <w:pStyle w:val="3"/>
        <w:jc w:val="both"/>
      </w:pPr>
      <w:r>
        <w:rPr>
          <w:sz w:val="14"/>
        </w:rPr>
        <w:t xml:space="preserve">│  │              │           │        │            │              │                           │which use     │</w:t>
      </w:r>
    </w:p>
    <w:p>
      <w:pPr>
        <w:pStyle w:val="3"/>
        <w:jc w:val="both"/>
      </w:pPr>
      <w:r>
        <w:rPr>
          <w:sz w:val="14"/>
        </w:rPr>
        <w:t xml:space="preserve">│  │              │           │        │            │              │                           │techniques    │</w:t>
      </w:r>
    </w:p>
    <w:p>
      <w:pPr>
        <w:pStyle w:val="3"/>
        <w:jc w:val="both"/>
      </w:pPr>
      <w:r>
        <w:rPr>
          <w:sz w:val="14"/>
        </w:rPr>
        <w:t xml:space="preserve">│  │              │           │        │            │              │                           │which allow   │</w:t>
      </w:r>
    </w:p>
    <w:p>
      <w:pPr>
        <w:pStyle w:val="3"/>
        <w:jc w:val="both"/>
      </w:pPr>
      <w:r>
        <w:rPr>
          <w:sz w:val="14"/>
        </w:rPr>
        <w:t xml:space="preserve">│  │              │           │        │            │              │                           │reuse of      │</w:t>
      </w:r>
    </w:p>
    <w:p>
      <w:pPr>
        <w:pStyle w:val="3"/>
        <w:jc w:val="both"/>
      </w:pPr>
      <w:r>
        <w:rPr>
          <w:sz w:val="14"/>
        </w:rPr>
        <w:t xml:space="preserve">│  │              │           │        │            │              │                           │recovered     │</w:t>
      </w:r>
    </w:p>
    <w:p>
      <w:pPr>
        <w:pStyle w:val="3"/>
        <w:jc w:val="both"/>
      </w:pPr>
      <w:r>
        <w:rPr>
          <w:sz w:val="14"/>
        </w:rPr>
        <w:t xml:space="preserve">│  │              │           │        │            │              │                           │solvents, the │</w:t>
      </w:r>
    </w:p>
    <w:p>
      <w:pPr>
        <w:pStyle w:val="3"/>
        <w:jc w:val="both"/>
      </w:pPr>
      <w:r>
        <w:rPr>
          <w:sz w:val="14"/>
        </w:rPr>
        <w:t xml:space="preserve">│  │              │           │        │            │              │                           │emission limit│</w:t>
      </w:r>
    </w:p>
    <w:p>
      <w:pPr>
        <w:pStyle w:val="3"/>
        <w:jc w:val="both"/>
      </w:pPr>
      <w:r>
        <w:rPr>
          <w:sz w:val="14"/>
        </w:rPr>
        <w:t xml:space="preserve">│  │              │           │        │            │              │                           │value shall be│</w:t>
      </w:r>
    </w:p>
    <w:p>
      <w:pPr>
        <w:pStyle w:val="3"/>
        <w:jc w:val="both"/>
      </w:pPr>
      <w:r>
        <w:rPr>
          <w:sz w:val="14"/>
        </w:rPr>
        <w:t xml:space="preserve">│  │              │           │        │            │              │                           │150.          │</w:t>
      </w:r>
    </w:p>
    <w:p>
      <w:pPr>
        <w:pStyle w:val="3"/>
        <w:jc w:val="both"/>
      </w:pPr>
      <w:r>
        <w:rPr>
          <w:sz w:val="14"/>
        </w:rPr>
        <w:t xml:space="preserve">├──┼──────────────┼───────────┼────────┼────────────┴──────────────┼───────────────────────────┼──────────────┤</w:t>
      </w:r>
    </w:p>
    <w:p>
      <w:pPr>
        <w:pStyle w:val="3"/>
        <w:jc w:val="both"/>
      </w:pPr>
      <w:r>
        <w:rPr>
          <w:sz w:val="14"/>
        </w:rPr>
        <w:t xml:space="preserve">│8 │Other coating,│  5 - 15   │100     │25 &lt;4&gt;                     │                           │&lt;1&gt; Emission  │</w:t>
      </w:r>
    </w:p>
    <w:p>
      <w:pPr>
        <w:pStyle w:val="3"/>
        <w:jc w:val="both"/>
      </w:pPr>
      <w:r>
        <w:rPr>
          <w:sz w:val="14"/>
        </w:rPr>
        <w:t xml:space="preserve">│  │including     │           │&lt;1&gt; &lt;4&gt; │                           │                           │limit value   │</w:t>
      </w:r>
    </w:p>
    <w:p>
      <w:pPr>
        <w:pStyle w:val="3"/>
        <w:jc w:val="both"/>
      </w:pPr>
      <w:r>
        <w:rPr>
          <w:sz w:val="14"/>
        </w:rPr>
        <w:t xml:space="preserve">│  │metal,        │           │        │                           │                           │applies to    │</w:t>
      </w:r>
    </w:p>
    <w:p>
      <w:pPr>
        <w:pStyle w:val="3"/>
        <w:jc w:val="both"/>
      </w:pPr>
      <w:r>
        <w:rPr>
          <w:sz w:val="14"/>
        </w:rPr>
        <w:t xml:space="preserve">│  │plastic,      │    &gt; 15   │50/75   │20 &lt;4&gt;                     │                           │coating       │</w:t>
      </w:r>
    </w:p>
    <w:p>
      <w:pPr>
        <w:pStyle w:val="3"/>
        <w:jc w:val="both"/>
      </w:pPr>
      <w:r>
        <w:rPr>
          <w:sz w:val="14"/>
        </w:rPr>
        <w:t xml:space="preserve">│  │textile &lt;5&gt;,  │           │&lt;2&gt; &lt;3&gt; │                           │                           │application   │</w:t>
      </w:r>
    </w:p>
    <w:p>
      <w:pPr>
        <w:pStyle w:val="3"/>
        <w:jc w:val="both"/>
      </w:pPr>
      <w:r>
        <w:rPr>
          <w:sz w:val="14"/>
        </w:rPr>
        <w:t xml:space="preserve">│  │fabric, film  │           │&lt;4&gt;     │                           │                           │and drying    │</w:t>
      </w:r>
    </w:p>
    <w:p>
      <w:pPr>
        <w:pStyle w:val="3"/>
        <w:jc w:val="both"/>
      </w:pPr>
      <w:r>
        <w:rPr>
          <w:sz w:val="14"/>
        </w:rPr>
        <w:t xml:space="preserve">│  │and paper     │           │        │                           │                           │processes     │</w:t>
      </w:r>
    </w:p>
    <w:p>
      <w:pPr>
        <w:pStyle w:val="3"/>
        <w:jc w:val="both"/>
      </w:pPr>
      <w:r>
        <w:rPr>
          <w:sz w:val="14"/>
        </w:rPr>
        <w:t xml:space="preserve">│  │coating       │           │        │                           │                           │operated under│</w:t>
      </w:r>
    </w:p>
    <w:p>
      <w:pPr>
        <w:pStyle w:val="3"/>
        <w:jc w:val="both"/>
      </w:pPr>
      <w:r>
        <w:rPr>
          <w:sz w:val="14"/>
        </w:rPr>
        <w:t xml:space="preserve">│  │(&gt; 5)         │           │        │                           │                           │contained     │</w:t>
      </w:r>
    </w:p>
    <w:p>
      <w:pPr>
        <w:pStyle w:val="3"/>
        <w:jc w:val="both"/>
      </w:pPr>
      <w:r>
        <w:rPr>
          <w:sz w:val="14"/>
        </w:rPr>
        <w:t xml:space="preserve">│  │              │           │        │                           │                           │conditions.   │</w:t>
      </w:r>
    </w:p>
    <w:p>
      <w:pPr>
        <w:pStyle w:val="3"/>
        <w:jc w:val="both"/>
      </w:pPr>
      <w:r>
        <w:rPr>
          <w:sz w:val="14"/>
        </w:rPr>
        <w:t xml:space="preserve">│  │              │           │        │                           │                           │&lt;2&gt; The first │</w:t>
      </w:r>
    </w:p>
    <w:p>
      <w:pPr>
        <w:pStyle w:val="3"/>
        <w:jc w:val="both"/>
      </w:pPr>
      <w:r>
        <w:rPr>
          <w:sz w:val="14"/>
        </w:rPr>
        <w:t xml:space="preserve">│  │              │           │        │                           │                           │emission limit│</w:t>
      </w:r>
    </w:p>
    <w:p>
      <w:pPr>
        <w:pStyle w:val="3"/>
        <w:jc w:val="both"/>
      </w:pPr>
      <w:r>
        <w:rPr>
          <w:sz w:val="14"/>
        </w:rPr>
        <w:t xml:space="preserve">│  │              │           │        │                           │                           │value applies │</w:t>
      </w:r>
    </w:p>
    <w:p>
      <w:pPr>
        <w:pStyle w:val="3"/>
        <w:jc w:val="both"/>
      </w:pPr>
      <w:r>
        <w:rPr>
          <w:sz w:val="14"/>
        </w:rPr>
        <w:t xml:space="preserve">│  │              │           │        │                           │                           │to drying     │</w:t>
      </w:r>
    </w:p>
    <w:p>
      <w:pPr>
        <w:pStyle w:val="3"/>
        <w:jc w:val="both"/>
      </w:pPr>
      <w:r>
        <w:rPr>
          <w:sz w:val="14"/>
        </w:rPr>
        <w:t xml:space="preserve">│  │              │           │        │                           │                           │processes, the│</w:t>
      </w:r>
    </w:p>
    <w:p>
      <w:pPr>
        <w:pStyle w:val="3"/>
        <w:jc w:val="both"/>
      </w:pPr>
      <w:r>
        <w:rPr>
          <w:sz w:val="14"/>
        </w:rPr>
        <w:t xml:space="preserve">│  │              │           │        │                           │                           │second to     │</w:t>
      </w:r>
    </w:p>
    <w:p>
      <w:pPr>
        <w:pStyle w:val="3"/>
        <w:jc w:val="both"/>
      </w:pPr>
      <w:r>
        <w:rPr>
          <w:sz w:val="14"/>
        </w:rPr>
        <w:t xml:space="preserve">│  │              │           │        │                           │                           │coating       │</w:t>
      </w:r>
    </w:p>
    <w:p>
      <w:pPr>
        <w:pStyle w:val="3"/>
        <w:jc w:val="both"/>
      </w:pPr>
      <w:r>
        <w:rPr>
          <w:sz w:val="14"/>
        </w:rPr>
        <w:t xml:space="preserve">│  │              │           │        │                           │                           │application   │</w:t>
      </w:r>
    </w:p>
    <w:p>
      <w:pPr>
        <w:pStyle w:val="3"/>
        <w:jc w:val="both"/>
      </w:pPr>
      <w:r>
        <w:rPr>
          <w:sz w:val="14"/>
        </w:rPr>
        <w:t xml:space="preserve">│  │              │           │        │                           │                           │processes.    │</w:t>
      </w:r>
    </w:p>
    <w:p>
      <w:pPr>
        <w:pStyle w:val="3"/>
        <w:jc w:val="both"/>
      </w:pPr>
      <w:r>
        <w:rPr>
          <w:sz w:val="14"/>
        </w:rPr>
        <w:t xml:space="preserve">│  │              │           │        │                           │                           │&lt;3&gt; For       │</w:t>
      </w:r>
    </w:p>
    <w:p>
      <w:pPr>
        <w:pStyle w:val="3"/>
        <w:jc w:val="both"/>
      </w:pPr>
      <w:r>
        <w:rPr>
          <w:sz w:val="14"/>
        </w:rPr>
        <w:t xml:space="preserve">│  │              │           │        │                           │                           │textile       │</w:t>
      </w:r>
    </w:p>
    <w:p>
      <w:pPr>
        <w:pStyle w:val="3"/>
        <w:jc w:val="both"/>
      </w:pPr>
      <w:r>
        <w:rPr>
          <w:sz w:val="14"/>
        </w:rPr>
        <w:t xml:space="preserve">│  │              │           │        │                           │                           │coating       │</w:t>
      </w:r>
    </w:p>
    <w:p>
      <w:pPr>
        <w:pStyle w:val="3"/>
        <w:jc w:val="both"/>
      </w:pPr>
      <w:r>
        <w:rPr>
          <w:sz w:val="14"/>
        </w:rPr>
        <w:t xml:space="preserve">│  │              │           │        │                           │                           │installations │</w:t>
      </w:r>
    </w:p>
    <w:p>
      <w:pPr>
        <w:pStyle w:val="3"/>
        <w:jc w:val="both"/>
      </w:pPr>
      <w:r>
        <w:rPr>
          <w:sz w:val="14"/>
        </w:rPr>
        <w:t xml:space="preserve">│  │              │           │        │                           │                           │which use     │</w:t>
      </w:r>
    </w:p>
    <w:p>
      <w:pPr>
        <w:pStyle w:val="3"/>
        <w:jc w:val="both"/>
      </w:pPr>
      <w:r>
        <w:rPr>
          <w:sz w:val="14"/>
        </w:rPr>
        <w:t xml:space="preserve">│  │              │           │        │                           │                           │techniques    │</w:t>
      </w:r>
    </w:p>
    <w:p>
      <w:pPr>
        <w:pStyle w:val="3"/>
        <w:jc w:val="both"/>
      </w:pPr>
      <w:r>
        <w:rPr>
          <w:sz w:val="14"/>
        </w:rPr>
        <w:t xml:space="preserve">│  │              │           │        │                           │                           │which allow   │</w:t>
      </w:r>
    </w:p>
    <w:p>
      <w:pPr>
        <w:pStyle w:val="3"/>
        <w:jc w:val="both"/>
      </w:pPr>
      <w:r>
        <w:rPr>
          <w:sz w:val="14"/>
        </w:rPr>
        <w:t xml:space="preserve">│  │              │           │        │                           │                           │reuse of      │</w:t>
      </w:r>
    </w:p>
    <w:p>
      <w:pPr>
        <w:pStyle w:val="3"/>
        <w:jc w:val="both"/>
      </w:pPr>
      <w:r>
        <w:rPr>
          <w:sz w:val="14"/>
        </w:rPr>
        <w:t xml:space="preserve">│  │              │           │        │                           │                           │recovered     │</w:t>
      </w:r>
    </w:p>
    <w:p>
      <w:pPr>
        <w:pStyle w:val="3"/>
        <w:jc w:val="both"/>
      </w:pPr>
      <w:r>
        <w:rPr>
          <w:sz w:val="14"/>
        </w:rPr>
        <w:t xml:space="preserve">│  │              │           │        │                           │                           │solvents, the │</w:t>
      </w:r>
    </w:p>
    <w:p>
      <w:pPr>
        <w:pStyle w:val="3"/>
        <w:jc w:val="both"/>
      </w:pPr>
      <w:r>
        <w:rPr>
          <w:sz w:val="14"/>
        </w:rPr>
        <w:t xml:space="preserve">│  │              │           │        │                           │                           │emission limit│</w:t>
      </w:r>
    </w:p>
    <w:p>
      <w:pPr>
        <w:pStyle w:val="3"/>
        <w:jc w:val="both"/>
      </w:pPr>
      <w:r>
        <w:rPr>
          <w:sz w:val="14"/>
        </w:rPr>
        <w:t xml:space="preserve">│  │              │           │        │                           │                           │value applied │</w:t>
      </w:r>
    </w:p>
    <w:p>
      <w:pPr>
        <w:pStyle w:val="3"/>
        <w:jc w:val="both"/>
      </w:pPr>
      <w:r>
        <w:rPr>
          <w:sz w:val="14"/>
        </w:rPr>
        <w:t xml:space="preserve">│  │              │           │        │                           │                           │to coating    │</w:t>
      </w:r>
    </w:p>
    <w:p>
      <w:pPr>
        <w:pStyle w:val="3"/>
        <w:jc w:val="both"/>
      </w:pPr>
      <w:r>
        <w:rPr>
          <w:sz w:val="14"/>
        </w:rPr>
        <w:t xml:space="preserve">│  │              │           │        │                           │                           │application   │</w:t>
      </w:r>
    </w:p>
    <w:p>
      <w:pPr>
        <w:pStyle w:val="3"/>
        <w:jc w:val="both"/>
      </w:pPr>
      <w:r>
        <w:rPr>
          <w:sz w:val="14"/>
        </w:rPr>
        <w:t xml:space="preserve">│  │              │           │        │                           │                           │and drying    │</w:t>
      </w:r>
    </w:p>
    <w:p>
      <w:pPr>
        <w:pStyle w:val="3"/>
        <w:jc w:val="both"/>
      </w:pPr>
      <w:r>
        <w:rPr>
          <w:sz w:val="14"/>
        </w:rPr>
        <w:t xml:space="preserve">│  │              │           │        │                           │                           │processes     │</w:t>
      </w:r>
    </w:p>
    <w:p>
      <w:pPr>
        <w:pStyle w:val="3"/>
        <w:jc w:val="both"/>
      </w:pPr>
      <w:r>
        <w:rPr>
          <w:sz w:val="14"/>
        </w:rPr>
        <w:t xml:space="preserve">│  │              │           │        │                           │                           │taken together│</w:t>
      </w:r>
    </w:p>
    <w:p>
      <w:pPr>
        <w:pStyle w:val="3"/>
        <w:jc w:val="both"/>
      </w:pPr>
      <w:r>
        <w:rPr>
          <w:sz w:val="14"/>
        </w:rPr>
        <w:t xml:space="preserve">│  │              │           │        │                           │                           │shall be 150. │</w:t>
      </w:r>
    </w:p>
    <w:p>
      <w:pPr>
        <w:pStyle w:val="3"/>
        <w:jc w:val="both"/>
      </w:pPr>
      <w:r>
        <w:rPr>
          <w:sz w:val="14"/>
        </w:rPr>
        <w:t xml:space="preserve">│  │              │           │        │                           │                           │&lt;4&gt; Coating   │</w:t>
      </w:r>
    </w:p>
    <w:p>
      <w:pPr>
        <w:pStyle w:val="3"/>
        <w:jc w:val="both"/>
      </w:pPr>
      <w:r>
        <w:rPr>
          <w:sz w:val="14"/>
        </w:rPr>
        <w:t xml:space="preserve">│  │              │           │        │                           │                           │activities    │</w:t>
      </w:r>
    </w:p>
    <w:p>
      <w:pPr>
        <w:pStyle w:val="3"/>
        <w:jc w:val="both"/>
      </w:pPr>
      <w:r>
        <w:rPr>
          <w:sz w:val="14"/>
        </w:rPr>
        <w:t xml:space="preserve">│  │              │           │        │                           │                           │which cannot  │</w:t>
      </w:r>
    </w:p>
    <w:p>
      <w:pPr>
        <w:pStyle w:val="3"/>
        <w:jc w:val="both"/>
      </w:pPr>
      <w:r>
        <w:rPr>
          <w:sz w:val="14"/>
        </w:rPr>
        <w:t xml:space="preserve">│  │              │           │        │                           │                           │be carried out│</w:t>
      </w:r>
    </w:p>
    <w:p>
      <w:pPr>
        <w:pStyle w:val="3"/>
        <w:jc w:val="both"/>
      </w:pPr>
      <w:r>
        <w:rPr>
          <w:sz w:val="14"/>
        </w:rPr>
        <w:t xml:space="preserve">│  │              │           │        │                           │                           │under         │</w:t>
      </w:r>
    </w:p>
    <w:p>
      <w:pPr>
        <w:pStyle w:val="3"/>
        <w:jc w:val="both"/>
      </w:pPr>
      <w:r>
        <w:rPr>
          <w:sz w:val="14"/>
        </w:rPr>
        <w:t xml:space="preserve">│  │              │           │        │                           │                           │contained     │</w:t>
      </w:r>
    </w:p>
    <w:p>
      <w:pPr>
        <w:pStyle w:val="3"/>
        <w:jc w:val="both"/>
      </w:pPr>
      <w:r>
        <w:rPr>
          <w:sz w:val="14"/>
        </w:rPr>
        <w:t xml:space="preserve">│  │              │           │        │                           │                           │conditions    │</w:t>
      </w:r>
    </w:p>
    <w:p>
      <w:pPr>
        <w:pStyle w:val="3"/>
        <w:jc w:val="both"/>
      </w:pPr>
      <w:r>
        <w:rPr>
          <w:sz w:val="14"/>
        </w:rPr>
        <w:t xml:space="preserve">│  │              │           │        │                           │                           │(such as      │</w:t>
      </w:r>
    </w:p>
    <w:p>
      <w:pPr>
        <w:pStyle w:val="3"/>
        <w:jc w:val="both"/>
      </w:pPr>
      <w:r>
        <w:rPr>
          <w:sz w:val="14"/>
        </w:rPr>
        <w:t xml:space="preserve">│  │              │           │        │                           │                           │shipbuilding, │</w:t>
      </w:r>
    </w:p>
    <w:p>
      <w:pPr>
        <w:pStyle w:val="3"/>
        <w:jc w:val="both"/>
      </w:pPr>
      <w:r>
        <w:rPr>
          <w:sz w:val="14"/>
        </w:rPr>
        <w:t xml:space="preserve">│  │              │           │        │                           │                           │aircraft      │</w:t>
      </w:r>
    </w:p>
    <w:p>
      <w:pPr>
        <w:pStyle w:val="3"/>
        <w:jc w:val="both"/>
      </w:pPr>
      <w:r>
        <w:rPr>
          <w:sz w:val="14"/>
        </w:rPr>
        <w:t xml:space="preserve">│  │              │           │        │                           │                           │painting) may │</w:t>
      </w:r>
    </w:p>
    <w:p>
      <w:pPr>
        <w:pStyle w:val="3"/>
        <w:jc w:val="both"/>
      </w:pPr>
      <w:r>
        <w:rPr>
          <w:sz w:val="14"/>
        </w:rPr>
        <w:t xml:space="preserve">│  │              │           │        │                           │                           │be exempted   │</w:t>
      </w:r>
    </w:p>
    <w:p>
      <w:pPr>
        <w:pStyle w:val="3"/>
        <w:jc w:val="both"/>
      </w:pPr>
      <w:r>
        <w:rPr>
          <w:sz w:val="14"/>
        </w:rPr>
        <w:t xml:space="preserve">│  │              │           │        │                           │                           │from these    │</w:t>
      </w:r>
    </w:p>
    <w:p>
      <w:pPr>
        <w:pStyle w:val="3"/>
        <w:jc w:val="both"/>
      </w:pPr>
      <w:r>
        <w:rPr>
          <w:sz w:val="14"/>
        </w:rPr>
        <w:t xml:space="preserve">│  │              │           │        │                           │                           │values, in    │</w:t>
      </w:r>
    </w:p>
    <w:p>
      <w:pPr>
        <w:pStyle w:val="3"/>
        <w:jc w:val="both"/>
      </w:pPr>
      <w:r>
        <w:rPr>
          <w:sz w:val="14"/>
        </w:rPr>
        <w:t xml:space="preserve">│  │              │           │        │                           │                           │accordance    │</w:t>
      </w:r>
    </w:p>
    <w:p>
      <w:pPr>
        <w:pStyle w:val="3"/>
        <w:jc w:val="both"/>
      </w:pPr>
      <w:r>
        <w:rPr>
          <w:sz w:val="14"/>
        </w:rPr>
        <w:t xml:space="preserve">│  │              │           │        │                           │                           │with Article  │</w:t>
      </w:r>
    </w:p>
    <w:p>
      <w:pPr>
        <w:pStyle w:val="3"/>
        <w:jc w:val="both"/>
      </w:pPr>
      <w:r>
        <w:rPr>
          <w:sz w:val="14"/>
        </w:rPr>
        <w:t xml:space="preserve">│  │              │           │        │                           │                           │59 (3).       │</w:t>
      </w:r>
    </w:p>
    <w:p>
      <w:pPr>
        <w:pStyle w:val="3"/>
        <w:jc w:val="both"/>
      </w:pPr>
      <w:r>
        <w:rPr>
          <w:sz w:val="14"/>
        </w:rPr>
        <w:t xml:space="preserve">│  │              │           │        │                           │                           │&lt;5&gt; Rotary    │</w:t>
      </w:r>
    </w:p>
    <w:p>
      <w:pPr>
        <w:pStyle w:val="3"/>
        <w:jc w:val="both"/>
      </w:pPr>
      <w:r>
        <w:rPr>
          <w:sz w:val="14"/>
        </w:rPr>
        <w:t xml:space="preserve">│  │              │           │        │                           │                           │screen        │</w:t>
      </w:r>
    </w:p>
    <w:p>
      <w:pPr>
        <w:pStyle w:val="3"/>
        <w:jc w:val="both"/>
      </w:pPr>
      <w:r>
        <w:rPr>
          <w:sz w:val="14"/>
        </w:rPr>
        <w:t xml:space="preserve">│  │              │           │        │                           │                           │printing on   │</w:t>
      </w:r>
    </w:p>
    <w:p>
      <w:pPr>
        <w:pStyle w:val="3"/>
        <w:jc w:val="both"/>
      </w:pPr>
      <w:r>
        <w:rPr>
          <w:sz w:val="14"/>
        </w:rPr>
        <w:t xml:space="preserve">│  │              │           │        │                           │                           │textile is    │</w:t>
      </w:r>
    </w:p>
    <w:p>
      <w:pPr>
        <w:pStyle w:val="3"/>
        <w:jc w:val="both"/>
      </w:pPr>
      <w:r>
        <w:rPr>
          <w:sz w:val="14"/>
        </w:rPr>
        <w:t xml:space="preserve">│  │              │           │        │                           │                           │covered by    │</w:t>
      </w:r>
    </w:p>
    <w:p>
      <w:pPr>
        <w:pStyle w:val="3"/>
        <w:jc w:val="both"/>
      </w:pPr>
      <w:r>
        <w:rPr>
          <w:sz w:val="14"/>
        </w:rPr>
        <w:t xml:space="preserve">│  │              │           │        │                           │                           │activity No 3.│</w:t>
      </w:r>
    </w:p>
    <w:p>
      <w:pPr>
        <w:pStyle w:val="3"/>
        <w:jc w:val="both"/>
      </w:pPr>
      <w:r>
        <w:rPr>
          <w:sz w:val="14"/>
        </w:rPr>
        <w:t xml:space="preserve">├──┼──────────────┼───────────┼────────┼───────────────────────────┼───────────────────────────┼──────────────┤</w:t>
      </w:r>
    </w:p>
    <w:p>
      <w:pPr>
        <w:pStyle w:val="3"/>
        <w:jc w:val="both"/>
      </w:pPr>
      <w:r>
        <w:rPr>
          <w:sz w:val="14"/>
        </w:rPr>
        <w:t xml:space="preserve">│9 │Winding wire  │           │        │                           │10 g/kg &lt;1&gt;                │&lt;1&gt; Applies   │</w:t>
      </w:r>
    </w:p>
    <w:p>
      <w:pPr>
        <w:pStyle w:val="3"/>
        <w:jc w:val="both"/>
      </w:pPr>
      <w:r>
        <w:rPr>
          <w:sz w:val="14"/>
        </w:rPr>
        <w:t xml:space="preserve">│  │coating       │           │        │                           │                           │for           │</w:t>
      </w:r>
    </w:p>
    <w:p>
      <w:pPr>
        <w:pStyle w:val="3"/>
        <w:jc w:val="both"/>
      </w:pPr>
      <w:r>
        <w:rPr>
          <w:sz w:val="14"/>
        </w:rPr>
        <w:t xml:space="preserve">│  │(&gt; 5)         │           │        │                           │5 g/kg &lt;2&gt;                 │installations │</w:t>
      </w:r>
    </w:p>
    <w:p>
      <w:pPr>
        <w:pStyle w:val="3"/>
        <w:jc w:val="both"/>
      </w:pPr>
      <w:r>
        <w:rPr>
          <w:sz w:val="14"/>
        </w:rPr>
        <w:t xml:space="preserve">│  │              │           │        │                           │                           │where average │</w:t>
      </w:r>
    </w:p>
    <w:p>
      <w:pPr>
        <w:pStyle w:val="3"/>
        <w:jc w:val="both"/>
      </w:pPr>
      <w:r>
        <w:rPr>
          <w:sz w:val="14"/>
        </w:rPr>
        <w:t xml:space="preserve">│  │              │           │        │                           │                           │diameter of   │</w:t>
      </w:r>
    </w:p>
    <w:p>
      <w:pPr>
        <w:pStyle w:val="3"/>
        <w:jc w:val="both"/>
      </w:pPr>
      <w:r>
        <w:rPr>
          <w:sz w:val="14"/>
        </w:rPr>
        <w:t xml:space="preserve">│  │              │           │        │                           │                           │wire &lt;= 0,1   │</w:t>
      </w:r>
    </w:p>
    <w:p>
      <w:pPr>
        <w:pStyle w:val="3"/>
        <w:jc w:val="both"/>
      </w:pPr>
      <w:r>
        <w:rPr>
          <w:sz w:val="14"/>
        </w:rPr>
        <w:t xml:space="preserve">│  │              │           │        │                           │                           │mm.           │</w:t>
      </w:r>
    </w:p>
    <w:p>
      <w:pPr>
        <w:pStyle w:val="3"/>
        <w:jc w:val="both"/>
      </w:pPr>
      <w:r>
        <w:rPr>
          <w:sz w:val="14"/>
        </w:rPr>
        <w:t xml:space="preserve">│  │              │           │        │                           │                           │&lt;2&gt; Applies   │</w:t>
      </w:r>
    </w:p>
    <w:p>
      <w:pPr>
        <w:pStyle w:val="3"/>
        <w:jc w:val="both"/>
      </w:pPr>
      <w:r>
        <w:rPr>
          <w:sz w:val="14"/>
        </w:rPr>
        <w:t xml:space="preserve">│  │              │           │        │                           │                           │for all other │</w:t>
      </w:r>
    </w:p>
    <w:p>
      <w:pPr>
        <w:pStyle w:val="3"/>
        <w:jc w:val="both"/>
      </w:pPr>
      <w:r>
        <w:rPr>
          <w:sz w:val="14"/>
        </w:rPr>
        <w:t xml:space="preserve">│  │              │           │        │                           │                           │installations.│</w:t>
      </w:r>
    </w:p>
    <w:p>
      <w:pPr>
        <w:pStyle w:val="3"/>
        <w:jc w:val="both"/>
      </w:pPr>
      <w:r>
        <w:rPr>
          <w:sz w:val="14"/>
        </w:rPr>
        <w:t xml:space="preserve">├──┼──────────────┼───────────┼────────┼───────────────────────────┼───────────────────────────┼──────────────┤</w:t>
      </w:r>
    </w:p>
    <w:p>
      <w:pPr>
        <w:pStyle w:val="3"/>
        <w:jc w:val="both"/>
      </w:pPr>
      <w:r>
        <w:rPr>
          <w:sz w:val="14"/>
        </w:rPr>
        <w:t xml:space="preserve">│10│Coating of    │ 15 - 25   │100 &lt;1&gt; │25                         │                           │&lt;1&gt; Emission  │</w:t>
      </w:r>
    </w:p>
    <w:p>
      <w:pPr>
        <w:pStyle w:val="3"/>
        <w:jc w:val="both"/>
      </w:pPr>
      <w:r>
        <w:rPr>
          <w:sz w:val="14"/>
        </w:rPr>
        <w:t xml:space="preserve">│  │wooden        │           │        │                           │                           │limit value   │</w:t>
      </w:r>
    </w:p>
    <w:p>
      <w:pPr>
        <w:pStyle w:val="3"/>
        <w:jc w:val="both"/>
      </w:pPr>
      <w:r>
        <w:rPr>
          <w:sz w:val="14"/>
        </w:rPr>
        <w:t xml:space="preserve">│  │surfaces      │           │        │                           │                           │applies to    │</w:t>
      </w:r>
    </w:p>
    <w:p>
      <w:pPr>
        <w:pStyle w:val="3"/>
        <w:jc w:val="both"/>
      </w:pPr>
      <w:r>
        <w:rPr>
          <w:sz w:val="14"/>
        </w:rPr>
        <w:t xml:space="preserve">│  │(&gt; 15)        │    &gt; 25   │50/75   │20                         │                           │coating       │</w:t>
      </w:r>
    </w:p>
    <w:p>
      <w:pPr>
        <w:pStyle w:val="3"/>
        <w:jc w:val="both"/>
      </w:pPr>
      <w:r>
        <w:rPr>
          <w:sz w:val="14"/>
        </w:rPr>
        <w:t xml:space="preserve">│  │              │           │&lt;2&gt;     │                           │                           │application   │</w:t>
      </w:r>
    </w:p>
    <w:p>
      <w:pPr>
        <w:pStyle w:val="3"/>
        <w:jc w:val="both"/>
      </w:pPr>
      <w:r>
        <w:rPr>
          <w:sz w:val="14"/>
        </w:rPr>
        <w:t xml:space="preserve">│  │              │           │        │                           │                           │and drying    │</w:t>
      </w:r>
    </w:p>
    <w:p>
      <w:pPr>
        <w:pStyle w:val="3"/>
        <w:jc w:val="both"/>
      </w:pPr>
      <w:r>
        <w:rPr>
          <w:sz w:val="14"/>
        </w:rPr>
        <w:t xml:space="preserve">│  │              │           │        │                           │                           │processes     │</w:t>
      </w:r>
    </w:p>
    <w:p>
      <w:pPr>
        <w:pStyle w:val="3"/>
        <w:jc w:val="both"/>
      </w:pPr>
      <w:r>
        <w:rPr>
          <w:sz w:val="14"/>
        </w:rPr>
        <w:t xml:space="preserve">│  │              │           │        │                           │                           │operated under│</w:t>
      </w:r>
    </w:p>
    <w:p>
      <w:pPr>
        <w:pStyle w:val="3"/>
        <w:jc w:val="both"/>
      </w:pPr>
      <w:r>
        <w:rPr>
          <w:sz w:val="14"/>
        </w:rPr>
        <w:t xml:space="preserve">│  │              │           │        │                           │                           │contained     │</w:t>
      </w:r>
    </w:p>
    <w:p>
      <w:pPr>
        <w:pStyle w:val="3"/>
        <w:jc w:val="both"/>
      </w:pPr>
      <w:r>
        <w:rPr>
          <w:sz w:val="14"/>
        </w:rPr>
        <w:t xml:space="preserve">│  │              │           │        │                           │                           │conditions.   │</w:t>
      </w:r>
    </w:p>
    <w:p>
      <w:pPr>
        <w:pStyle w:val="3"/>
        <w:jc w:val="both"/>
      </w:pPr>
      <w:r>
        <w:rPr>
          <w:sz w:val="14"/>
        </w:rPr>
        <w:t xml:space="preserve">│  │              │           │        │                           │                           │&lt;2&gt; The first │</w:t>
      </w:r>
    </w:p>
    <w:p>
      <w:pPr>
        <w:pStyle w:val="3"/>
        <w:jc w:val="both"/>
      </w:pPr>
      <w:r>
        <w:rPr>
          <w:sz w:val="14"/>
        </w:rPr>
        <w:t xml:space="preserve">│  │              │           │        │                           │                           │value applies │</w:t>
      </w:r>
    </w:p>
    <w:p>
      <w:pPr>
        <w:pStyle w:val="3"/>
        <w:jc w:val="both"/>
      </w:pPr>
      <w:r>
        <w:rPr>
          <w:sz w:val="14"/>
        </w:rPr>
        <w:t xml:space="preserve">│  │              │           │        │                           │                           │to drying     │</w:t>
      </w:r>
    </w:p>
    <w:p>
      <w:pPr>
        <w:pStyle w:val="3"/>
        <w:jc w:val="both"/>
      </w:pPr>
      <w:r>
        <w:rPr>
          <w:sz w:val="14"/>
        </w:rPr>
        <w:t xml:space="preserve">│  │              │           │        │                           │                           │processes, the│</w:t>
      </w:r>
    </w:p>
    <w:p>
      <w:pPr>
        <w:pStyle w:val="3"/>
        <w:jc w:val="both"/>
      </w:pPr>
      <w:r>
        <w:rPr>
          <w:sz w:val="14"/>
        </w:rPr>
        <w:t xml:space="preserve">│  │              │           │        │                           │                           │second to     │</w:t>
      </w:r>
    </w:p>
    <w:p>
      <w:pPr>
        <w:pStyle w:val="3"/>
        <w:jc w:val="both"/>
      </w:pPr>
      <w:r>
        <w:rPr>
          <w:sz w:val="14"/>
        </w:rPr>
        <w:t xml:space="preserve">│  │              │           │        │                           │                           │coating       │</w:t>
      </w:r>
    </w:p>
    <w:p>
      <w:pPr>
        <w:pStyle w:val="3"/>
        <w:jc w:val="both"/>
      </w:pPr>
      <w:r>
        <w:rPr>
          <w:sz w:val="14"/>
        </w:rPr>
        <w:t xml:space="preserve">│  │              │           │        │                           │                           │application   │</w:t>
      </w:r>
    </w:p>
    <w:p>
      <w:pPr>
        <w:pStyle w:val="3"/>
        <w:jc w:val="both"/>
      </w:pPr>
      <w:r>
        <w:rPr>
          <w:sz w:val="14"/>
        </w:rPr>
        <w:t xml:space="preserve">│  │              │           │        │                           │                           │processes.    │</w:t>
      </w:r>
    </w:p>
    <w:p>
      <w:pPr>
        <w:pStyle w:val="3"/>
        <w:jc w:val="both"/>
      </w:pPr>
      <w:r>
        <w:rPr>
          <w:sz w:val="14"/>
        </w:rPr>
        <w:t xml:space="preserve">├──┼──────────────┼───────────┼────────┼───────────────────────────┼───────────────────────────┼──────────────┤</w:t>
      </w:r>
    </w:p>
    <w:p>
      <w:pPr>
        <w:pStyle w:val="3"/>
        <w:jc w:val="both"/>
      </w:pPr>
      <w:r>
        <w:rPr>
          <w:sz w:val="14"/>
        </w:rPr>
        <w:t xml:space="preserve">│11│Dry cleaning  │           │        │                           │20 g/kg &lt;1&gt; &lt;2&gt;            │&lt;1&gt; Expressed │</w:t>
      </w:r>
    </w:p>
    <w:p>
      <w:pPr>
        <w:pStyle w:val="3"/>
        <w:jc w:val="both"/>
      </w:pPr>
      <w:r>
        <w:rPr>
          <w:sz w:val="14"/>
        </w:rPr>
        <w:t xml:space="preserve">│  │              │           │        │                           │                           │in mass of    │</w:t>
      </w:r>
    </w:p>
    <w:p>
      <w:pPr>
        <w:pStyle w:val="3"/>
        <w:jc w:val="both"/>
      </w:pPr>
      <w:r>
        <w:rPr>
          <w:sz w:val="14"/>
        </w:rPr>
        <w:t xml:space="preserve">│  │              │           │        │                           │                           │solvent       │</w:t>
      </w:r>
    </w:p>
    <w:p>
      <w:pPr>
        <w:pStyle w:val="3"/>
        <w:jc w:val="both"/>
      </w:pPr>
      <w:r>
        <w:rPr>
          <w:sz w:val="14"/>
        </w:rPr>
        <w:t xml:space="preserve">│  │              │           │        │                           │                           │emitted per   │</w:t>
      </w:r>
    </w:p>
    <w:p>
      <w:pPr>
        <w:pStyle w:val="3"/>
        <w:jc w:val="both"/>
      </w:pPr>
      <w:r>
        <w:rPr>
          <w:sz w:val="14"/>
        </w:rPr>
        <w:t xml:space="preserve">│  │              │           │        │                           │                           │kilogram of   │</w:t>
      </w:r>
    </w:p>
    <w:p>
      <w:pPr>
        <w:pStyle w:val="3"/>
        <w:jc w:val="both"/>
      </w:pPr>
      <w:r>
        <w:rPr>
          <w:sz w:val="14"/>
        </w:rPr>
        <w:t xml:space="preserve">│  │              │           │        │                           │                           │product       │</w:t>
      </w:r>
    </w:p>
    <w:p>
      <w:pPr>
        <w:pStyle w:val="3"/>
        <w:jc w:val="both"/>
      </w:pPr>
      <w:r>
        <w:rPr>
          <w:sz w:val="14"/>
        </w:rPr>
        <w:t xml:space="preserve">│  │              │           │        │                           │                           │cleaned and   │</w:t>
      </w:r>
    </w:p>
    <w:p>
      <w:pPr>
        <w:pStyle w:val="3"/>
        <w:jc w:val="both"/>
      </w:pPr>
      <w:r>
        <w:rPr>
          <w:sz w:val="14"/>
        </w:rPr>
        <w:t xml:space="preserve">│  │              │           │        │                           │                           │dried.        │</w:t>
      </w:r>
    </w:p>
    <w:p>
      <w:pPr>
        <w:pStyle w:val="3"/>
        <w:jc w:val="both"/>
      </w:pPr>
      <w:r>
        <w:rPr>
          <w:sz w:val="14"/>
        </w:rPr>
        <w:t xml:space="preserve">│  │              │           │        │                           │                           │&lt;2&gt; The       │</w:t>
      </w:r>
    </w:p>
    <w:p>
      <w:pPr>
        <w:pStyle w:val="3"/>
        <w:jc w:val="both"/>
      </w:pPr>
      <w:r>
        <w:rPr>
          <w:sz w:val="14"/>
        </w:rPr>
        <w:t xml:space="preserve">│  │              │           │        │                           │                           │emission limit│</w:t>
      </w:r>
    </w:p>
    <w:p>
      <w:pPr>
        <w:pStyle w:val="3"/>
        <w:jc w:val="both"/>
      </w:pPr>
      <w:r>
        <w:rPr>
          <w:sz w:val="14"/>
        </w:rPr>
        <w:t xml:space="preserve">│  │              │           │        │                           │                           │value in point│</w:t>
      </w:r>
    </w:p>
    <w:p>
      <w:pPr>
        <w:pStyle w:val="3"/>
        <w:jc w:val="both"/>
      </w:pPr>
      <w:r>
        <w:rPr>
          <w:sz w:val="14"/>
        </w:rPr>
        <w:t xml:space="preserve">│  │              │           │        │                           │                           │2 of Part 4   │</w:t>
      </w:r>
    </w:p>
    <w:p>
      <w:pPr>
        <w:pStyle w:val="3"/>
        <w:jc w:val="both"/>
      </w:pPr>
      <w:r>
        <w:rPr>
          <w:sz w:val="14"/>
        </w:rPr>
        <w:t xml:space="preserve">│  │              │           │        │                           │                           │does not apply│</w:t>
      </w:r>
    </w:p>
    <w:p>
      <w:pPr>
        <w:pStyle w:val="3"/>
        <w:jc w:val="both"/>
      </w:pPr>
      <w:r>
        <w:rPr>
          <w:sz w:val="14"/>
        </w:rPr>
        <w:t xml:space="preserve">│  │              │           │        │                           │                           │for this      │</w:t>
      </w:r>
    </w:p>
    <w:p>
      <w:pPr>
        <w:pStyle w:val="3"/>
        <w:jc w:val="both"/>
      </w:pPr>
      <w:r>
        <w:rPr>
          <w:sz w:val="14"/>
        </w:rPr>
        <w:t xml:space="preserve">│  │              │           │        │                           │                           │activity.     │</w:t>
      </w:r>
    </w:p>
    <w:p>
      <w:pPr>
        <w:pStyle w:val="3"/>
        <w:jc w:val="both"/>
      </w:pPr>
      <w:r>
        <w:rPr>
          <w:sz w:val="14"/>
        </w:rPr>
        <w:t xml:space="preserve">├──┼──────────────┼───────────┼────────┼───────────────────────────┼───────────────────────────┼──────────────┤</w:t>
      </w:r>
    </w:p>
    <w:p>
      <w:pPr>
        <w:pStyle w:val="3"/>
        <w:jc w:val="both"/>
      </w:pPr>
      <w:r>
        <w:rPr>
          <w:sz w:val="14"/>
        </w:rPr>
        <w:t xml:space="preserve">│12│Wood          │           │        │                           │       3                   │&lt;1&gt; Emission  │</w:t>
      </w:r>
    </w:p>
    <w:p>
      <w:pPr>
        <w:pStyle w:val="3"/>
        <w:jc w:val="both"/>
      </w:pPr>
      <w:r>
        <w:rPr>
          <w:sz w:val="14"/>
        </w:rPr>
        <w:t xml:space="preserve">│  │impregnation  │           │100 &lt;1&gt; │45                         │11 kg/m                    │limit value   │</w:t>
      </w:r>
    </w:p>
    <w:p>
      <w:pPr>
        <w:pStyle w:val="3"/>
        <w:jc w:val="both"/>
      </w:pPr>
      <w:r>
        <w:rPr>
          <w:sz w:val="14"/>
        </w:rPr>
        <w:t xml:space="preserve">│  │(&gt; 25)        │           │        │                           │                           │does not apply│</w:t>
      </w:r>
    </w:p>
    <w:p>
      <w:pPr>
        <w:pStyle w:val="3"/>
        <w:jc w:val="both"/>
      </w:pPr>
      <w:r>
        <w:rPr>
          <w:sz w:val="14"/>
        </w:rPr>
        <w:t xml:space="preserve">│  │              │           │        │                           │                           │for           │</w:t>
      </w:r>
    </w:p>
    <w:p>
      <w:pPr>
        <w:pStyle w:val="3"/>
        <w:jc w:val="both"/>
      </w:pPr>
      <w:r>
        <w:rPr>
          <w:sz w:val="14"/>
        </w:rPr>
        <w:t xml:space="preserve">│  │              │           │        │                           │                           │impregnation  │</w:t>
      </w:r>
    </w:p>
    <w:p>
      <w:pPr>
        <w:pStyle w:val="3"/>
        <w:jc w:val="both"/>
      </w:pPr>
      <w:r>
        <w:rPr>
          <w:sz w:val="14"/>
        </w:rPr>
        <w:t xml:space="preserve">│  │              │           │        │                           │                           │with creosote.│</w:t>
      </w:r>
    </w:p>
    <w:p>
      <w:pPr>
        <w:pStyle w:val="3"/>
        <w:jc w:val="both"/>
      </w:pPr>
      <w:r>
        <w:rPr>
          <w:sz w:val="14"/>
        </w:rPr>
        <w:t xml:space="preserve">├──┼──────────────┼───────────┼────────┼───────────────────────────┼───────────────────────────┼──────────────┤</w:t>
      </w:r>
    </w:p>
    <w:p>
      <w:pPr>
        <w:pStyle w:val="3"/>
        <w:jc w:val="both"/>
      </w:pPr>
      <w:r>
        <w:rPr>
          <w:sz w:val="14"/>
        </w:rPr>
        <w:t xml:space="preserve">│13│Coating of    │           │        │                           │      2                    │Emission limit│</w:t>
      </w:r>
    </w:p>
    <w:p>
      <w:pPr>
        <w:pStyle w:val="3"/>
        <w:jc w:val="both"/>
      </w:pPr>
      <w:r>
        <w:rPr>
          <w:sz w:val="14"/>
        </w:rPr>
        <w:t xml:space="preserve">│  │leather       │ 10 - 25   │        │                           │85 g/m                     │values are    │</w:t>
      </w:r>
    </w:p>
    <w:p>
      <w:pPr>
        <w:pStyle w:val="3"/>
        <w:jc w:val="both"/>
      </w:pPr>
      <w:r>
        <w:rPr>
          <w:sz w:val="14"/>
        </w:rPr>
        <w:t xml:space="preserve">│  │(&gt; 10)        │           │        │                           │                           │expressed in  │</w:t>
      </w:r>
    </w:p>
    <w:p>
      <w:pPr>
        <w:pStyle w:val="3"/>
        <w:jc w:val="both"/>
      </w:pPr>
      <w:r>
        <w:rPr>
          <w:sz w:val="14"/>
        </w:rPr>
        <w:t xml:space="preserve">│  │              │           │        │                           │      2                    │grams of      │</w:t>
      </w:r>
    </w:p>
    <w:p>
      <w:pPr>
        <w:pStyle w:val="3"/>
        <w:jc w:val="both"/>
      </w:pPr>
      <w:r>
        <w:rPr>
          <w:sz w:val="14"/>
        </w:rPr>
        <w:t xml:space="preserve">│  │              │    &gt; 25   │        │                           │75 g/m                     │solvent       │</w:t>
      </w:r>
    </w:p>
    <w:p>
      <w:pPr>
        <w:pStyle w:val="3"/>
        <w:jc w:val="both"/>
      </w:pPr>
      <w:r>
        <w:rPr>
          <w:sz w:val="14"/>
        </w:rPr>
        <w:t xml:space="preserve">│  │              │           │        │                           │                           │             2│</w:t>
      </w:r>
    </w:p>
    <w:p>
      <w:pPr>
        <w:pStyle w:val="3"/>
        <w:jc w:val="both"/>
      </w:pPr>
      <w:r>
        <w:rPr>
          <w:sz w:val="14"/>
        </w:rPr>
        <w:t xml:space="preserve">│  │              │           │        │                           │       2                   │emitted per m │</w:t>
      </w:r>
    </w:p>
    <w:p>
      <w:pPr>
        <w:pStyle w:val="3"/>
        <w:jc w:val="both"/>
      </w:pPr>
      <w:r>
        <w:rPr>
          <w:sz w:val="14"/>
        </w:rPr>
        <w:t xml:space="preserve">│  │              │    &gt; 10   │        │                           │150 g/m                    │of product    │</w:t>
      </w:r>
    </w:p>
    <w:p>
      <w:pPr>
        <w:pStyle w:val="3"/>
        <w:jc w:val="both"/>
      </w:pPr>
      <w:r>
        <w:rPr>
          <w:sz w:val="14"/>
        </w:rPr>
        <w:t xml:space="preserve">│  │              │        &lt;1&gt;│        │                           │                           │produced.     │</w:t>
      </w:r>
    </w:p>
    <w:p>
      <w:pPr>
        <w:pStyle w:val="3"/>
        <w:jc w:val="both"/>
      </w:pPr>
      <w:r>
        <w:rPr>
          <w:sz w:val="14"/>
        </w:rPr>
        <w:t xml:space="preserve">│  │              │           │        │                           │                           │&lt;1&gt; For       │</w:t>
      </w:r>
    </w:p>
    <w:p>
      <w:pPr>
        <w:pStyle w:val="3"/>
        <w:jc w:val="both"/>
      </w:pPr>
      <w:r>
        <w:rPr>
          <w:sz w:val="14"/>
        </w:rPr>
        <w:t xml:space="preserve">│  │              │           │        │                           │                           │leather       │</w:t>
      </w:r>
    </w:p>
    <w:p>
      <w:pPr>
        <w:pStyle w:val="3"/>
        <w:jc w:val="both"/>
      </w:pPr>
      <w:r>
        <w:rPr>
          <w:sz w:val="14"/>
        </w:rPr>
        <w:t xml:space="preserve">│  │              │           │        │                           │                           │coating       │</w:t>
      </w:r>
    </w:p>
    <w:p>
      <w:pPr>
        <w:pStyle w:val="3"/>
        <w:jc w:val="both"/>
      </w:pPr>
      <w:r>
        <w:rPr>
          <w:sz w:val="14"/>
        </w:rPr>
        <w:t xml:space="preserve">│  │              │           │        │                           │                           │activities in │</w:t>
      </w:r>
    </w:p>
    <w:p>
      <w:pPr>
        <w:pStyle w:val="3"/>
        <w:jc w:val="both"/>
      </w:pPr>
      <w:r>
        <w:rPr>
          <w:sz w:val="14"/>
        </w:rPr>
        <w:t xml:space="preserve">│  │              │           │        │                           │                           │furnishing and│</w:t>
      </w:r>
    </w:p>
    <w:p>
      <w:pPr>
        <w:pStyle w:val="3"/>
        <w:jc w:val="both"/>
      </w:pPr>
      <w:r>
        <w:rPr>
          <w:sz w:val="14"/>
        </w:rPr>
        <w:t xml:space="preserve">│  │              │           │        │                           │                           │particular    │</w:t>
      </w:r>
    </w:p>
    <w:p>
      <w:pPr>
        <w:pStyle w:val="3"/>
        <w:jc w:val="both"/>
      </w:pPr>
      <w:r>
        <w:rPr>
          <w:sz w:val="14"/>
        </w:rPr>
        <w:t xml:space="preserve">│  │              │           │        │                           │                           │leather goods │</w:t>
      </w:r>
    </w:p>
    <w:p>
      <w:pPr>
        <w:pStyle w:val="3"/>
        <w:jc w:val="both"/>
      </w:pPr>
      <w:r>
        <w:rPr>
          <w:sz w:val="14"/>
        </w:rPr>
        <w:t xml:space="preserve">│  │              │           │        │                           │                           │used as small │</w:t>
      </w:r>
    </w:p>
    <w:p>
      <w:pPr>
        <w:pStyle w:val="3"/>
        <w:jc w:val="both"/>
      </w:pPr>
      <w:r>
        <w:rPr>
          <w:sz w:val="14"/>
        </w:rPr>
        <w:t xml:space="preserve">│  │              │           │        │                           │                           │consumer goods│</w:t>
      </w:r>
    </w:p>
    <w:p>
      <w:pPr>
        <w:pStyle w:val="3"/>
        <w:jc w:val="both"/>
      </w:pPr>
      <w:r>
        <w:rPr>
          <w:sz w:val="14"/>
        </w:rPr>
        <w:t xml:space="preserve">│  │              │           │        │                           │                           │like bags,    │</w:t>
      </w:r>
    </w:p>
    <w:p>
      <w:pPr>
        <w:pStyle w:val="3"/>
        <w:jc w:val="both"/>
      </w:pPr>
      <w:r>
        <w:rPr>
          <w:sz w:val="14"/>
        </w:rPr>
        <w:t xml:space="preserve">│  │              │           │        │                           │                           │belts,        │</w:t>
      </w:r>
    </w:p>
    <w:p>
      <w:pPr>
        <w:pStyle w:val="3"/>
        <w:jc w:val="both"/>
      </w:pPr>
      <w:r>
        <w:rPr>
          <w:sz w:val="14"/>
        </w:rPr>
        <w:t xml:space="preserve">│  │              │           │        │                           │                           │wallets, etc. │</w:t>
      </w:r>
    </w:p>
    <w:p>
      <w:pPr>
        <w:pStyle w:val="3"/>
        <w:jc w:val="both"/>
      </w:pPr>
      <w:r>
        <w:rPr>
          <w:sz w:val="14"/>
        </w:rPr>
        <w:t xml:space="preserve">├──┼──────────────┼───────────┼────────┼───────────────────────────┼───────────────────────────┼──────────────┤</w:t>
      </w:r>
    </w:p>
    <w:p>
      <w:pPr>
        <w:pStyle w:val="3"/>
        <w:jc w:val="both"/>
      </w:pPr>
      <w:r>
        <w:rPr>
          <w:sz w:val="14"/>
        </w:rPr>
        <w:t xml:space="preserve">│14│Footwear      │           │        │                           │25 g per pair              │Total emission│</w:t>
      </w:r>
    </w:p>
    <w:p>
      <w:pPr>
        <w:pStyle w:val="3"/>
        <w:jc w:val="both"/>
      </w:pPr>
      <w:r>
        <w:rPr>
          <w:sz w:val="14"/>
        </w:rPr>
        <w:t xml:space="preserve">│  │manufacture   │           │        │                           │                           │limit value is│</w:t>
      </w:r>
    </w:p>
    <w:p>
      <w:pPr>
        <w:pStyle w:val="3"/>
        <w:jc w:val="both"/>
      </w:pPr>
      <w:r>
        <w:rPr>
          <w:sz w:val="14"/>
        </w:rPr>
        <w:t xml:space="preserve">│  │(&gt; 5)         │           │        │                           │                           │expressed in  │</w:t>
      </w:r>
    </w:p>
    <w:p>
      <w:pPr>
        <w:pStyle w:val="3"/>
        <w:jc w:val="both"/>
      </w:pPr>
      <w:r>
        <w:rPr>
          <w:sz w:val="14"/>
        </w:rPr>
        <w:t xml:space="preserve">│  │              │           │        │                           │                           │grams of      │</w:t>
      </w:r>
    </w:p>
    <w:p>
      <w:pPr>
        <w:pStyle w:val="3"/>
        <w:jc w:val="both"/>
      </w:pPr>
      <w:r>
        <w:rPr>
          <w:sz w:val="14"/>
        </w:rPr>
        <w:t xml:space="preserve">│  │              │           │        │                           │                           │solvent       │</w:t>
      </w:r>
    </w:p>
    <w:p>
      <w:pPr>
        <w:pStyle w:val="3"/>
        <w:jc w:val="both"/>
      </w:pPr>
      <w:r>
        <w:rPr>
          <w:sz w:val="14"/>
        </w:rPr>
        <w:t xml:space="preserve">│  │              │           │        │                           │                           │emitted per   │</w:t>
      </w:r>
    </w:p>
    <w:p>
      <w:pPr>
        <w:pStyle w:val="3"/>
        <w:jc w:val="both"/>
      </w:pPr>
      <w:r>
        <w:rPr>
          <w:sz w:val="14"/>
        </w:rPr>
        <w:t xml:space="preserve">│  │              │           │        │                           │                           │pair of       │</w:t>
      </w:r>
    </w:p>
    <w:p>
      <w:pPr>
        <w:pStyle w:val="3"/>
        <w:jc w:val="both"/>
      </w:pPr>
      <w:r>
        <w:rPr>
          <w:sz w:val="14"/>
        </w:rPr>
        <w:t xml:space="preserve">│  │              │           │        │                           │                           │complete      │</w:t>
      </w:r>
    </w:p>
    <w:p>
      <w:pPr>
        <w:pStyle w:val="3"/>
        <w:jc w:val="both"/>
      </w:pPr>
      <w:r>
        <w:rPr>
          <w:sz w:val="14"/>
        </w:rPr>
        <w:t xml:space="preserve">│  │              │           │        │                           │                           │footwear      │</w:t>
      </w:r>
    </w:p>
    <w:p>
      <w:pPr>
        <w:pStyle w:val="3"/>
        <w:jc w:val="both"/>
      </w:pPr>
      <w:r>
        <w:rPr>
          <w:sz w:val="14"/>
        </w:rPr>
        <w:t xml:space="preserve">│  │              │           │        │                           │                           │produced.     │</w:t>
      </w:r>
    </w:p>
    <w:p>
      <w:pPr>
        <w:pStyle w:val="3"/>
        <w:jc w:val="both"/>
      </w:pPr>
      <w:r>
        <w:rPr>
          <w:sz w:val="14"/>
        </w:rPr>
        <w:t xml:space="preserve">├──┼──────────────┼───────────┼────────┼───────────────────────────┼───────────────────────────┼──────────────┤</w:t>
      </w:r>
    </w:p>
    <w:p>
      <w:pPr>
        <w:pStyle w:val="3"/>
        <w:jc w:val="both"/>
      </w:pPr>
      <w:r>
        <w:rPr>
          <w:sz w:val="14"/>
        </w:rPr>
        <w:t xml:space="preserve">│15│Wood and      │           │        │                           │      2                    │              │</w:t>
      </w:r>
    </w:p>
    <w:p>
      <w:pPr>
        <w:pStyle w:val="3"/>
        <w:jc w:val="both"/>
      </w:pPr>
      <w:r>
        <w:rPr>
          <w:sz w:val="14"/>
        </w:rPr>
        <w:t xml:space="preserve">│  │plastic       │           │        │                           │30 g/m                     │              │</w:t>
      </w:r>
    </w:p>
    <w:p>
      <w:pPr>
        <w:pStyle w:val="3"/>
        <w:jc w:val="both"/>
      </w:pPr>
      <w:r>
        <w:rPr>
          <w:sz w:val="14"/>
        </w:rPr>
        <w:t xml:space="preserve">│  │lamination    │           │        │                           │                           │              │</w:t>
      </w:r>
    </w:p>
    <w:p>
      <w:pPr>
        <w:pStyle w:val="3"/>
        <w:jc w:val="both"/>
      </w:pPr>
      <w:r>
        <w:rPr>
          <w:sz w:val="14"/>
        </w:rPr>
        <w:t xml:space="preserve">│  │(&gt; 5)         │           │        │                           │                           │              │</w:t>
      </w:r>
    </w:p>
    <w:p>
      <w:pPr>
        <w:pStyle w:val="3"/>
        <w:jc w:val="both"/>
      </w:pPr>
      <w:r>
        <w:rPr>
          <w:sz w:val="14"/>
        </w:rPr>
        <w:t xml:space="preserve">├──┼──────────────┼───────────┼────────┼───────────────────────────┼───────────────────────────┼──────────────┤</w:t>
      </w:r>
    </w:p>
    <w:p>
      <w:pPr>
        <w:pStyle w:val="3"/>
        <w:jc w:val="both"/>
      </w:pPr>
      <w:r>
        <w:rPr>
          <w:sz w:val="14"/>
        </w:rPr>
        <w:t xml:space="preserve">│16│Adhesive      │  5 - 15   │50 &lt;1&gt;  │25                         │                           │&lt;1&gt; If        │</w:t>
      </w:r>
    </w:p>
    <w:p>
      <w:pPr>
        <w:pStyle w:val="3"/>
        <w:jc w:val="both"/>
      </w:pPr>
      <w:r>
        <w:rPr>
          <w:sz w:val="14"/>
        </w:rPr>
        <w:t xml:space="preserve">│  │coating       │           │        │                           │                           │techniques are│</w:t>
      </w:r>
    </w:p>
    <w:p>
      <w:pPr>
        <w:pStyle w:val="3"/>
        <w:jc w:val="both"/>
      </w:pPr>
      <w:r>
        <w:rPr>
          <w:sz w:val="14"/>
        </w:rPr>
        <w:t xml:space="preserve">│  │(&gt; 5)         │    &gt; 15   │50 &lt;1&gt;  │20                         │                           │used which    │</w:t>
      </w:r>
    </w:p>
    <w:p>
      <w:pPr>
        <w:pStyle w:val="3"/>
        <w:jc w:val="both"/>
      </w:pPr>
      <w:r>
        <w:rPr>
          <w:sz w:val="14"/>
        </w:rPr>
        <w:t xml:space="preserve">│  │              │           │        │                           │                           │allow reuse of│</w:t>
      </w:r>
    </w:p>
    <w:p>
      <w:pPr>
        <w:pStyle w:val="3"/>
        <w:jc w:val="both"/>
      </w:pPr>
      <w:r>
        <w:rPr>
          <w:sz w:val="14"/>
        </w:rPr>
        <w:t xml:space="preserve">│  │              │           │        │                           │                           │recovered     │</w:t>
      </w:r>
    </w:p>
    <w:p>
      <w:pPr>
        <w:pStyle w:val="3"/>
        <w:jc w:val="both"/>
      </w:pPr>
      <w:r>
        <w:rPr>
          <w:sz w:val="14"/>
        </w:rPr>
        <w:t xml:space="preserve">│  │              │           │        │                           │                           │solvent, the  │</w:t>
      </w:r>
    </w:p>
    <w:p>
      <w:pPr>
        <w:pStyle w:val="3"/>
        <w:jc w:val="both"/>
      </w:pPr>
      <w:r>
        <w:rPr>
          <w:sz w:val="14"/>
        </w:rPr>
        <w:t xml:space="preserve">│  │              │           │        │                           │                           │emission limit│</w:t>
      </w:r>
    </w:p>
    <w:p>
      <w:pPr>
        <w:pStyle w:val="3"/>
        <w:jc w:val="both"/>
      </w:pPr>
      <w:r>
        <w:rPr>
          <w:sz w:val="14"/>
        </w:rPr>
        <w:t xml:space="preserve">│  │              │           │        │                           │                           │value in waste│</w:t>
      </w:r>
    </w:p>
    <w:p>
      <w:pPr>
        <w:pStyle w:val="3"/>
        <w:jc w:val="both"/>
      </w:pPr>
      <w:r>
        <w:rPr>
          <w:sz w:val="14"/>
        </w:rPr>
        <w:t xml:space="preserve">│  │              │           │        │                           │                           │gases shall be│</w:t>
      </w:r>
    </w:p>
    <w:p>
      <w:pPr>
        <w:pStyle w:val="3"/>
        <w:jc w:val="both"/>
      </w:pPr>
      <w:r>
        <w:rPr>
          <w:sz w:val="14"/>
        </w:rPr>
        <w:t xml:space="preserve">│  │              │           │        │                           │                           │150.          │</w:t>
      </w:r>
    </w:p>
    <w:p>
      <w:pPr>
        <w:pStyle w:val="3"/>
        <w:jc w:val="both"/>
      </w:pPr>
      <w:r>
        <w:rPr>
          <w:sz w:val="14"/>
        </w:rPr>
        <w:t xml:space="preserve">├──┼──────────────┼───────────┼────────┼───────────────────────────┼───────────────────────────┼──────────────┤</w:t>
      </w:r>
    </w:p>
    <w:p>
      <w:pPr>
        <w:pStyle w:val="3"/>
        <w:jc w:val="both"/>
      </w:pPr>
      <w:r>
        <w:rPr>
          <w:sz w:val="14"/>
        </w:rPr>
        <w:t xml:space="preserve">│17│Manufacture of│100 - 1000 │150     │5                          │5% of solvent input        │The fugitive  │</w:t>
      </w:r>
    </w:p>
    <w:p>
      <w:pPr>
        <w:pStyle w:val="3"/>
        <w:jc w:val="both"/>
      </w:pPr>
      <w:r>
        <w:rPr>
          <w:sz w:val="14"/>
        </w:rPr>
        <w:t xml:space="preserve">│  │coating       │           │        │                           │                           │emission limit│</w:t>
      </w:r>
    </w:p>
    <w:p>
      <w:pPr>
        <w:pStyle w:val="3"/>
        <w:jc w:val="both"/>
      </w:pPr>
      <w:r>
        <w:rPr>
          <w:sz w:val="14"/>
        </w:rPr>
        <w:t xml:space="preserve">│  │mixture,      │    &gt; 1000 │150     │3                          │3% of solvent input        │value does not│</w:t>
      </w:r>
    </w:p>
    <w:p>
      <w:pPr>
        <w:pStyle w:val="3"/>
        <w:jc w:val="both"/>
      </w:pPr>
      <w:r>
        <w:rPr>
          <w:sz w:val="14"/>
        </w:rPr>
        <w:t xml:space="preserve">│  │varnishes,    │           │        │                           │                           │include       │</w:t>
      </w:r>
    </w:p>
    <w:p>
      <w:pPr>
        <w:pStyle w:val="3"/>
        <w:jc w:val="both"/>
      </w:pPr>
      <w:r>
        <w:rPr>
          <w:sz w:val="14"/>
        </w:rPr>
        <w:t xml:space="preserve">│  │inks and      │           │        │                           │                           │solvent sold  │</w:t>
      </w:r>
    </w:p>
    <w:p>
      <w:pPr>
        <w:pStyle w:val="3"/>
        <w:jc w:val="both"/>
      </w:pPr>
      <w:r>
        <w:rPr>
          <w:sz w:val="14"/>
        </w:rPr>
        <w:t xml:space="preserve">│  │adhesives     │           │        │                           │                           │as part of a  │</w:t>
      </w:r>
    </w:p>
    <w:p>
      <w:pPr>
        <w:pStyle w:val="3"/>
        <w:jc w:val="both"/>
      </w:pPr>
      <w:r>
        <w:rPr>
          <w:sz w:val="14"/>
        </w:rPr>
        <w:t xml:space="preserve">│  │(&gt; 100)       │           │        │                           │                           │coatings      │</w:t>
      </w:r>
    </w:p>
    <w:p>
      <w:pPr>
        <w:pStyle w:val="3"/>
        <w:jc w:val="both"/>
      </w:pPr>
      <w:r>
        <w:rPr>
          <w:sz w:val="14"/>
        </w:rPr>
        <w:t xml:space="preserve">│  │              │           │        │                           │                           │mixture in a  │</w:t>
      </w:r>
    </w:p>
    <w:p>
      <w:pPr>
        <w:pStyle w:val="3"/>
        <w:jc w:val="both"/>
      </w:pPr>
      <w:r>
        <w:rPr>
          <w:sz w:val="14"/>
        </w:rPr>
        <w:t xml:space="preserve">│  │              │           │        │                           │                           │sealed        │</w:t>
      </w:r>
    </w:p>
    <w:p>
      <w:pPr>
        <w:pStyle w:val="3"/>
        <w:jc w:val="both"/>
      </w:pPr>
      <w:r>
        <w:rPr>
          <w:sz w:val="14"/>
        </w:rPr>
        <w:t xml:space="preserve">│  │              │           │        │                           │                           │container.    │</w:t>
      </w:r>
    </w:p>
    <w:p>
      <w:pPr>
        <w:pStyle w:val="3"/>
        <w:jc w:val="both"/>
      </w:pPr>
      <w:r>
        <w:rPr>
          <w:sz w:val="14"/>
        </w:rPr>
        <w:t xml:space="preserve">├──┼──────────────┼───────────┼────────┼───────────────────────────┼───────────────────────────┼──────────────┤</w:t>
      </w:r>
    </w:p>
    <w:p>
      <w:pPr>
        <w:pStyle w:val="3"/>
        <w:jc w:val="both"/>
      </w:pPr>
      <w:r>
        <w:rPr>
          <w:sz w:val="14"/>
        </w:rPr>
        <w:t xml:space="preserve">│18│Rubber        │           │20 &lt;1&gt;  │25 &lt;2&gt;                     │25% of solvent input       │&lt;1&gt; If        │</w:t>
      </w:r>
    </w:p>
    <w:p>
      <w:pPr>
        <w:pStyle w:val="3"/>
        <w:jc w:val="both"/>
      </w:pPr>
      <w:r>
        <w:rPr>
          <w:sz w:val="14"/>
        </w:rPr>
        <w:t xml:space="preserve">│  │conversion    │           │        │                           │                           │techniques are│</w:t>
      </w:r>
    </w:p>
    <w:p>
      <w:pPr>
        <w:pStyle w:val="3"/>
        <w:jc w:val="both"/>
      </w:pPr>
      <w:r>
        <w:rPr>
          <w:sz w:val="14"/>
        </w:rPr>
        <w:t xml:space="preserve">│  │(&gt; 15)        │           │        │                           │                           │used          │</w:t>
      </w:r>
    </w:p>
    <w:p>
      <w:pPr>
        <w:pStyle w:val="3"/>
        <w:jc w:val="both"/>
      </w:pPr>
      <w:r>
        <w:rPr>
          <w:sz w:val="14"/>
        </w:rPr>
        <w:t xml:space="preserve">│  │              │           │        │                           │                           │which allow   │</w:t>
      </w:r>
    </w:p>
    <w:p>
      <w:pPr>
        <w:pStyle w:val="3"/>
        <w:jc w:val="both"/>
      </w:pPr>
      <w:r>
        <w:rPr>
          <w:sz w:val="14"/>
        </w:rPr>
        <w:t xml:space="preserve">│  │              │           │        │                           │                           │reuse of      │</w:t>
      </w:r>
    </w:p>
    <w:p>
      <w:pPr>
        <w:pStyle w:val="3"/>
        <w:jc w:val="both"/>
      </w:pPr>
      <w:r>
        <w:rPr>
          <w:sz w:val="14"/>
        </w:rPr>
        <w:t xml:space="preserve">│  │              │           │        │                           │                           │recovered     │</w:t>
      </w:r>
    </w:p>
    <w:p>
      <w:pPr>
        <w:pStyle w:val="3"/>
        <w:jc w:val="both"/>
      </w:pPr>
      <w:r>
        <w:rPr>
          <w:sz w:val="14"/>
        </w:rPr>
        <w:t xml:space="preserve">│  │              │           │        │                           │                           │solvent, the  │</w:t>
      </w:r>
    </w:p>
    <w:p>
      <w:pPr>
        <w:pStyle w:val="3"/>
        <w:jc w:val="both"/>
      </w:pPr>
      <w:r>
        <w:rPr>
          <w:sz w:val="14"/>
        </w:rPr>
        <w:t xml:space="preserve">│  │              │           │        │                           │                           │emission limit│</w:t>
      </w:r>
    </w:p>
    <w:p>
      <w:pPr>
        <w:pStyle w:val="3"/>
        <w:jc w:val="both"/>
      </w:pPr>
      <w:r>
        <w:rPr>
          <w:sz w:val="14"/>
        </w:rPr>
        <w:t xml:space="preserve">│  │              │           │        │                           │                           │value in waste│</w:t>
      </w:r>
    </w:p>
    <w:p>
      <w:pPr>
        <w:pStyle w:val="3"/>
        <w:jc w:val="both"/>
      </w:pPr>
      <w:r>
        <w:rPr>
          <w:sz w:val="14"/>
        </w:rPr>
        <w:t xml:space="preserve">│  │              │           │        │                           │                           │gases shall be│</w:t>
      </w:r>
    </w:p>
    <w:p>
      <w:pPr>
        <w:pStyle w:val="3"/>
        <w:jc w:val="both"/>
      </w:pPr>
      <w:r>
        <w:rPr>
          <w:sz w:val="14"/>
        </w:rPr>
        <w:t xml:space="preserve">│  │              │           │        │                           │                           │150.          │</w:t>
      </w:r>
    </w:p>
    <w:p>
      <w:pPr>
        <w:pStyle w:val="3"/>
        <w:jc w:val="both"/>
      </w:pPr>
      <w:r>
        <w:rPr>
          <w:sz w:val="14"/>
        </w:rPr>
        <w:t xml:space="preserve">│  │              │           │        │                           │                           │&lt;2&gt; The       │</w:t>
      </w:r>
    </w:p>
    <w:p>
      <w:pPr>
        <w:pStyle w:val="3"/>
        <w:jc w:val="both"/>
      </w:pPr>
      <w:r>
        <w:rPr>
          <w:sz w:val="14"/>
        </w:rPr>
        <w:t xml:space="preserve">│  │              │           │        │                           │                           │fugitive      │</w:t>
      </w:r>
    </w:p>
    <w:p>
      <w:pPr>
        <w:pStyle w:val="3"/>
        <w:jc w:val="both"/>
      </w:pPr>
      <w:r>
        <w:rPr>
          <w:sz w:val="14"/>
        </w:rPr>
        <w:t xml:space="preserve">│  │              │           │        │                           │                           │emission limit│</w:t>
      </w:r>
    </w:p>
    <w:p>
      <w:pPr>
        <w:pStyle w:val="3"/>
        <w:jc w:val="both"/>
      </w:pPr>
      <w:r>
        <w:rPr>
          <w:sz w:val="14"/>
        </w:rPr>
        <w:t xml:space="preserve">│  │              │           │        │                           │                           │value does not│</w:t>
      </w:r>
    </w:p>
    <w:p>
      <w:pPr>
        <w:pStyle w:val="3"/>
        <w:jc w:val="both"/>
      </w:pPr>
      <w:r>
        <w:rPr>
          <w:sz w:val="14"/>
        </w:rPr>
        <w:t xml:space="preserve">│  │              │           │        │                           │                           │include       │</w:t>
      </w:r>
    </w:p>
    <w:p>
      <w:pPr>
        <w:pStyle w:val="3"/>
        <w:jc w:val="both"/>
      </w:pPr>
      <w:r>
        <w:rPr>
          <w:sz w:val="14"/>
        </w:rPr>
        <w:t xml:space="preserve">│  │              │           │        │                           │                           │solvent sold  │</w:t>
      </w:r>
    </w:p>
    <w:p>
      <w:pPr>
        <w:pStyle w:val="3"/>
        <w:jc w:val="both"/>
      </w:pPr>
      <w:r>
        <w:rPr>
          <w:sz w:val="14"/>
        </w:rPr>
        <w:t xml:space="preserve">│  │              │           │        │                           │                           │as part of    │</w:t>
      </w:r>
    </w:p>
    <w:p>
      <w:pPr>
        <w:pStyle w:val="3"/>
        <w:jc w:val="both"/>
      </w:pPr>
      <w:r>
        <w:rPr>
          <w:sz w:val="14"/>
        </w:rPr>
        <w:t xml:space="preserve">│  │              │           │        │                           │                           │products or   │</w:t>
      </w:r>
    </w:p>
    <w:p>
      <w:pPr>
        <w:pStyle w:val="3"/>
        <w:jc w:val="both"/>
      </w:pPr>
      <w:r>
        <w:rPr>
          <w:sz w:val="14"/>
        </w:rPr>
        <w:t xml:space="preserve">│  │              │           │        │                           │                           │mixtures in a │</w:t>
      </w:r>
    </w:p>
    <w:p>
      <w:pPr>
        <w:pStyle w:val="3"/>
        <w:jc w:val="both"/>
      </w:pPr>
      <w:r>
        <w:rPr>
          <w:sz w:val="14"/>
        </w:rPr>
        <w:t xml:space="preserve">│  │              │           │        │                           │                           │sealed        │</w:t>
      </w:r>
    </w:p>
    <w:p>
      <w:pPr>
        <w:pStyle w:val="3"/>
        <w:jc w:val="both"/>
      </w:pPr>
      <w:r>
        <w:rPr>
          <w:sz w:val="14"/>
        </w:rPr>
        <w:t xml:space="preserve">│  │              │           │        │                           │                           │container.    │</w:t>
      </w:r>
    </w:p>
    <w:p>
      <w:pPr>
        <w:pStyle w:val="3"/>
        <w:jc w:val="both"/>
      </w:pPr>
      <w:r>
        <w:rPr>
          <w:sz w:val="14"/>
        </w:rPr>
        <w:t xml:space="preserve">├──┼──────────────┼───────────┼────────┼───────────────────────────┼───────────────────────────┼──────────────┤</w:t>
      </w:r>
    </w:p>
    <w:p>
      <w:pPr>
        <w:pStyle w:val="3"/>
        <w:jc w:val="both"/>
      </w:pPr>
      <w:r>
        <w:rPr>
          <w:sz w:val="14"/>
        </w:rPr>
        <w:t xml:space="preserve">│19│Vegetable oil │           │        │                           │Animal fat: 1,5 kg/tonne   │&lt;1&gt; Total     │</w:t>
      </w:r>
    </w:p>
    <w:p>
      <w:pPr>
        <w:pStyle w:val="3"/>
        <w:jc w:val="both"/>
      </w:pPr>
      <w:r>
        <w:rPr>
          <w:sz w:val="14"/>
        </w:rPr>
        <w:t xml:space="preserve">│  │and animal fat│           │        │                           │Castor: 3 kg/tonne         │emission limit│</w:t>
      </w:r>
    </w:p>
    <w:p>
      <w:pPr>
        <w:pStyle w:val="3"/>
        <w:jc w:val="both"/>
      </w:pPr>
      <w:r>
        <w:rPr>
          <w:sz w:val="14"/>
        </w:rPr>
        <w:t xml:space="preserve">│  │extraction    │           │        │                           │Rape seed: 1 kg/tonne      │values for    │</w:t>
      </w:r>
    </w:p>
    <w:p>
      <w:pPr>
        <w:pStyle w:val="3"/>
        <w:jc w:val="both"/>
      </w:pPr>
      <w:r>
        <w:rPr>
          <w:sz w:val="14"/>
        </w:rPr>
        <w:t xml:space="preserve">│  │and vegetable │           │        │                           │Sunflower seed: 1 kg/tonne │installations │</w:t>
      </w:r>
    </w:p>
    <w:p>
      <w:pPr>
        <w:pStyle w:val="3"/>
        <w:jc w:val="both"/>
      </w:pPr>
      <w:r>
        <w:rPr>
          <w:sz w:val="14"/>
        </w:rPr>
        <w:t xml:space="preserve">│  │oil refining  │           │        │                           │Soya beans (normal crush): │processing    │</w:t>
      </w:r>
    </w:p>
    <w:p>
      <w:pPr>
        <w:pStyle w:val="3"/>
        <w:jc w:val="both"/>
      </w:pPr>
      <w:r>
        <w:rPr>
          <w:sz w:val="14"/>
        </w:rPr>
        <w:t xml:space="preserve">│  │activities    │           │        │                           │0,8 kg/tonne               │individual    │</w:t>
      </w:r>
    </w:p>
    <w:p>
      <w:pPr>
        <w:pStyle w:val="3"/>
        <w:jc w:val="both"/>
      </w:pPr>
      <w:r>
        <w:rPr>
          <w:sz w:val="14"/>
        </w:rPr>
        <w:t xml:space="preserve">│  │(&gt; 10)        │           │        │                           │Soya beans (white flakes): │batches of    │</w:t>
      </w:r>
    </w:p>
    <w:p>
      <w:pPr>
        <w:pStyle w:val="3"/>
        <w:jc w:val="both"/>
      </w:pPr>
      <w:r>
        <w:rPr>
          <w:sz w:val="14"/>
        </w:rPr>
        <w:t xml:space="preserve">│  │              │           │        │                           │1,2 kg/tonne               │seeds and     │</w:t>
      </w:r>
    </w:p>
    <w:p>
      <w:pPr>
        <w:pStyle w:val="3"/>
        <w:jc w:val="both"/>
      </w:pPr>
      <w:r>
        <w:rPr>
          <w:sz w:val="14"/>
        </w:rPr>
        <w:t xml:space="preserve">│  │              │           │        │                           │Other seeds and other      │other         │</w:t>
      </w:r>
    </w:p>
    <w:p>
      <w:pPr>
        <w:pStyle w:val="3"/>
        <w:jc w:val="both"/>
      </w:pPr>
      <w:r>
        <w:rPr>
          <w:sz w:val="14"/>
        </w:rPr>
        <w:t xml:space="preserve">│  │              │           │        │                           │vegetable matter: 3        │vegetable     │</w:t>
      </w:r>
    </w:p>
    <w:p>
      <w:pPr>
        <w:pStyle w:val="3"/>
        <w:jc w:val="both"/>
      </w:pPr>
      <w:r>
        <w:rPr>
          <w:sz w:val="14"/>
        </w:rPr>
        <w:t xml:space="preserve">│  │              │           │        │                           │kg/tonne &lt;1&gt; 1,5 kg/tonne  │matter should │</w:t>
      </w:r>
    </w:p>
    <w:p>
      <w:pPr>
        <w:pStyle w:val="3"/>
        <w:jc w:val="both"/>
      </w:pPr>
      <w:r>
        <w:rPr>
          <w:sz w:val="14"/>
        </w:rPr>
        <w:t xml:space="preserve">│  │              │           │        │                           │&lt;2&gt; 4 kg/tonne &lt;3&gt;         │be set by the │</w:t>
      </w:r>
    </w:p>
    <w:p>
      <w:pPr>
        <w:pStyle w:val="3"/>
        <w:jc w:val="both"/>
      </w:pPr>
      <w:r>
        <w:rPr>
          <w:sz w:val="14"/>
        </w:rPr>
        <w:t xml:space="preserve">│  │              │           │        │                           │                           │competent     │</w:t>
      </w:r>
    </w:p>
    <w:p>
      <w:pPr>
        <w:pStyle w:val="3"/>
        <w:jc w:val="both"/>
      </w:pPr>
      <w:r>
        <w:rPr>
          <w:sz w:val="14"/>
        </w:rPr>
        <w:t xml:space="preserve">│  │              │           │        │                           │                           │authority on a│</w:t>
      </w:r>
    </w:p>
    <w:p>
      <w:pPr>
        <w:pStyle w:val="3"/>
        <w:jc w:val="both"/>
      </w:pPr>
      <w:r>
        <w:rPr>
          <w:sz w:val="14"/>
        </w:rPr>
        <w:t xml:space="preserve">│  │              │           │        │                           │                           │case-by-case  │</w:t>
      </w:r>
    </w:p>
    <w:p>
      <w:pPr>
        <w:pStyle w:val="3"/>
        <w:jc w:val="both"/>
      </w:pPr>
      <w:r>
        <w:rPr>
          <w:sz w:val="14"/>
        </w:rPr>
        <w:t xml:space="preserve">│  │              │           │        │                           │                           │basis,        │</w:t>
      </w:r>
    </w:p>
    <w:p>
      <w:pPr>
        <w:pStyle w:val="3"/>
        <w:jc w:val="both"/>
      </w:pPr>
      <w:r>
        <w:rPr>
          <w:sz w:val="14"/>
        </w:rPr>
        <w:t xml:space="preserve">│  │              │           │        │                           │                           │applying the  │</w:t>
      </w:r>
    </w:p>
    <w:p>
      <w:pPr>
        <w:pStyle w:val="3"/>
        <w:jc w:val="both"/>
      </w:pPr>
      <w:r>
        <w:rPr>
          <w:sz w:val="14"/>
        </w:rPr>
        <w:t xml:space="preserve">│  │              │           │        │                           │                           │best available│</w:t>
      </w:r>
    </w:p>
    <w:p>
      <w:pPr>
        <w:pStyle w:val="3"/>
        <w:jc w:val="both"/>
      </w:pPr>
      <w:r>
        <w:rPr>
          <w:sz w:val="14"/>
        </w:rPr>
        <w:t xml:space="preserve">│  │              │           │        │                           │                           │techniques.   │</w:t>
      </w:r>
    </w:p>
    <w:p>
      <w:pPr>
        <w:pStyle w:val="3"/>
        <w:jc w:val="both"/>
      </w:pPr>
      <w:r>
        <w:rPr>
          <w:sz w:val="14"/>
        </w:rPr>
        <w:t xml:space="preserve">│  │              │           │        │                           │                           │&lt;2&gt; Applies to│</w:t>
      </w:r>
    </w:p>
    <w:p>
      <w:pPr>
        <w:pStyle w:val="3"/>
        <w:jc w:val="both"/>
      </w:pPr>
      <w:r>
        <w:rPr>
          <w:sz w:val="14"/>
        </w:rPr>
        <w:t xml:space="preserve">│  │              │           │        │                           │                           │all           │</w:t>
      </w:r>
    </w:p>
    <w:p>
      <w:pPr>
        <w:pStyle w:val="3"/>
        <w:jc w:val="both"/>
      </w:pPr>
      <w:r>
        <w:rPr>
          <w:sz w:val="14"/>
        </w:rPr>
        <w:t xml:space="preserve">│  │              │           │        │                           │                           │fractionation │</w:t>
      </w:r>
    </w:p>
    <w:p>
      <w:pPr>
        <w:pStyle w:val="3"/>
        <w:jc w:val="both"/>
      </w:pPr>
      <w:r>
        <w:rPr>
          <w:sz w:val="14"/>
        </w:rPr>
        <w:t xml:space="preserve">│  │              │           │        │                           │                           │processes     │</w:t>
      </w:r>
    </w:p>
    <w:p>
      <w:pPr>
        <w:pStyle w:val="3"/>
        <w:jc w:val="both"/>
      </w:pPr>
      <w:r>
        <w:rPr>
          <w:sz w:val="14"/>
        </w:rPr>
        <w:t xml:space="preserve">│  │              │           │        │                           │                           │excluding de -│</w:t>
      </w:r>
    </w:p>
    <w:p>
      <w:pPr>
        <w:pStyle w:val="3"/>
        <w:jc w:val="both"/>
      </w:pPr>
      <w:r>
        <w:rPr>
          <w:sz w:val="14"/>
        </w:rPr>
        <w:t xml:space="preserve">│  │              │           │        │                           │                           │gumming (the  │</w:t>
      </w:r>
    </w:p>
    <w:p>
      <w:pPr>
        <w:pStyle w:val="3"/>
        <w:jc w:val="both"/>
      </w:pPr>
      <w:r>
        <w:rPr>
          <w:sz w:val="14"/>
        </w:rPr>
        <w:t xml:space="preserve">│  │              │           │        │                           │                           │removal of    │</w:t>
      </w:r>
    </w:p>
    <w:p>
      <w:pPr>
        <w:pStyle w:val="3"/>
        <w:jc w:val="both"/>
      </w:pPr>
      <w:r>
        <w:rPr>
          <w:sz w:val="14"/>
        </w:rPr>
        <w:t xml:space="preserve">│  │              │           │        │                           │                           │gums from the │</w:t>
      </w:r>
    </w:p>
    <w:p>
      <w:pPr>
        <w:pStyle w:val="3"/>
        <w:jc w:val="both"/>
      </w:pPr>
      <w:r>
        <w:rPr>
          <w:sz w:val="14"/>
        </w:rPr>
        <w:t xml:space="preserve">│  │              │           │        │                           │                           │oil).         │</w:t>
      </w:r>
    </w:p>
    <w:p>
      <w:pPr>
        <w:pStyle w:val="3"/>
        <w:jc w:val="both"/>
      </w:pPr>
      <w:r>
        <w:rPr>
          <w:sz w:val="14"/>
        </w:rPr>
        <w:t xml:space="preserve">│  │              │           │        │                           │                           │&lt;3&gt; Applies   │</w:t>
      </w:r>
    </w:p>
    <w:p>
      <w:pPr>
        <w:pStyle w:val="3"/>
        <w:jc w:val="both"/>
      </w:pPr>
      <w:r>
        <w:rPr>
          <w:sz w:val="14"/>
        </w:rPr>
        <w:t xml:space="preserve">│  │              │           │        │                           │                           │to de-gumming.│</w:t>
      </w:r>
    </w:p>
    <w:p>
      <w:pPr>
        <w:pStyle w:val="3"/>
        <w:jc w:val="both"/>
      </w:pPr>
      <w:r>
        <w:rPr>
          <w:sz w:val="14"/>
        </w:rPr>
        <w:t xml:space="preserve">├──┼──────────────┼───────────┼────────┼────────────┬──────────────┼─────────────┬─────────────┼──────────────┤</w:t>
      </w:r>
    </w:p>
    <w:p>
      <w:pPr>
        <w:pStyle w:val="3"/>
        <w:jc w:val="both"/>
      </w:pPr>
      <w:r>
        <w:rPr>
          <w:sz w:val="14"/>
        </w:rPr>
        <w:t xml:space="preserve">│20│Manufacturing │           │20 &lt;1&gt;  │5 &lt;2&gt;       │15 &lt;2&gt;        │5% of solvent│15% of       │&lt;1&gt; If        │</w:t>
      </w:r>
    </w:p>
    <w:p>
      <w:pPr>
        <w:pStyle w:val="3"/>
        <w:jc w:val="both"/>
      </w:pPr>
      <w:r>
        <w:rPr>
          <w:sz w:val="14"/>
        </w:rPr>
        <w:t xml:space="preserve">│  │of            │           │        │            │              │input        │solvent input│techniques are│</w:t>
      </w:r>
    </w:p>
    <w:p>
      <w:pPr>
        <w:pStyle w:val="3"/>
        <w:jc w:val="both"/>
      </w:pPr>
      <w:r>
        <w:rPr>
          <w:sz w:val="14"/>
        </w:rPr>
        <w:t xml:space="preserve">│  │pharmaceutical│           │        │            │              │             │             │used which    │</w:t>
      </w:r>
    </w:p>
    <w:p>
      <w:pPr>
        <w:pStyle w:val="3"/>
        <w:jc w:val="both"/>
      </w:pPr>
      <w:r>
        <w:rPr>
          <w:sz w:val="14"/>
        </w:rPr>
        <w:t xml:space="preserve">│  │products      │           │        │            │              │             │             │allow reuse of│</w:t>
      </w:r>
    </w:p>
    <w:p>
      <w:pPr>
        <w:pStyle w:val="3"/>
        <w:jc w:val="both"/>
      </w:pPr>
      <w:r>
        <w:rPr>
          <w:sz w:val="14"/>
        </w:rPr>
        <w:t xml:space="preserve">│  │(&gt; 50)        │           │        │            │              │             │             │recovered     │</w:t>
      </w:r>
    </w:p>
    <w:p>
      <w:pPr>
        <w:pStyle w:val="3"/>
        <w:jc w:val="both"/>
      </w:pPr>
      <w:r>
        <w:rPr>
          <w:sz w:val="14"/>
        </w:rPr>
        <w:t xml:space="preserve">│  │              │           │        │            │              │             │             │solvent, the  │</w:t>
      </w:r>
    </w:p>
    <w:p>
      <w:pPr>
        <w:pStyle w:val="3"/>
        <w:jc w:val="both"/>
      </w:pPr>
      <w:r>
        <w:rPr>
          <w:sz w:val="14"/>
        </w:rPr>
        <w:t xml:space="preserve">│  │              │           │        │            │              │             │             │emission limit│</w:t>
      </w:r>
    </w:p>
    <w:p>
      <w:pPr>
        <w:pStyle w:val="3"/>
        <w:jc w:val="both"/>
      </w:pPr>
      <w:r>
        <w:rPr>
          <w:sz w:val="14"/>
        </w:rPr>
        <w:t xml:space="preserve">│  │              │           │        │            │              │             │             │value in waste│</w:t>
      </w:r>
    </w:p>
    <w:p>
      <w:pPr>
        <w:pStyle w:val="3"/>
        <w:jc w:val="both"/>
      </w:pPr>
      <w:r>
        <w:rPr>
          <w:sz w:val="14"/>
        </w:rPr>
        <w:t xml:space="preserve">│  │              │           │        │            │              │             │             │gases shall be│</w:t>
      </w:r>
    </w:p>
    <w:p>
      <w:pPr>
        <w:pStyle w:val="3"/>
        <w:jc w:val="both"/>
      </w:pPr>
      <w:r>
        <w:rPr>
          <w:sz w:val="14"/>
        </w:rPr>
        <w:t xml:space="preserve">│  │              │           │        │            │              │             │             │150.          │</w:t>
      </w:r>
    </w:p>
    <w:p>
      <w:pPr>
        <w:pStyle w:val="3"/>
        <w:jc w:val="both"/>
      </w:pPr>
      <w:r>
        <w:rPr>
          <w:sz w:val="14"/>
        </w:rPr>
        <w:t xml:space="preserve">│  │              │           │        │            │              │             │             │&lt;2&gt; The       │</w:t>
      </w:r>
    </w:p>
    <w:p>
      <w:pPr>
        <w:pStyle w:val="3"/>
        <w:jc w:val="both"/>
      </w:pPr>
      <w:r>
        <w:rPr>
          <w:sz w:val="14"/>
        </w:rPr>
        <w:t xml:space="preserve">│  │              │           │        │            │              │             │             │fugitive      │</w:t>
      </w:r>
    </w:p>
    <w:p>
      <w:pPr>
        <w:pStyle w:val="3"/>
        <w:jc w:val="both"/>
      </w:pPr>
      <w:r>
        <w:rPr>
          <w:sz w:val="14"/>
        </w:rPr>
        <w:t xml:space="preserve">│  │              │           │        │            │              │             │             │emission limit│</w:t>
      </w:r>
    </w:p>
    <w:p>
      <w:pPr>
        <w:pStyle w:val="3"/>
        <w:jc w:val="both"/>
      </w:pPr>
      <w:r>
        <w:rPr>
          <w:sz w:val="14"/>
        </w:rPr>
        <w:t xml:space="preserve">│  │              │           │        │            │              │             │             │value does not│</w:t>
      </w:r>
    </w:p>
    <w:p>
      <w:pPr>
        <w:pStyle w:val="3"/>
        <w:jc w:val="both"/>
      </w:pPr>
      <w:r>
        <w:rPr>
          <w:sz w:val="14"/>
        </w:rPr>
        <w:t xml:space="preserve">│  │              │           │        │            │              │             │             │include       │</w:t>
      </w:r>
    </w:p>
    <w:p>
      <w:pPr>
        <w:pStyle w:val="3"/>
        <w:jc w:val="both"/>
      </w:pPr>
      <w:r>
        <w:rPr>
          <w:sz w:val="14"/>
        </w:rPr>
        <w:t xml:space="preserve">│  │              │           │        │            │              │             │             │solvent sold  │</w:t>
      </w:r>
    </w:p>
    <w:p>
      <w:pPr>
        <w:pStyle w:val="3"/>
        <w:jc w:val="both"/>
      </w:pPr>
      <w:r>
        <w:rPr>
          <w:sz w:val="14"/>
        </w:rPr>
        <w:t xml:space="preserve">│  │              │           │        │            │              │             │             │as part of    │</w:t>
      </w:r>
    </w:p>
    <w:p>
      <w:pPr>
        <w:pStyle w:val="3"/>
        <w:jc w:val="both"/>
      </w:pPr>
      <w:r>
        <w:rPr>
          <w:sz w:val="14"/>
        </w:rPr>
        <w:t xml:space="preserve">│  │              │           │        │            │              │             │             │products or   │</w:t>
      </w:r>
    </w:p>
    <w:p>
      <w:pPr>
        <w:pStyle w:val="3"/>
        <w:jc w:val="both"/>
      </w:pPr>
      <w:r>
        <w:rPr>
          <w:sz w:val="14"/>
        </w:rPr>
        <w:t xml:space="preserve">│  │              │           │        │            │              │             │             │mixtures in a │</w:t>
      </w:r>
    </w:p>
    <w:p>
      <w:pPr>
        <w:pStyle w:val="3"/>
        <w:jc w:val="both"/>
      </w:pPr>
      <w:r>
        <w:rPr>
          <w:sz w:val="14"/>
        </w:rPr>
        <w:t xml:space="preserve">│  │              │           │        │            │              │             │             │sealed        │</w:t>
      </w:r>
    </w:p>
    <w:p>
      <w:pPr>
        <w:pStyle w:val="3"/>
        <w:jc w:val="both"/>
      </w:pPr>
      <w:r>
        <w:rPr>
          <w:sz w:val="14"/>
        </w:rPr>
        <w:t xml:space="preserve">│  │              │           │        │            │              │             │             │container.    │</w:t>
      </w:r>
    </w:p>
    <w:p>
      <w:pPr>
        <w:pStyle w:val="3"/>
        <w:jc w:val="both"/>
      </w:pPr>
      <w:r>
        <w:rPr>
          <w:sz w:val="14"/>
        </w:rPr>
        <w:t xml:space="preserve">└──┴──────────────┴───────────┴────────┴────────────┴──────────────┴─────────────┴─────────────┴──────────────┘</w:t>
      </w:r>
    </w:p>
    <w:p>
      <w:pPr>
        <w:pStyle w:val="0"/>
        <w:jc w:val="center"/>
      </w:pPr>
      <w:r>
        <w:rPr>
          <w:sz w:val="20"/>
        </w:rPr>
      </w:r>
    </w:p>
    <w:p>
      <w:pPr>
        <w:pStyle w:val="0"/>
        <w:outlineLvl w:val="1"/>
        <w:jc w:val="center"/>
      </w:pPr>
      <w:r>
        <w:rPr>
          <w:sz w:val="20"/>
        </w:rPr>
        <w:t xml:space="preserve">Part 3</w:t>
      </w:r>
    </w:p>
    <w:p>
      <w:pPr>
        <w:pStyle w:val="0"/>
        <w:jc w:val="center"/>
      </w:pPr>
      <w:r>
        <w:rPr>
          <w:sz w:val="20"/>
        </w:rPr>
      </w:r>
    </w:p>
    <w:p>
      <w:pPr>
        <w:pStyle w:val="0"/>
        <w:jc w:val="center"/>
      </w:pPr>
      <w:r>
        <w:rPr>
          <w:sz w:val="20"/>
        </w:rPr>
        <w:t xml:space="preserve">Emission limit values for installations</w:t>
      </w:r>
    </w:p>
    <w:p>
      <w:pPr>
        <w:pStyle w:val="0"/>
        <w:jc w:val="center"/>
      </w:pPr>
      <w:r>
        <w:rPr>
          <w:sz w:val="20"/>
        </w:rPr>
        <w:t xml:space="preserve">of the vehicle coating industry</w:t>
      </w:r>
    </w:p>
    <w:p>
      <w:pPr>
        <w:pStyle w:val="0"/>
        <w:jc w:val="center"/>
      </w:pPr>
      <w:r>
        <w:rPr>
          <w:sz w:val="20"/>
        </w:rPr>
      </w:r>
    </w:p>
    <w:p>
      <w:pPr>
        <w:pStyle w:val="0"/>
        <w:ind w:firstLine="540"/>
        <w:jc w:val="both"/>
      </w:pPr>
      <w:r>
        <w:rPr>
          <w:sz w:val="20"/>
        </w:rPr>
        <w:t xml:space="preserve">1. The total emission limit values are expressed in terms of grams of organic solvent emitted in relation to the surface area of product in square metres and in kilograms of organic solvent emitted in relation to the car body.</w:t>
      </w:r>
    </w:p>
    <w:p>
      <w:pPr>
        <w:pStyle w:val="0"/>
        <w:spacing w:before="200" w:line-rule="auto"/>
        <w:ind w:firstLine="540"/>
        <w:jc w:val="both"/>
      </w:pPr>
      <w:r>
        <w:rPr>
          <w:sz w:val="20"/>
        </w:rPr>
        <w:t xml:space="preserve">2. The surface area of any product dealt with in the table under point 3 is defined as the surface area calculated from the total electrophoretic coating area, and the surface area of any parts that might be added in successive phases of the coating process which are coated with the same coatings as those used for the product in question, or the total surface area of the product coated in the installation.</w:t>
      </w:r>
    </w:p>
    <w:p>
      <w:pPr>
        <w:pStyle w:val="0"/>
        <w:spacing w:before="200" w:line-rule="auto"/>
        <w:ind w:firstLine="540"/>
        <w:jc w:val="both"/>
      </w:pPr>
      <w:r>
        <w:rPr>
          <w:sz w:val="20"/>
        </w:rPr>
        <w:t xml:space="preserve">The surface of the electrophoretic coating area is calculated using the following formula:</w:t>
      </w:r>
    </w:p>
    <w:p>
      <w:pPr>
        <w:pStyle w:val="0"/>
        <w:ind w:firstLine="540"/>
        <w:jc w:val="both"/>
      </w:pPr>
      <w:r>
        <w:rPr>
          <w:sz w:val="20"/>
        </w:rPr>
      </w:r>
    </w:p>
    <w:p>
      <w:pPr>
        <w:pStyle w:val="1"/>
        <w:jc w:val="both"/>
      </w:pPr>
      <w:r>
        <w:rPr>
          <w:sz w:val="20"/>
        </w:rPr>
        <w:t xml:space="preserve">             2 x total weight of product shell</w:t>
      </w:r>
    </w:p>
    <w:p>
      <w:pPr>
        <w:pStyle w:val="1"/>
        <w:jc w:val="both"/>
      </w:pPr>
      <w:r>
        <w:rPr>
          <w:sz w:val="20"/>
        </w:rPr>
        <w:t xml:space="preserve">    ---------------------------------------------------------</w:t>
      </w:r>
    </w:p>
    <w:p>
      <w:pPr>
        <w:pStyle w:val="1"/>
        <w:jc w:val="both"/>
      </w:pPr>
      <w:r>
        <w:rPr>
          <w:sz w:val="20"/>
        </w:rPr>
        <w:t xml:space="preserve">    average thickness of metal sheet x density of metal sheet</w:t>
      </w:r>
    </w:p>
    <w:p>
      <w:pPr>
        <w:pStyle w:val="0"/>
        <w:jc w:val="center"/>
      </w:pPr>
      <w:r>
        <w:rPr>
          <w:sz w:val="20"/>
        </w:rPr>
      </w:r>
    </w:p>
    <w:p>
      <w:pPr>
        <w:pStyle w:val="0"/>
        <w:ind w:firstLine="540"/>
        <w:jc w:val="both"/>
      </w:pPr>
      <w:r>
        <w:rPr>
          <w:sz w:val="20"/>
        </w:rPr>
        <w:t xml:space="preserve">This method shall also be applied for other coated parts made out of sheets.</w:t>
      </w:r>
    </w:p>
    <w:p>
      <w:pPr>
        <w:pStyle w:val="0"/>
        <w:spacing w:before="200" w:line-rule="auto"/>
        <w:ind w:firstLine="540"/>
        <w:jc w:val="both"/>
      </w:pPr>
      <w:r>
        <w:rPr>
          <w:sz w:val="20"/>
        </w:rPr>
        <w:t xml:space="preserve">Computer aided design or other equivalent methods shall be used to calculate the surface area of the other parts added, or the total surface area coated in the installation.</w:t>
      </w:r>
    </w:p>
    <w:p>
      <w:pPr>
        <w:pStyle w:val="0"/>
        <w:spacing w:before="200" w:line-rule="auto"/>
        <w:ind w:firstLine="540"/>
        <w:jc w:val="both"/>
      </w:pPr>
      <w:r>
        <w:rPr>
          <w:sz w:val="20"/>
        </w:rPr>
        <w:t xml:space="preserve">3. The total emission limit values in the table below refer to all process stages carried out at the same installation from electrophoretic coating, or any other kind of coating process, through to the final wax and polish of topcoating inclusive, as well as solvent used in cleaning of process equipment, including spray booths and other fixed equipment, both during and outside of production time.</w:t>
      </w:r>
    </w:p>
    <w:p>
      <w:pPr>
        <w:pStyle w:val="0"/>
        <w:ind w:firstLine="540"/>
        <w:jc w:val="both"/>
      </w:pPr>
      <w:r>
        <w:rPr>
          <w:sz w:val="20"/>
        </w:rPr>
      </w:r>
    </w:p>
    <w:p>
      <w:pPr>
        <w:pStyle w:val="3"/>
        <w:jc w:val="both"/>
      </w:pPr>
      <w:r>
        <w:rPr>
          <w:sz w:val="20"/>
        </w:rPr>
        <w:t xml:space="preserve">┌───────────────────────┬───────────────┬─────────────────────────────────┐</w:t>
      </w:r>
    </w:p>
    <w:p>
      <w:pPr>
        <w:pStyle w:val="3"/>
        <w:jc w:val="both"/>
      </w:pPr>
      <w:r>
        <w:rPr>
          <w:sz w:val="20"/>
        </w:rPr>
        <w:t xml:space="preserve">│   Activity (solvent   │  Production   │   Total emission limit value    │</w:t>
      </w:r>
    </w:p>
    <w:p>
      <w:pPr>
        <w:pStyle w:val="3"/>
        <w:jc w:val="both"/>
      </w:pPr>
      <w:r>
        <w:rPr>
          <w:sz w:val="20"/>
        </w:rPr>
        <w:t xml:space="preserve">│ consumption threshold │   threshold   ├────────────────┬────────────────┤</w:t>
      </w:r>
    </w:p>
    <w:p>
      <w:pPr>
        <w:pStyle w:val="3"/>
        <w:jc w:val="both"/>
      </w:pPr>
      <w:r>
        <w:rPr>
          <w:sz w:val="20"/>
        </w:rPr>
        <w:t xml:space="preserve">│    in tonnes/year)    │  (refers to   │      New       │    Existing    │</w:t>
      </w:r>
    </w:p>
    <w:p>
      <w:pPr>
        <w:pStyle w:val="3"/>
        <w:jc w:val="both"/>
      </w:pPr>
      <w:r>
        <w:rPr>
          <w:sz w:val="20"/>
        </w:rPr>
        <w:t xml:space="preserve">│                       │    annual     │ installations  │ installations  │</w:t>
      </w:r>
    </w:p>
    <w:p>
      <w:pPr>
        <w:pStyle w:val="3"/>
        <w:jc w:val="both"/>
      </w:pPr>
      <w:r>
        <w:rPr>
          <w:sz w:val="20"/>
        </w:rPr>
        <w:t xml:space="preserve">│                       │ production of │                │                │</w:t>
      </w:r>
    </w:p>
    <w:p>
      <w:pPr>
        <w:pStyle w:val="3"/>
        <w:jc w:val="both"/>
      </w:pPr>
      <w:r>
        <w:rPr>
          <w:sz w:val="20"/>
        </w:rPr>
        <w:t xml:space="preserve">│                       │ coated item)  │                │                │</w:t>
      </w:r>
    </w:p>
    <w:p>
      <w:pPr>
        <w:pStyle w:val="3"/>
        <w:jc w:val="both"/>
      </w:pPr>
      <w:r>
        <w:rPr>
          <w:sz w:val="20"/>
        </w:rPr>
        <w:t xml:space="preserve">├───────────────────────┼───────────────┼────────────────┼────────────────┤</w:t>
      </w:r>
    </w:p>
    <w:p>
      <w:pPr>
        <w:pStyle w:val="3"/>
        <w:jc w:val="both"/>
      </w:pPr>
      <w:r>
        <w:rPr>
          <w:sz w:val="20"/>
        </w:rPr>
        <w:t xml:space="preserve">│Coating of new cars    │ &gt; 5000        │      2         │      2         │</w:t>
      </w:r>
    </w:p>
    <w:p>
      <w:pPr>
        <w:pStyle w:val="3"/>
        <w:jc w:val="both"/>
      </w:pPr>
      <w:r>
        <w:rPr>
          <w:sz w:val="20"/>
        </w:rPr>
        <w:t xml:space="preserve">│(&gt; 15)                 │               │45 g/m          │60 g/m          │</w:t>
      </w:r>
    </w:p>
    <w:p>
      <w:pPr>
        <w:pStyle w:val="3"/>
        <w:jc w:val="both"/>
      </w:pPr>
      <w:r>
        <w:rPr>
          <w:sz w:val="20"/>
        </w:rPr>
        <w:t xml:space="preserve">│                       │               │or 1,3 kg/body +│or 1,9 kg/body +│</w:t>
      </w:r>
    </w:p>
    <w:p>
      <w:pPr>
        <w:pStyle w:val="3"/>
        <w:jc w:val="both"/>
      </w:pPr>
      <w:r>
        <w:rPr>
          <w:sz w:val="20"/>
        </w:rPr>
        <w:t xml:space="preserve">│                       │               │        2       │        2       │</w:t>
      </w:r>
    </w:p>
    <w:p>
      <w:pPr>
        <w:pStyle w:val="3"/>
        <w:jc w:val="both"/>
      </w:pPr>
      <w:r>
        <w:rPr>
          <w:sz w:val="20"/>
        </w:rPr>
        <w:t xml:space="preserve">│                       │               │+ 33 g/m        │+ 41 g/m        │</w:t>
      </w:r>
    </w:p>
    <w:p>
      <w:pPr>
        <w:pStyle w:val="3"/>
        <w:jc w:val="both"/>
      </w:pPr>
      <w:r>
        <w:rPr>
          <w:sz w:val="20"/>
        </w:rPr>
        <w:t xml:space="preserve">│                       ├───────────────┼────────────────┼────────────────┤</w:t>
      </w:r>
    </w:p>
    <w:p>
      <w:pPr>
        <w:pStyle w:val="3"/>
        <w:jc w:val="both"/>
      </w:pPr>
      <w:r>
        <w:rPr>
          <w:sz w:val="20"/>
        </w:rPr>
        <w:t xml:space="preserve">│                       │&lt;= 5000        │      2         │      2         │</w:t>
      </w:r>
    </w:p>
    <w:p>
      <w:pPr>
        <w:pStyle w:val="3"/>
        <w:jc w:val="both"/>
      </w:pPr>
      <w:r>
        <w:rPr>
          <w:sz w:val="20"/>
        </w:rPr>
        <w:t xml:space="preserve">│                       │monocoque or   │90 g/m          │90 g/m          │</w:t>
      </w:r>
    </w:p>
    <w:p>
      <w:pPr>
        <w:pStyle w:val="3"/>
        <w:jc w:val="both"/>
      </w:pPr>
      <w:r>
        <w:rPr>
          <w:sz w:val="20"/>
        </w:rPr>
        <w:t xml:space="preserve">│                       │ &gt; 3500        │or 1,5 kg/body +│or 1,5 kg/body +│</w:t>
      </w:r>
    </w:p>
    <w:p>
      <w:pPr>
        <w:pStyle w:val="3"/>
        <w:jc w:val="both"/>
      </w:pPr>
      <w:r>
        <w:rPr>
          <w:sz w:val="20"/>
        </w:rPr>
        <w:t xml:space="preserve">│                       │chassis-built  │        2       │        2       │</w:t>
      </w:r>
    </w:p>
    <w:p>
      <w:pPr>
        <w:pStyle w:val="3"/>
        <w:jc w:val="both"/>
      </w:pPr>
      <w:r>
        <w:rPr>
          <w:sz w:val="20"/>
        </w:rPr>
        <w:t xml:space="preserve">│                       │               │+ 70 g/m        │+ 70 g/m        │</w:t>
      </w:r>
    </w:p>
    <w:p>
      <w:pPr>
        <w:pStyle w:val="3"/>
        <w:jc w:val="both"/>
      </w:pPr>
      <w:r>
        <w:rPr>
          <w:sz w:val="20"/>
        </w:rPr>
        <w:t xml:space="preserve">├───────────────────────┼───────────────┼────────────────┴────────────────┤</w:t>
      </w:r>
    </w:p>
    <w:p>
      <w:pPr>
        <w:pStyle w:val="3"/>
        <w:jc w:val="both"/>
      </w:pPr>
      <w:r>
        <w:rPr>
          <w:sz w:val="20"/>
        </w:rPr>
        <w:t xml:space="preserve">│                       │               │   Total emission limit value    │</w:t>
      </w:r>
    </w:p>
    <w:p>
      <w:pPr>
        <w:pStyle w:val="3"/>
        <w:jc w:val="both"/>
      </w:pPr>
      <w:r>
        <w:rPr>
          <w:sz w:val="20"/>
        </w:rPr>
        <w:t xml:space="preserve">│                       │               │                 2               │</w:t>
      </w:r>
    </w:p>
    <w:p>
      <w:pPr>
        <w:pStyle w:val="3"/>
        <w:jc w:val="both"/>
      </w:pPr>
      <w:r>
        <w:rPr>
          <w:sz w:val="20"/>
        </w:rPr>
        <w:t xml:space="preserve">│                       │               │             (g/m )              │</w:t>
      </w:r>
    </w:p>
    <w:p>
      <w:pPr>
        <w:pStyle w:val="3"/>
        <w:jc w:val="both"/>
      </w:pPr>
      <w:r>
        <w:rPr>
          <w:sz w:val="20"/>
        </w:rPr>
        <w:t xml:space="preserve">├───────────────────────┼───────────────┼────────────────┬────────────────┤</w:t>
      </w:r>
    </w:p>
    <w:p>
      <w:pPr>
        <w:pStyle w:val="3"/>
        <w:jc w:val="both"/>
      </w:pPr>
      <w:r>
        <w:rPr>
          <w:sz w:val="20"/>
        </w:rPr>
        <w:t xml:space="preserve">│Coating of new truck   │&lt;= 5000        │             65 │              85│</w:t>
      </w:r>
    </w:p>
    <w:p>
      <w:pPr>
        <w:pStyle w:val="3"/>
        <w:jc w:val="both"/>
      </w:pPr>
      <w:r>
        <w:rPr>
          <w:sz w:val="20"/>
        </w:rPr>
        <w:t xml:space="preserve">│cabins (&gt; 15)          ├───────────────┼────────────────┼────────────────┤</w:t>
      </w:r>
    </w:p>
    <w:p>
      <w:pPr>
        <w:pStyle w:val="3"/>
        <w:jc w:val="both"/>
      </w:pPr>
      <w:r>
        <w:rPr>
          <w:sz w:val="20"/>
        </w:rPr>
        <w:t xml:space="preserve">│                       │ &gt; 5000        │             55 │              75│</w:t>
      </w:r>
    </w:p>
    <w:p>
      <w:pPr>
        <w:pStyle w:val="3"/>
        <w:jc w:val="both"/>
      </w:pPr>
      <w:r>
        <w:rPr>
          <w:sz w:val="20"/>
        </w:rPr>
        <w:t xml:space="preserve">├───────────────────────┼───────────────┼────────────────┼────────────────┤</w:t>
      </w:r>
    </w:p>
    <w:p>
      <w:pPr>
        <w:pStyle w:val="3"/>
        <w:jc w:val="both"/>
      </w:pPr>
      <w:r>
        <w:rPr>
          <w:sz w:val="20"/>
        </w:rPr>
        <w:t xml:space="preserve">│Coating of new vans and│&lt;= 2500        │             90 │             120│</w:t>
      </w:r>
    </w:p>
    <w:p>
      <w:pPr>
        <w:pStyle w:val="3"/>
        <w:jc w:val="both"/>
      </w:pPr>
      <w:r>
        <w:rPr>
          <w:sz w:val="20"/>
        </w:rPr>
        <w:t xml:space="preserve">│trucks (&gt; 15)          ├───────────────┼────────────────┼────────────────┤</w:t>
      </w:r>
    </w:p>
    <w:p>
      <w:pPr>
        <w:pStyle w:val="3"/>
        <w:jc w:val="both"/>
      </w:pPr>
      <w:r>
        <w:rPr>
          <w:sz w:val="20"/>
        </w:rPr>
        <w:t xml:space="preserve">│                       │ &gt; 2500        │             70 │              90│</w:t>
      </w:r>
    </w:p>
    <w:p>
      <w:pPr>
        <w:pStyle w:val="3"/>
        <w:jc w:val="both"/>
      </w:pPr>
      <w:r>
        <w:rPr>
          <w:sz w:val="20"/>
        </w:rPr>
        <w:t xml:space="preserve">├───────────────────────┼───────────────┼────────────────┼────────────────┤</w:t>
      </w:r>
    </w:p>
    <w:p>
      <w:pPr>
        <w:pStyle w:val="3"/>
        <w:jc w:val="both"/>
      </w:pPr>
      <w:r>
        <w:rPr>
          <w:sz w:val="20"/>
        </w:rPr>
        <w:t xml:space="preserve">│Coating of new buses   │&lt;= 2000        │             210│             290│</w:t>
      </w:r>
    </w:p>
    <w:p>
      <w:pPr>
        <w:pStyle w:val="3"/>
        <w:jc w:val="both"/>
      </w:pPr>
      <w:r>
        <w:rPr>
          <w:sz w:val="20"/>
        </w:rPr>
        <w:t xml:space="preserve">│(&gt; 15)                 ├───────────────┼────────────────┼────────────────┤</w:t>
      </w:r>
    </w:p>
    <w:p>
      <w:pPr>
        <w:pStyle w:val="3"/>
        <w:jc w:val="both"/>
      </w:pPr>
      <w:r>
        <w:rPr>
          <w:sz w:val="20"/>
        </w:rPr>
        <w:t xml:space="preserve">│                       │ &gt; 2000        │             150│             225│</w:t>
      </w:r>
    </w:p>
    <w:p>
      <w:pPr>
        <w:pStyle w:val="3"/>
        <w:jc w:val="both"/>
      </w:pPr>
      <w:r>
        <w:rPr>
          <w:sz w:val="20"/>
        </w:rPr>
        <w:t xml:space="preserve">└───────────────────────┴───────────────┴────────────────┴────────────────┘</w:t>
      </w:r>
    </w:p>
    <w:p>
      <w:pPr>
        <w:pStyle w:val="0"/>
        <w:ind w:firstLine="540"/>
        <w:jc w:val="both"/>
      </w:pPr>
      <w:r>
        <w:rPr>
          <w:sz w:val="20"/>
        </w:rPr>
      </w:r>
    </w:p>
    <w:p>
      <w:pPr>
        <w:pStyle w:val="0"/>
        <w:ind w:firstLine="540"/>
        <w:jc w:val="both"/>
      </w:pPr>
      <w:r>
        <w:rPr>
          <w:sz w:val="20"/>
        </w:rPr>
        <w:t xml:space="preserve">4. Vehicle coating installations below the solvent consumption thresholds mentioned in the table under point 3 shall meet the requirements for the vehicle refinishing sector set out in Part 2.</w:t>
      </w:r>
    </w:p>
    <w:p>
      <w:pPr>
        <w:pStyle w:val="0"/>
        <w:ind w:firstLine="540"/>
        <w:jc w:val="both"/>
      </w:pPr>
      <w:r>
        <w:rPr>
          <w:sz w:val="20"/>
        </w:rPr>
      </w:r>
    </w:p>
    <w:p>
      <w:pPr>
        <w:pStyle w:val="0"/>
        <w:outlineLvl w:val="1"/>
        <w:jc w:val="center"/>
      </w:pPr>
      <w:r>
        <w:rPr>
          <w:sz w:val="20"/>
        </w:rPr>
        <w:t xml:space="preserve">Part 4</w:t>
      </w:r>
    </w:p>
    <w:p>
      <w:pPr>
        <w:pStyle w:val="0"/>
        <w:jc w:val="center"/>
      </w:pPr>
      <w:r>
        <w:rPr>
          <w:sz w:val="20"/>
        </w:rPr>
      </w:r>
    </w:p>
    <w:p>
      <w:pPr>
        <w:pStyle w:val="0"/>
        <w:jc w:val="center"/>
      </w:pPr>
      <w:r>
        <w:rPr>
          <w:sz w:val="20"/>
        </w:rPr>
        <w:t xml:space="preserve">Emission limit values relating to volatile organic</w:t>
      </w:r>
    </w:p>
    <w:p>
      <w:pPr>
        <w:pStyle w:val="0"/>
        <w:jc w:val="center"/>
      </w:pPr>
      <w:r>
        <w:rPr>
          <w:sz w:val="20"/>
        </w:rPr>
        <w:t xml:space="preserve">compounds with specific risk phrases</w:t>
      </w:r>
    </w:p>
    <w:p>
      <w:pPr>
        <w:pStyle w:val="0"/>
        <w:jc w:val="center"/>
      </w:pPr>
      <w:r>
        <w:rPr>
          <w:sz w:val="20"/>
        </w:rPr>
      </w:r>
    </w:p>
    <w:p>
      <w:pPr>
        <w:pStyle w:val="1"/>
        <w:jc w:val="both"/>
      </w:pPr>
      <w:r>
        <w:rPr>
          <w:sz w:val="20"/>
        </w:rPr>
        <w:t xml:space="preserve">    1.  For  emissions  of  the  volatile  organic compounds referred to in</w:t>
      </w:r>
    </w:p>
    <w:p>
      <w:pPr>
        <w:pStyle w:val="1"/>
        <w:jc w:val="both"/>
      </w:pPr>
      <w:r>
        <w:rPr>
          <w:sz w:val="20"/>
        </w:rPr>
        <w:t xml:space="preserve">Article  58  where  the  mass  flow of the sum of the compounds causing the</w:t>
      </w:r>
    </w:p>
    <w:p>
      <w:pPr>
        <w:pStyle w:val="1"/>
        <w:jc w:val="both"/>
      </w:pPr>
      <w:r>
        <w:rPr>
          <w:sz w:val="20"/>
        </w:rPr>
        <w:t xml:space="preserve">labelling referred to in that Article is greater than, or equal to, 10 g/h,</w:t>
      </w:r>
    </w:p>
    <w:p>
      <w:pPr>
        <w:pStyle w:val="1"/>
        <w:jc w:val="both"/>
      </w:pPr>
      <w:r>
        <w:rPr>
          <w:sz w:val="20"/>
        </w:rPr>
        <w:t xml:space="preserve">                                     3</w:t>
      </w:r>
    </w:p>
    <w:p>
      <w:pPr>
        <w:pStyle w:val="1"/>
        <w:jc w:val="both"/>
      </w:pPr>
      <w:r>
        <w:rPr>
          <w:sz w:val="20"/>
        </w:rPr>
        <w:t xml:space="preserve">an  emission  limit  value of 2 mg/Nm  shall be complied with. The emission</w:t>
      </w:r>
    </w:p>
    <w:p>
      <w:pPr>
        <w:pStyle w:val="1"/>
        <w:jc w:val="both"/>
      </w:pPr>
      <w:r>
        <w:rPr>
          <w:sz w:val="20"/>
        </w:rPr>
        <w:t xml:space="preserve">limit value refers to the mass sum of the individual compounds.</w:t>
      </w:r>
    </w:p>
    <w:p>
      <w:pPr>
        <w:pStyle w:val="1"/>
        <w:jc w:val="both"/>
      </w:pPr>
      <w:r>
        <w:rPr>
          <w:sz w:val="20"/>
        </w:rPr>
        <w:t xml:space="preserve">    2.  For  emissions  of halogenated volatile organic compounds which are</w:t>
      </w:r>
    </w:p>
    <w:p>
      <w:pPr>
        <w:pStyle w:val="1"/>
        <w:jc w:val="both"/>
      </w:pPr>
      <w:r>
        <w:rPr>
          <w:sz w:val="20"/>
        </w:rPr>
        <w:t xml:space="preserve">assigned  or  need  to  carry the hazard statements H341 or H351, where the</w:t>
      </w:r>
    </w:p>
    <w:p>
      <w:pPr>
        <w:pStyle w:val="1"/>
        <w:jc w:val="both"/>
      </w:pPr>
      <w:r>
        <w:rPr>
          <w:sz w:val="20"/>
        </w:rPr>
        <w:t xml:space="preserve">mass flow of the sum of the compounds causing the hazard statements H341 or</w:t>
      </w:r>
    </w:p>
    <w:p>
      <w:pPr>
        <w:pStyle w:val="1"/>
        <w:jc w:val="both"/>
      </w:pPr>
      <w:r>
        <w:rPr>
          <w:sz w:val="20"/>
        </w:rPr>
        <w:t xml:space="preserve">H351  is  greater than, or equal to, 100 g/h, an emission limit value of 20</w:t>
      </w:r>
    </w:p>
    <w:p>
      <w:pPr>
        <w:pStyle w:val="1"/>
        <w:jc w:val="both"/>
      </w:pPr>
      <w:r>
        <w:rPr>
          <w:sz w:val="20"/>
        </w:rPr>
        <w:t xml:space="preserve">     3</w:t>
      </w:r>
    </w:p>
    <w:p>
      <w:pPr>
        <w:pStyle w:val="1"/>
        <w:jc w:val="both"/>
      </w:pPr>
      <w:r>
        <w:rPr>
          <w:sz w:val="20"/>
        </w:rPr>
        <w:t xml:space="preserve">mg/Nm   shall be complied with. The emission limit value refers to the mass</w:t>
      </w:r>
    </w:p>
    <w:p>
      <w:pPr>
        <w:pStyle w:val="1"/>
        <w:jc w:val="both"/>
      </w:pPr>
      <w:r>
        <w:rPr>
          <w:sz w:val="20"/>
        </w:rPr>
        <w:t xml:space="preserve">sum of the individual compounds.</w:t>
      </w:r>
    </w:p>
    <w:p>
      <w:pPr>
        <w:pStyle w:val="0"/>
        <w:jc w:val="center"/>
      </w:pPr>
      <w:r>
        <w:rPr>
          <w:sz w:val="20"/>
        </w:rPr>
      </w:r>
    </w:p>
    <w:p>
      <w:pPr>
        <w:pStyle w:val="0"/>
        <w:outlineLvl w:val="1"/>
        <w:jc w:val="center"/>
      </w:pPr>
      <w:r>
        <w:rPr>
          <w:sz w:val="20"/>
        </w:rPr>
        <w:t xml:space="preserve">Part 5</w:t>
      </w:r>
    </w:p>
    <w:p>
      <w:pPr>
        <w:pStyle w:val="0"/>
        <w:jc w:val="center"/>
      </w:pPr>
      <w:r>
        <w:rPr>
          <w:sz w:val="20"/>
        </w:rPr>
      </w:r>
    </w:p>
    <w:p>
      <w:pPr>
        <w:pStyle w:val="0"/>
        <w:jc w:val="center"/>
      </w:pPr>
      <w:r>
        <w:rPr>
          <w:sz w:val="20"/>
        </w:rPr>
        <w:t xml:space="preserve">Reduction scheme</w:t>
      </w:r>
    </w:p>
    <w:p>
      <w:pPr>
        <w:pStyle w:val="0"/>
        <w:jc w:val="center"/>
      </w:pPr>
      <w:r>
        <w:rPr>
          <w:sz w:val="20"/>
        </w:rPr>
      </w:r>
    </w:p>
    <w:p>
      <w:pPr>
        <w:pStyle w:val="0"/>
        <w:ind w:firstLine="540"/>
        <w:jc w:val="both"/>
      </w:pPr>
      <w:r>
        <w:rPr>
          <w:sz w:val="20"/>
        </w:rPr>
        <w:t xml:space="preserve">1. The operator may use any reduction scheme, specially designed for his installation.</w:t>
      </w:r>
    </w:p>
    <w:p>
      <w:pPr>
        <w:pStyle w:val="0"/>
        <w:spacing w:before="200" w:line-rule="auto"/>
        <w:ind w:firstLine="540"/>
        <w:jc w:val="both"/>
      </w:pPr>
      <w:r>
        <w:rPr>
          <w:sz w:val="20"/>
        </w:rPr>
        <w:t xml:space="preserve">2. In the case of applying coatings, varnishes, adhesives or inks, the following scheme can be used. Where the following method is inappropriate, the competent authority may allow an operator to apply any alternative scheme achieving equivalent emission reductions to those achieved if the emission limit values of Parts 2 and 3 were to be applied. The design of the scheme shall take into account the following facts:</w:t>
      </w:r>
    </w:p>
    <w:p>
      <w:pPr>
        <w:pStyle w:val="0"/>
        <w:spacing w:before="200" w:line-rule="auto"/>
        <w:ind w:firstLine="540"/>
        <w:jc w:val="both"/>
      </w:pPr>
      <w:r>
        <w:rPr>
          <w:sz w:val="20"/>
        </w:rPr>
        <w:t xml:space="preserve">(a) where substitutes containing little or no solvent are still under development, a time extension shall be given to the operator to implement his emission reduction plans;</w:t>
      </w:r>
    </w:p>
    <w:p>
      <w:pPr>
        <w:pStyle w:val="0"/>
        <w:spacing w:before="200" w:line-rule="auto"/>
        <w:ind w:firstLine="540"/>
        <w:jc w:val="both"/>
      </w:pPr>
      <w:r>
        <w:rPr>
          <w:sz w:val="20"/>
        </w:rPr>
        <w:t xml:space="preserve">(b) the reference point for emission reductions should correspond as closely as possible to the emissions which would have resulted had no reduction action been taken.</w:t>
      </w:r>
    </w:p>
    <w:p>
      <w:pPr>
        <w:pStyle w:val="0"/>
        <w:spacing w:before="200" w:line-rule="auto"/>
        <w:ind w:firstLine="540"/>
        <w:jc w:val="both"/>
      </w:pPr>
      <w:r>
        <w:rPr>
          <w:sz w:val="20"/>
        </w:rPr>
        <w:t xml:space="preserve">3. The following scheme shall operate for installations for which a constant solid content of product can be assumed:</w:t>
      </w:r>
    </w:p>
    <w:p>
      <w:pPr>
        <w:pStyle w:val="0"/>
        <w:spacing w:before="200" w:line-rule="auto"/>
        <w:ind w:firstLine="540"/>
        <w:jc w:val="both"/>
      </w:pPr>
      <w:r>
        <w:rPr>
          <w:sz w:val="20"/>
        </w:rPr>
        <w:t xml:space="preserve">(a) The annual reference emission is calculated as follows:</w:t>
      </w:r>
    </w:p>
    <w:p>
      <w:pPr>
        <w:pStyle w:val="0"/>
        <w:spacing w:before="200" w:line-rule="auto"/>
        <w:ind w:firstLine="540"/>
        <w:jc w:val="both"/>
      </w:pPr>
      <w:r>
        <w:rPr>
          <w:sz w:val="20"/>
        </w:rPr>
        <w:t xml:space="preserve">(i) The total mass of solids in the quantity of coating and/or ink, varnish or adhesive consumed in a year is determined. Solids are all materials in coatings, inks, varnishes and adhesives that become solid once the water or the volatile organic compounds are evaporated.</w:t>
      </w:r>
    </w:p>
    <w:p>
      <w:pPr>
        <w:pStyle w:val="0"/>
        <w:spacing w:before="200" w:line-rule="auto"/>
        <w:ind w:firstLine="540"/>
        <w:jc w:val="both"/>
      </w:pPr>
      <w:r>
        <w:rPr>
          <w:sz w:val="20"/>
        </w:rPr>
        <w:t xml:space="preserve">(ii) The annual reference emissions are calculated by multiplying the mass determined in (i) by the appropriate factor listed in the table below. Competent authorities may adjust these factors for individual installations to reflect documented increased efficiency in the use of solids.</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6318"/>
        <w:gridCol w:w="2340"/>
      </w:tblGrid>
      <w:tr>
        <w:trPr>
          <w:trHeight w:val="240" w:hRule="atLeast"/>
        </w:trPr>
        <w:tc>
          <w:tcPr>
            <w:tcW w:w="6435" w:type="dxa"/>
          </w:tcPr>
          <w:p>
            <w:pPr>
              <w:pStyle w:val="1"/>
              <w:jc w:val="both"/>
            </w:pPr>
            <w:r>
              <w:rPr>
                <w:sz w:val="20"/>
              </w:rPr>
              <w:t xml:space="preserve">                    Activity                         </w:t>
            </w:r>
          </w:p>
        </w:tc>
        <w:tc>
          <w:tcPr>
            <w:tcW w:w="2457" w:type="dxa"/>
          </w:tcPr>
          <w:p>
            <w:pPr>
              <w:pStyle w:val="1"/>
              <w:jc w:val="both"/>
            </w:pPr>
            <w:r>
              <w:rPr>
                <w:sz w:val="20"/>
              </w:rPr>
              <w:t xml:space="preserve">   Multiplication  </w:t>
            </w:r>
          </w:p>
          <w:p>
            <w:pPr>
              <w:pStyle w:val="1"/>
              <w:jc w:val="both"/>
            </w:pPr>
            <w:r>
              <w:rPr>
                <w:sz w:val="20"/>
              </w:rPr>
              <w:t xml:space="preserve"> factor for use in </w:t>
            </w:r>
          </w:p>
          <w:p>
            <w:pPr>
              <w:pStyle w:val="1"/>
              <w:jc w:val="both"/>
            </w:pPr>
            <w:r>
              <w:rPr>
                <w:sz w:val="20"/>
              </w:rPr>
              <w:t xml:space="preserve">   item (a) (ii)   </w:t>
            </w:r>
          </w:p>
        </w:tc>
      </w:tr>
      <w:tr>
        <w:trPr>
          <w:trHeight w:val="240" w:hRule="atLeast"/>
        </w:trPr>
        <w:tc>
          <w:tcPr>
            <w:tcW w:w="6435" w:type="dxa"/>
            <w:tcBorders>
              <w:top w:val="nil"/>
            </w:tcBorders>
          </w:tcPr>
          <w:p>
            <w:pPr>
              <w:pStyle w:val="1"/>
              <w:jc w:val="both"/>
            </w:pPr>
            <w:r>
              <w:rPr>
                <w:sz w:val="20"/>
              </w:rPr>
              <w:t xml:space="preserve">Rotogravure printing; flexography printing;          </w:t>
            </w:r>
          </w:p>
          <w:p>
            <w:pPr>
              <w:pStyle w:val="1"/>
              <w:jc w:val="both"/>
            </w:pPr>
            <w:r>
              <w:rPr>
                <w:sz w:val="20"/>
              </w:rPr>
              <w:t xml:space="preserve">laminating as part of a printing activity;           </w:t>
            </w:r>
          </w:p>
          <w:p>
            <w:pPr>
              <w:pStyle w:val="1"/>
              <w:jc w:val="both"/>
            </w:pPr>
            <w:r>
              <w:rPr>
                <w:sz w:val="20"/>
              </w:rPr>
              <w:t xml:space="preserve">varnishing as part of a printing activity; wood      </w:t>
            </w:r>
          </w:p>
          <w:p>
            <w:pPr>
              <w:pStyle w:val="1"/>
              <w:jc w:val="both"/>
            </w:pPr>
            <w:r>
              <w:rPr>
                <w:sz w:val="20"/>
              </w:rPr>
              <w:t xml:space="preserve">coating; coating of textiles, fabric film or paper;  </w:t>
            </w:r>
          </w:p>
          <w:p>
            <w:pPr>
              <w:pStyle w:val="1"/>
              <w:jc w:val="both"/>
            </w:pPr>
            <w:r>
              <w:rPr>
                <w:sz w:val="20"/>
              </w:rPr>
              <w:t xml:space="preserve">adhesive coating                                     </w:t>
            </w:r>
          </w:p>
        </w:tc>
        <w:tc>
          <w:tcPr>
            <w:tcW w:w="2457" w:type="dxa"/>
            <w:tcBorders>
              <w:top w:val="nil"/>
            </w:tcBorders>
          </w:tcPr>
          <w:p>
            <w:pPr>
              <w:pStyle w:val="1"/>
              <w:jc w:val="both"/>
            </w:pPr>
            <w:r>
              <w:rPr>
                <w:sz w:val="20"/>
              </w:rPr>
              <w:t xml:space="preserve">               4   </w:t>
            </w:r>
          </w:p>
        </w:tc>
      </w:tr>
      <w:tr>
        <w:trPr>
          <w:trHeight w:val="240" w:hRule="atLeast"/>
        </w:trPr>
        <w:tc>
          <w:tcPr>
            <w:tcW w:w="6435" w:type="dxa"/>
            <w:tcBorders>
              <w:top w:val="nil"/>
            </w:tcBorders>
          </w:tcPr>
          <w:p>
            <w:pPr>
              <w:pStyle w:val="1"/>
              <w:jc w:val="both"/>
            </w:pPr>
            <w:r>
              <w:rPr>
                <w:sz w:val="20"/>
              </w:rPr>
              <w:t xml:space="preserve">Coil coating, vehicle refinishing                    </w:t>
            </w:r>
          </w:p>
        </w:tc>
        <w:tc>
          <w:tcPr>
            <w:tcW w:w="2457" w:type="dxa"/>
            <w:tcBorders>
              <w:top w:val="nil"/>
            </w:tcBorders>
          </w:tcPr>
          <w:p>
            <w:pPr>
              <w:pStyle w:val="1"/>
              <w:jc w:val="both"/>
            </w:pPr>
            <w:r>
              <w:rPr>
                <w:sz w:val="20"/>
              </w:rPr>
              <w:t xml:space="preserve">               3   </w:t>
            </w:r>
          </w:p>
        </w:tc>
      </w:tr>
      <w:tr>
        <w:trPr>
          <w:trHeight w:val="240" w:hRule="atLeast"/>
        </w:trPr>
        <w:tc>
          <w:tcPr>
            <w:tcW w:w="6435" w:type="dxa"/>
            <w:tcBorders>
              <w:top w:val="nil"/>
            </w:tcBorders>
          </w:tcPr>
          <w:p>
            <w:pPr>
              <w:pStyle w:val="1"/>
              <w:jc w:val="both"/>
            </w:pPr>
            <w:r>
              <w:rPr>
                <w:sz w:val="20"/>
              </w:rPr>
              <w:t xml:space="preserve">Food contact coating, aerospace coatings             </w:t>
            </w:r>
          </w:p>
        </w:tc>
        <w:tc>
          <w:tcPr>
            <w:tcW w:w="2457" w:type="dxa"/>
            <w:tcBorders>
              <w:top w:val="nil"/>
            </w:tcBorders>
          </w:tcPr>
          <w:p>
            <w:pPr>
              <w:pStyle w:val="1"/>
              <w:jc w:val="both"/>
            </w:pPr>
            <w:r>
              <w:rPr>
                <w:sz w:val="20"/>
              </w:rPr>
              <w:t xml:space="preserve">               2,33</w:t>
            </w:r>
          </w:p>
        </w:tc>
      </w:tr>
      <w:tr>
        <w:trPr>
          <w:trHeight w:val="240" w:hRule="atLeast"/>
        </w:trPr>
        <w:tc>
          <w:tcPr>
            <w:tcW w:w="6435" w:type="dxa"/>
            <w:tcBorders>
              <w:top w:val="nil"/>
            </w:tcBorders>
          </w:tcPr>
          <w:p>
            <w:pPr>
              <w:pStyle w:val="1"/>
              <w:jc w:val="both"/>
            </w:pPr>
            <w:r>
              <w:rPr>
                <w:sz w:val="20"/>
              </w:rPr>
              <w:t xml:space="preserve">Other coatings and rotary screen printing            </w:t>
            </w:r>
          </w:p>
        </w:tc>
        <w:tc>
          <w:tcPr>
            <w:tcW w:w="2457" w:type="dxa"/>
            <w:tcBorders>
              <w:top w:val="nil"/>
            </w:tcBorders>
          </w:tcPr>
          <w:p>
            <w:pPr>
              <w:pStyle w:val="1"/>
              <w:jc w:val="both"/>
            </w:pPr>
            <w:r>
              <w:rPr>
                <w:sz w:val="20"/>
              </w:rPr>
              <w:t xml:space="preserve">               1,5 </w:t>
            </w:r>
          </w:p>
        </w:tc>
      </w:tr>
    </w:tbl>
    <w:p>
      <w:pPr>
        <w:pStyle w:val="0"/>
        <w:ind w:firstLine="540"/>
        <w:jc w:val="both"/>
      </w:pPr>
      <w:r>
        <w:rPr>
          <w:sz w:val="20"/>
        </w:rPr>
      </w:r>
    </w:p>
    <w:p>
      <w:pPr>
        <w:pStyle w:val="0"/>
        <w:ind w:firstLine="540"/>
        <w:jc w:val="both"/>
      </w:pPr>
      <w:r>
        <w:rPr>
          <w:sz w:val="20"/>
        </w:rPr>
        <w:t xml:space="preserve">(b) The target emission is equal to the annual reference emission multiplied by a percentage equal to:</w:t>
      </w:r>
    </w:p>
    <w:p>
      <w:pPr>
        <w:pStyle w:val="0"/>
        <w:spacing w:before="200" w:line-rule="auto"/>
        <w:ind w:firstLine="540"/>
        <w:jc w:val="both"/>
      </w:pPr>
      <w:r>
        <w:rPr>
          <w:sz w:val="20"/>
        </w:rPr>
        <w:t xml:space="preserve">(i) (the fugitive emission limit value + 15), for installations falling within item 6 and the lower threshold band of items 8 and 10 of Part 2,</w:t>
      </w:r>
    </w:p>
    <w:p>
      <w:pPr>
        <w:pStyle w:val="0"/>
        <w:spacing w:before="200" w:line-rule="auto"/>
        <w:ind w:firstLine="540"/>
        <w:jc w:val="both"/>
      </w:pPr>
      <w:r>
        <w:rPr>
          <w:sz w:val="20"/>
        </w:rPr>
        <w:t xml:space="preserve">(ii) (the fugitive emission limit value + 5) for all other installations.</w:t>
      </w:r>
    </w:p>
    <w:p>
      <w:pPr>
        <w:pStyle w:val="0"/>
        <w:spacing w:before="200" w:line-rule="auto"/>
        <w:ind w:firstLine="540"/>
        <w:jc w:val="both"/>
      </w:pPr>
      <w:r>
        <w:rPr>
          <w:sz w:val="20"/>
        </w:rPr>
        <w:t xml:space="preserve">(c) Compliance is achieved if the actual solvent emission determined from the solvent management plan is less than or equal to the target emission.</w:t>
      </w:r>
    </w:p>
    <w:p>
      <w:pPr>
        <w:pStyle w:val="0"/>
        <w:jc w:val="center"/>
      </w:pPr>
      <w:r>
        <w:rPr>
          <w:sz w:val="20"/>
        </w:rPr>
      </w:r>
    </w:p>
    <w:p>
      <w:pPr>
        <w:pStyle w:val="0"/>
        <w:outlineLvl w:val="1"/>
        <w:jc w:val="center"/>
      </w:pPr>
      <w:r>
        <w:rPr>
          <w:sz w:val="20"/>
        </w:rPr>
        <w:t xml:space="preserve">Part 6</w:t>
      </w:r>
    </w:p>
    <w:p>
      <w:pPr>
        <w:pStyle w:val="0"/>
        <w:jc w:val="center"/>
      </w:pPr>
      <w:r>
        <w:rPr>
          <w:sz w:val="20"/>
        </w:rPr>
      </w:r>
    </w:p>
    <w:p>
      <w:pPr>
        <w:pStyle w:val="0"/>
        <w:jc w:val="center"/>
      </w:pPr>
      <w:r>
        <w:rPr>
          <w:sz w:val="20"/>
        </w:rPr>
        <w:t xml:space="preserve">Emission monitoring</w:t>
      </w:r>
    </w:p>
    <w:p>
      <w:pPr>
        <w:pStyle w:val="0"/>
        <w:jc w:val="center"/>
      </w:pPr>
      <w:r>
        <w:rPr>
          <w:sz w:val="20"/>
        </w:rPr>
      </w:r>
    </w:p>
    <w:p>
      <w:pPr>
        <w:pStyle w:val="0"/>
        <w:ind w:firstLine="540"/>
        <w:jc w:val="both"/>
      </w:pPr>
      <w:r>
        <w:rPr>
          <w:sz w:val="20"/>
        </w:rPr>
        <w:t xml:space="preserve">1. Channels to which abatement equipment is connected, and which at the final point of discharge emit more than an average of 10 kg/h of total organic carbon, shall be monitored continuously for compliance.</w:t>
      </w:r>
    </w:p>
    <w:p>
      <w:pPr>
        <w:pStyle w:val="0"/>
        <w:spacing w:before="200" w:line-rule="auto"/>
        <w:ind w:firstLine="540"/>
        <w:jc w:val="both"/>
      </w:pPr>
      <w:r>
        <w:rPr>
          <w:sz w:val="20"/>
        </w:rPr>
        <w:t xml:space="preserve">2. In the other cases, Member States shall ensure that either continuous or periodic measurements are carried out. For periodic measurements at least three measurement values shall be obtained during each measurement exercise.</w:t>
      </w:r>
    </w:p>
    <w:p>
      <w:pPr>
        <w:pStyle w:val="0"/>
        <w:spacing w:before="200" w:line-rule="auto"/>
        <w:ind w:firstLine="540"/>
        <w:jc w:val="both"/>
      </w:pPr>
      <w:r>
        <w:rPr>
          <w:sz w:val="20"/>
        </w:rPr>
        <w:t xml:space="preserve">3. Measurements are not required in the case where end-of-pipe abatement equipment is not needed to comply with this Directive.</w:t>
      </w:r>
    </w:p>
    <w:p>
      <w:pPr>
        <w:pStyle w:val="0"/>
        <w:jc w:val="center"/>
      </w:pPr>
      <w:r>
        <w:rPr>
          <w:sz w:val="20"/>
        </w:rPr>
      </w:r>
    </w:p>
    <w:p>
      <w:pPr>
        <w:pStyle w:val="0"/>
        <w:outlineLvl w:val="1"/>
        <w:jc w:val="center"/>
      </w:pPr>
      <w:r>
        <w:rPr>
          <w:sz w:val="20"/>
        </w:rPr>
        <w:t xml:space="preserve">Part 7</w:t>
      </w:r>
    </w:p>
    <w:p>
      <w:pPr>
        <w:pStyle w:val="0"/>
        <w:jc w:val="center"/>
      </w:pPr>
      <w:r>
        <w:rPr>
          <w:sz w:val="20"/>
        </w:rPr>
      </w:r>
    </w:p>
    <w:p>
      <w:pPr>
        <w:pStyle w:val="0"/>
        <w:jc w:val="center"/>
      </w:pPr>
      <w:r>
        <w:rPr>
          <w:sz w:val="20"/>
        </w:rPr>
        <w:t xml:space="preserve">Solvent management plan</w:t>
      </w:r>
    </w:p>
    <w:p>
      <w:pPr>
        <w:pStyle w:val="0"/>
        <w:jc w:val="center"/>
      </w:pPr>
      <w:r>
        <w:rPr>
          <w:sz w:val="20"/>
        </w:rPr>
      </w:r>
    </w:p>
    <w:p>
      <w:pPr>
        <w:pStyle w:val="0"/>
        <w:ind w:firstLine="540"/>
        <w:jc w:val="both"/>
      </w:pPr>
      <w:r>
        <w:rPr>
          <w:sz w:val="20"/>
        </w:rPr>
        <w:t xml:space="preserve">1. Principles</w:t>
      </w:r>
    </w:p>
    <w:p>
      <w:pPr>
        <w:pStyle w:val="0"/>
        <w:spacing w:before="200" w:line-rule="auto"/>
        <w:ind w:firstLine="540"/>
        <w:jc w:val="both"/>
      </w:pPr>
      <w:r>
        <w:rPr>
          <w:sz w:val="20"/>
        </w:rPr>
        <w:t xml:space="preserve">The solvent management plan shall be used to:</w:t>
      </w:r>
    </w:p>
    <w:p>
      <w:pPr>
        <w:pStyle w:val="0"/>
        <w:spacing w:before="200" w:line-rule="auto"/>
        <w:ind w:firstLine="540"/>
        <w:jc w:val="both"/>
      </w:pPr>
      <w:r>
        <w:rPr>
          <w:sz w:val="20"/>
        </w:rPr>
        <w:t xml:space="preserve">(a) verify compliance as specified in Article 62;</w:t>
      </w:r>
    </w:p>
    <w:p>
      <w:pPr>
        <w:pStyle w:val="0"/>
        <w:spacing w:before="200" w:line-rule="auto"/>
        <w:ind w:firstLine="540"/>
        <w:jc w:val="both"/>
      </w:pPr>
      <w:r>
        <w:rPr>
          <w:sz w:val="20"/>
        </w:rPr>
        <w:t xml:space="preserve">(b) identify future reduction options;</w:t>
      </w:r>
    </w:p>
    <w:p>
      <w:pPr>
        <w:pStyle w:val="0"/>
        <w:spacing w:before="200" w:line-rule="auto"/>
        <w:ind w:firstLine="540"/>
        <w:jc w:val="both"/>
      </w:pPr>
      <w:r>
        <w:rPr>
          <w:sz w:val="20"/>
        </w:rPr>
        <w:t xml:space="preserve">(c) enable provision of information on solvent consumption, solvent emissions and compliance with the requirements of Chapter V to the public.</w:t>
      </w:r>
    </w:p>
    <w:p>
      <w:pPr>
        <w:pStyle w:val="0"/>
        <w:spacing w:before="200" w:line-rule="auto"/>
        <w:ind w:firstLine="540"/>
        <w:jc w:val="both"/>
      </w:pPr>
      <w:r>
        <w:rPr>
          <w:sz w:val="20"/>
        </w:rPr>
        <w:t xml:space="preserve">2. Definitions</w:t>
      </w:r>
    </w:p>
    <w:p>
      <w:pPr>
        <w:pStyle w:val="0"/>
        <w:spacing w:before="200" w:line-rule="auto"/>
        <w:ind w:firstLine="540"/>
        <w:jc w:val="both"/>
      </w:pPr>
      <w:r>
        <w:rPr>
          <w:sz w:val="20"/>
        </w:rPr>
        <w:t xml:space="preserve">The following definitions provide a framework for the mass balance exercise.</w:t>
      </w:r>
    </w:p>
    <w:p>
      <w:pPr>
        <w:pStyle w:val="0"/>
        <w:spacing w:before="200" w:line-rule="auto"/>
        <w:ind w:firstLine="540"/>
        <w:jc w:val="both"/>
      </w:pPr>
      <w:r>
        <w:rPr>
          <w:sz w:val="20"/>
        </w:rPr>
        <w:t xml:space="preserve">Inputs of organic solvents (I):</w:t>
      </w:r>
    </w:p>
    <w:p>
      <w:pPr>
        <w:pStyle w:val="0"/>
        <w:spacing w:before="200" w:line-rule="auto"/>
        <w:ind w:firstLine="540"/>
        <w:jc w:val="both"/>
      </w:pPr>
      <w:r>
        <w:rPr>
          <w:sz w:val="20"/>
        </w:rPr>
        <w:t xml:space="preserve">I1 The quantity of organic solvents or their quantity in mixtures purchased which are used as input into the process in the time frame over which the mass balance is being calculated.</w:t>
      </w:r>
    </w:p>
    <w:p>
      <w:pPr>
        <w:pStyle w:val="0"/>
        <w:spacing w:before="200" w:line-rule="auto"/>
        <w:ind w:firstLine="540"/>
        <w:jc w:val="both"/>
      </w:pPr>
      <w:r>
        <w:rPr>
          <w:sz w:val="20"/>
        </w:rPr>
        <w:t xml:space="preserve">I2 The quantity of organic solvents or their quantity in mixtures recovered and reused as solvent input into the process. The recycled solvent is counted every time it is used to carry out the activity.</w:t>
      </w:r>
    </w:p>
    <w:p>
      <w:pPr>
        <w:pStyle w:val="0"/>
        <w:spacing w:before="200" w:line-rule="auto"/>
        <w:ind w:firstLine="540"/>
        <w:jc w:val="both"/>
      </w:pPr>
      <w:r>
        <w:rPr>
          <w:sz w:val="20"/>
        </w:rPr>
        <w:t xml:space="preserve">Outputs of organic solvents (O):</w:t>
      </w:r>
    </w:p>
    <w:p>
      <w:pPr>
        <w:pStyle w:val="0"/>
        <w:spacing w:before="200" w:line-rule="auto"/>
        <w:ind w:firstLine="540"/>
        <w:jc w:val="both"/>
      </w:pPr>
      <w:r>
        <w:rPr>
          <w:sz w:val="20"/>
        </w:rPr>
        <w:t xml:space="preserve">O1 Emissions in waste gases.</w:t>
      </w:r>
    </w:p>
    <w:p>
      <w:pPr>
        <w:pStyle w:val="0"/>
        <w:spacing w:before="200" w:line-rule="auto"/>
        <w:ind w:firstLine="540"/>
        <w:jc w:val="both"/>
      </w:pPr>
      <w:r>
        <w:rPr>
          <w:sz w:val="20"/>
        </w:rPr>
        <w:t xml:space="preserve">O2 Organic solvents lost in water, taking into account waste water treatment when calculating O5.</w:t>
      </w:r>
    </w:p>
    <w:p>
      <w:pPr>
        <w:pStyle w:val="0"/>
        <w:spacing w:before="200" w:line-rule="auto"/>
        <w:ind w:firstLine="540"/>
        <w:jc w:val="both"/>
      </w:pPr>
      <w:r>
        <w:rPr>
          <w:sz w:val="20"/>
        </w:rPr>
        <w:t xml:space="preserve">O3 The quantity of organic solvents which remains as contamination or residue in products output from the process.</w:t>
      </w:r>
    </w:p>
    <w:p>
      <w:pPr>
        <w:pStyle w:val="0"/>
        <w:spacing w:before="200" w:line-rule="auto"/>
        <w:ind w:firstLine="540"/>
        <w:jc w:val="both"/>
      </w:pPr>
      <w:r>
        <w:rPr>
          <w:sz w:val="20"/>
        </w:rPr>
        <w:t xml:space="preserve">O4 Uncaptured emissions of organic solvents into air. This includes the general ventilation of rooms, where air is released to the outside environment via windows, doors, vents and similar openings.</w:t>
      </w:r>
    </w:p>
    <w:p>
      <w:pPr>
        <w:pStyle w:val="0"/>
        <w:spacing w:before="200" w:line-rule="auto"/>
        <w:ind w:firstLine="540"/>
        <w:jc w:val="both"/>
      </w:pPr>
      <w:r>
        <w:rPr>
          <w:sz w:val="20"/>
        </w:rPr>
        <w:t xml:space="preserve">O5 Organic solvents and/or organic compounds lost due to chemical or physical reactions (including those which are destroyed, by incineration or other waste gas or waste water treatments, or captured, as long as they are not counted under O6, O7 or O8).</w:t>
      </w:r>
    </w:p>
    <w:p>
      <w:pPr>
        <w:pStyle w:val="0"/>
        <w:spacing w:before="200" w:line-rule="auto"/>
        <w:ind w:firstLine="540"/>
        <w:jc w:val="both"/>
      </w:pPr>
      <w:r>
        <w:rPr>
          <w:sz w:val="20"/>
        </w:rPr>
        <w:t xml:space="preserve">O6 Organic solvents contained in collected waste.</w:t>
      </w:r>
    </w:p>
    <w:p>
      <w:pPr>
        <w:pStyle w:val="0"/>
        <w:spacing w:before="200" w:line-rule="auto"/>
        <w:ind w:firstLine="540"/>
        <w:jc w:val="both"/>
      </w:pPr>
      <w:r>
        <w:rPr>
          <w:sz w:val="20"/>
        </w:rPr>
        <w:t xml:space="preserve">O7 Organic solvents, or organic solvents contained in mixtures, which are sold or are intended to be sold as a commercially valuable product.</w:t>
      </w:r>
    </w:p>
    <w:p>
      <w:pPr>
        <w:pStyle w:val="0"/>
        <w:spacing w:before="200" w:line-rule="auto"/>
        <w:ind w:firstLine="540"/>
        <w:jc w:val="both"/>
      </w:pPr>
      <w:r>
        <w:rPr>
          <w:sz w:val="20"/>
        </w:rPr>
        <w:t xml:space="preserve">O8 Organic solvents contained in mixtures recovered for reuse but not as input into the process, as long as not counted under O7.</w:t>
      </w:r>
    </w:p>
    <w:p>
      <w:pPr>
        <w:pStyle w:val="0"/>
        <w:spacing w:before="200" w:line-rule="auto"/>
        <w:ind w:firstLine="540"/>
        <w:jc w:val="both"/>
      </w:pPr>
      <w:r>
        <w:rPr>
          <w:sz w:val="20"/>
        </w:rPr>
        <w:t xml:space="preserve">O9 Organic solvents released in other ways.</w:t>
      </w:r>
    </w:p>
    <w:p>
      <w:pPr>
        <w:pStyle w:val="0"/>
        <w:spacing w:before="200" w:line-rule="auto"/>
        <w:ind w:firstLine="540"/>
        <w:jc w:val="both"/>
      </w:pPr>
      <w:r>
        <w:rPr>
          <w:sz w:val="20"/>
        </w:rPr>
        <w:t xml:space="preserve">3. Use of the solvent management plan for verification of compliance.</w:t>
      </w:r>
    </w:p>
    <w:p>
      <w:pPr>
        <w:pStyle w:val="0"/>
        <w:spacing w:before="200" w:line-rule="auto"/>
        <w:ind w:firstLine="540"/>
        <w:jc w:val="both"/>
      </w:pPr>
      <w:r>
        <w:rPr>
          <w:sz w:val="20"/>
        </w:rPr>
        <w:t xml:space="preserve">The use made of the solvent management plan shall be determined by the particular requirement which is to be verified, as follows:</w:t>
      </w:r>
    </w:p>
    <w:p>
      <w:pPr>
        <w:pStyle w:val="0"/>
        <w:spacing w:before="200" w:line-rule="auto"/>
        <w:ind w:firstLine="540"/>
        <w:jc w:val="both"/>
      </w:pPr>
      <w:r>
        <w:rPr>
          <w:sz w:val="20"/>
        </w:rPr>
        <w:t xml:space="preserve">(a) verification of compliance with the reduction scheme as set out in Part 5, with a total emission limit value expressed in solvent emissions per unit product, or otherwise stated in Parts 2 and 3.</w:t>
      </w:r>
    </w:p>
    <w:p>
      <w:pPr>
        <w:pStyle w:val="0"/>
        <w:spacing w:before="200" w:line-rule="auto"/>
        <w:ind w:firstLine="540"/>
        <w:jc w:val="both"/>
      </w:pPr>
      <w:r>
        <w:rPr>
          <w:sz w:val="20"/>
        </w:rPr>
        <w:t xml:space="preserve">(i) for all activities using the reduction scheme as set out in Part 5, the solvent management plan shall be drawn up annually to determine the consumption (C). The consumption shall be calculated according to the following equation:</w:t>
      </w:r>
    </w:p>
    <w:p>
      <w:pPr>
        <w:pStyle w:val="0"/>
        <w:ind w:firstLine="540"/>
        <w:jc w:val="both"/>
      </w:pPr>
      <w:r>
        <w:rPr>
          <w:sz w:val="20"/>
        </w:rPr>
      </w:r>
    </w:p>
    <w:p>
      <w:pPr>
        <w:pStyle w:val="0"/>
        <w:ind w:firstLine="540"/>
        <w:jc w:val="both"/>
      </w:pPr>
      <w:r>
        <w:rPr>
          <w:sz w:val="20"/>
        </w:rPr>
        <w:t xml:space="preserve">C = I1 - O8</w:t>
      </w:r>
    </w:p>
    <w:p>
      <w:pPr>
        <w:pStyle w:val="0"/>
        <w:ind w:firstLine="540"/>
        <w:jc w:val="both"/>
      </w:pPr>
      <w:r>
        <w:rPr>
          <w:sz w:val="20"/>
        </w:rPr>
      </w:r>
    </w:p>
    <w:p>
      <w:pPr>
        <w:pStyle w:val="0"/>
        <w:ind w:firstLine="540"/>
        <w:jc w:val="both"/>
      </w:pPr>
      <w:r>
        <w:rPr>
          <w:sz w:val="20"/>
        </w:rPr>
        <w:t xml:space="preserve">A parallel exercise shall also be undertaken to determine solids used in coating in order to derive the annual reference emission and the target emission each year.</w:t>
      </w:r>
    </w:p>
    <w:p>
      <w:pPr>
        <w:pStyle w:val="0"/>
        <w:spacing w:before="200" w:line-rule="auto"/>
        <w:ind w:firstLine="540"/>
        <w:jc w:val="both"/>
      </w:pPr>
      <w:r>
        <w:rPr>
          <w:sz w:val="20"/>
        </w:rPr>
        <w:t xml:space="preserve">(ii) for assessing compliance with a total emission limit value expressed in solvent emissions per unit product or otherwise stated in Parts 2 and 3, the solvent management plan shall be drawn up annually to determine the emissions (E). The emissions shall be calculated according to the following equation:</w:t>
      </w:r>
    </w:p>
    <w:p>
      <w:pPr>
        <w:pStyle w:val="0"/>
        <w:ind w:firstLine="540"/>
        <w:jc w:val="both"/>
      </w:pPr>
      <w:r>
        <w:rPr>
          <w:sz w:val="20"/>
        </w:rPr>
      </w:r>
    </w:p>
    <w:p>
      <w:pPr>
        <w:pStyle w:val="0"/>
        <w:ind w:firstLine="540"/>
        <w:jc w:val="both"/>
      </w:pPr>
      <w:r>
        <w:rPr>
          <w:sz w:val="20"/>
        </w:rPr>
        <w:t xml:space="preserve">E = F + O1</w:t>
      </w:r>
    </w:p>
    <w:p>
      <w:pPr>
        <w:pStyle w:val="0"/>
        <w:ind w:firstLine="540"/>
        <w:jc w:val="both"/>
      </w:pPr>
      <w:r>
        <w:rPr>
          <w:sz w:val="20"/>
        </w:rPr>
      </w:r>
    </w:p>
    <w:p>
      <w:pPr>
        <w:pStyle w:val="0"/>
        <w:ind w:firstLine="540"/>
        <w:jc w:val="both"/>
      </w:pPr>
      <w:r>
        <w:rPr>
          <w:sz w:val="20"/>
        </w:rPr>
        <w:t xml:space="preserve">Where F is the fugitive emission as defined in point (b) (i). The emission figure shall then be divided by the relevant product parameter.</w:t>
      </w:r>
    </w:p>
    <w:p>
      <w:pPr>
        <w:pStyle w:val="0"/>
        <w:spacing w:before="200" w:line-rule="auto"/>
        <w:ind w:firstLine="540"/>
        <w:jc w:val="both"/>
      </w:pPr>
      <w:r>
        <w:rPr>
          <w:sz w:val="20"/>
        </w:rPr>
        <w:t xml:space="preserve">(iii) for assessing compliance with the requirements of point (b) (ii) of Article 59 (6), the solvent management plan shall be drawn up annually to determine total emissions from all activities concerned, and that figure shall then be compared with the total emissions that would have resulted had the requirements of Parts 2, 3 and 5 been met for each activity separately.</w:t>
      </w:r>
    </w:p>
    <w:p>
      <w:pPr>
        <w:pStyle w:val="0"/>
        <w:spacing w:before="200" w:line-rule="auto"/>
        <w:ind w:firstLine="540"/>
        <w:jc w:val="both"/>
      </w:pPr>
      <w:r>
        <w:rPr>
          <w:sz w:val="20"/>
        </w:rPr>
        <w:t xml:space="preserve">(b) Determination of fugitive emissions for comparison with the fugitive emission limit values in Part 2:</w:t>
      </w:r>
    </w:p>
    <w:p>
      <w:pPr>
        <w:pStyle w:val="0"/>
        <w:spacing w:before="200" w:line-rule="auto"/>
        <w:ind w:firstLine="540"/>
        <w:jc w:val="both"/>
      </w:pPr>
      <w:r>
        <w:rPr>
          <w:sz w:val="20"/>
        </w:rPr>
        <w:t xml:space="preserve">(i) The fugitive emission shall be calculated according to one of the following equations;</w:t>
      </w:r>
    </w:p>
    <w:p>
      <w:pPr>
        <w:pStyle w:val="0"/>
        <w:ind w:firstLine="540"/>
        <w:jc w:val="both"/>
      </w:pPr>
      <w:r>
        <w:rPr>
          <w:sz w:val="20"/>
        </w:rPr>
      </w:r>
    </w:p>
    <w:p>
      <w:pPr>
        <w:pStyle w:val="0"/>
        <w:ind w:firstLine="540"/>
        <w:jc w:val="both"/>
      </w:pPr>
      <w:r>
        <w:rPr>
          <w:sz w:val="20"/>
        </w:rPr>
        <w:t xml:space="preserve">F = I1 - O1 - O5 - O6 - O7 - O8</w:t>
      </w:r>
    </w:p>
    <w:p>
      <w:pPr>
        <w:pStyle w:val="0"/>
        <w:ind w:firstLine="540"/>
        <w:jc w:val="both"/>
      </w:pPr>
      <w:r>
        <w:rPr>
          <w:sz w:val="20"/>
        </w:rPr>
      </w:r>
    </w:p>
    <w:p>
      <w:pPr>
        <w:pStyle w:val="0"/>
        <w:ind w:firstLine="540"/>
        <w:jc w:val="both"/>
      </w:pPr>
      <w:r>
        <w:rPr>
          <w:sz w:val="20"/>
        </w:rPr>
        <w:t xml:space="preserve">or</w:t>
      </w:r>
    </w:p>
    <w:p>
      <w:pPr>
        <w:pStyle w:val="0"/>
        <w:ind w:firstLine="540"/>
        <w:jc w:val="both"/>
      </w:pPr>
      <w:r>
        <w:rPr>
          <w:sz w:val="20"/>
        </w:rPr>
      </w:r>
    </w:p>
    <w:p>
      <w:pPr>
        <w:pStyle w:val="0"/>
        <w:ind w:firstLine="540"/>
        <w:jc w:val="both"/>
      </w:pPr>
      <w:r>
        <w:rPr>
          <w:sz w:val="20"/>
        </w:rPr>
        <w:t xml:space="preserve">F = O2 + O3 + O4 + O9</w:t>
      </w:r>
    </w:p>
    <w:p>
      <w:pPr>
        <w:pStyle w:val="0"/>
        <w:ind w:firstLine="540"/>
        <w:jc w:val="both"/>
      </w:pPr>
      <w:r>
        <w:rPr>
          <w:sz w:val="20"/>
        </w:rPr>
      </w:r>
    </w:p>
    <w:p>
      <w:pPr>
        <w:pStyle w:val="0"/>
        <w:ind w:firstLine="540"/>
        <w:jc w:val="both"/>
      </w:pPr>
      <w:r>
        <w:rPr>
          <w:sz w:val="20"/>
        </w:rPr>
        <w:t xml:space="preserve">F shall be determined either by direct measurement of the quantities or by an equivalent method or calculation, for instance by using the capture efficiency of the process.</w:t>
      </w:r>
    </w:p>
    <w:p>
      <w:pPr>
        <w:pStyle w:val="0"/>
        <w:spacing w:before="200" w:line-rule="auto"/>
        <w:ind w:firstLine="540"/>
        <w:jc w:val="both"/>
      </w:pPr>
      <w:r>
        <w:rPr>
          <w:sz w:val="20"/>
        </w:rPr>
        <w:t xml:space="preserve">The fugitive emission limit value is expressed as a proportion of the input, which shall be calculated according to the following equation:</w:t>
      </w:r>
    </w:p>
    <w:p>
      <w:pPr>
        <w:pStyle w:val="0"/>
        <w:ind w:firstLine="540"/>
        <w:jc w:val="both"/>
      </w:pPr>
      <w:r>
        <w:rPr>
          <w:sz w:val="20"/>
        </w:rPr>
      </w:r>
    </w:p>
    <w:p>
      <w:pPr>
        <w:pStyle w:val="0"/>
        <w:ind w:firstLine="540"/>
        <w:jc w:val="both"/>
      </w:pPr>
      <w:r>
        <w:rPr>
          <w:sz w:val="20"/>
        </w:rPr>
        <w:t xml:space="preserve">I = I1 + I2</w:t>
      </w:r>
    </w:p>
    <w:p>
      <w:pPr>
        <w:pStyle w:val="0"/>
        <w:ind w:firstLine="540"/>
        <w:jc w:val="both"/>
      </w:pPr>
      <w:r>
        <w:rPr>
          <w:sz w:val="20"/>
        </w:rPr>
      </w:r>
    </w:p>
    <w:p>
      <w:pPr>
        <w:pStyle w:val="0"/>
        <w:ind w:firstLine="540"/>
        <w:jc w:val="both"/>
      </w:pPr>
      <w:r>
        <w:rPr>
          <w:sz w:val="20"/>
        </w:rPr>
        <w:t xml:space="preserve">(ii) Determination of fugitive emissions shall be done by a short but comprehensive set of measurements and needs not be done again until the equipment is modified.</w:t>
      </w:r>
    </w:p>
    <w:p>
      <w:pPr>
        <w:pStyle w:val="0"/>
        <w:jc w:val="center"/>
      </w:pPr>
      <w:r>
        <w:rPr>
          <w:sz w:val="20"/>
        </w:rPr>
      </w:r>
    </w:p>
    <w:p>
      <w:pPr>
        <w:pStyle w:val="0"/>
        <w:outlineLvl w:val="1"/>
        <w:jc w:val="center"/>
      </w:pPr>
      <w:r>
        <w:rPr>
          <w:sz w:val="20"/>
        </w:rPr>
        <w:t xml:space="preserve">Part 8</w:t>
      </w:r>
    </w:p>
    <w:p>
      <w:pPr>
        <w:pStyle w:val="0"/>
        <w:jc w:val="center"/>
      </w:pPr>
      <w:r>
        <w:rPr>
          <w:sz w:val="20"/>
        </w:rPr>
      </w:r>
    </w:p>
    <w:p>
      <w:pPr>
        <w:pStyle w:val="0"/>
        <w:jc w:val="center"/>
      </w:pPr>
      <w:r>
        <w:rPr>
          <w:sz w:val="20"/>
        </w:rPr>
        <w:t xml:space="preserve">Assessment of compliance with emission</w:t>
      </w:r>
    </w:p>
    <w:p>
      <w:pPr>
        <w:pStyle w:val="0"/>
        <w:jc w:val="center"/>
      </w:pPr>
      <w:r>
        <w:rPr>
          <w:sz w:val="20"/>
        </w:rPr>
        <w:t xml:space="preserve">limit values in waste gases</w:t>
      </w:r>
    </w:p>
    <w:p>
      <w:pPr>
        <w:pStyle w:val="0"/>
        <w:jc w:val="center"/>
      </w:pPr>
      <w:r>
        <w:rPr>
          <w:sz w:val="20"/>
        </w:rPr>
      </w:r>
    </w:p>
    <w:p>
      <w:pPr>
        <w:pStyle w:val="0"/>
        <w:ind w:firstLine="540"/>
        <w:jc w:val="both"/>
      </w:pPr>
      <w:r>
        <w:rPr>
          <w:sz w:val="20"/>
        </w:rPr>
        <w:t xml:space="preserve">1. In the case of continuous measurements the emission limit values shall be considered to be complied with if:</w:t>
      </w:r>
    </w:p>
    <w:p>
      <w:pPr>
        <w:pStyle w:val="0"/>
        <w:spacing w:before="200" w:line-rule="auto"/>
        <w:ind w:firstLine="540"/>
        <w:jc w:val="both"/>
      </w:pPr>
      <w:r>
        <w:rPr>
          <w:sz w:val="20"/>
        </w:rPr>
        <w:t xml:space="preserve">(a) none of the arithmetic averages of all valid readings taken during any 24-hour period of operation of an installation or activity except start-up and shut-down operations and maintenance of equipment exceeds the emission limit values,</w:t>
      </w:r>
    </w:p>
    <w:p>
      <w:pPr>
        <w:pStyle w:val="0"/>
        <w:spacing w:before="200" w:line-rule="auto"/>
        <w:ind w:firstLine="540"/>
        <w:jc w:val="both"/>
      </w:pPr>
      <w:r>
        <w:rPr>
          <w:sz w:val="20"/>
        </w:rPr>
        <w:t xml:space="preserve">(b) none of the hourly averages exceeds the emission limit values by more than a factor of 1,5.</w:t>
      </w:r>
    </w:p>
    <w:p>
      <w:pPr>
        <w:pStyle w:val="0"/>
        <w:spacing w:before="200" w:line-rule="auto"/>
        <w:ind w:firstLine="540"/>
        <w:jc w:val="both"/>
      </w:pPr>
      <w:r>
        <w:rPr>
          <w:sz w:val="20"/>
        </w:rPr>
        <w:t xml:space="preserve">2. In the case of periodic measurements the emission limit values shall be considered to be complied with if, in one monitoring exercise:</w:t>
      </w:r>
    </w:p>
    <w:p>
      <w:pPr>
        <w:pStyle w:val="0"/>
        <w:spacing w:before="200" w:line-rule="auto"/>
        <w:ind w:firstLine="540"/>
        <w:jc w:val="both"/>
      </w:pPr>
      <w:r>
        <w:rPr>
          <w:sz w:val="20"/>
        </w:rPr>
        <w:t xml:space="preserve">(a) the average of all the measurement values does not exceed the emission limit values,</w:t>
      </w:r>
    </w:p>
    <w:p>
      <w:pPr>
        <w:pStyle w:val="0"/>
        <w:spacing w:before="200" w:line-rule="auto"/>
        <w:ind w:firstLine="540"/>
        <w:jc w:val="both"/>
      </w:pPr>
      <w:r>
        <w:rPr>
          <w:sz w:val="20"/>
        </w:rPr>
        <w:t xml:space="preserve">(b) none of the hourly averages exceeds the emission limit value by more than a factor of 1,5.</w:t>
      </w:r>
    </w:p>
    <w:p>
      <w:pPr>
        <w:pStyle w:val="0"/>
        <w:spacing w:before="200" w:line-rule="auto"/>
        <w:ind w:firstLine="540"/>
        <w:jc w:val="both"/>
      </w:pPr>
      <w:r>
        <w:rPr>
          <w:sz w:val="20"/>
        </w:rPr>
        <w:t xml:space="preserve">3. Compliance with Part 4 shall be verified on the basis of the sum of the mass concentrations of the individual volatile organic compounds concerned. For all other cases, compliance shall be verified on the basis of the total mass of organic carbon emitted unless otherwise specified in Part 2.</w:t>
      </w:r>
    </w:p>
    <w:p>
      <w:pPr>
        <w:pStyle w:val="0"/>
        <w:spacing w:before="200" w:line-rule="auto"/>
        <w:ind w:firstLine="540"/>
        <w:jc w:val="both"/>
      </w:pPr>
      <w:r>
        <w:rPr>
          <w:sz w:val="20"/>
        </w:rPr>
        <w:t xml:space="preserve">4. Gas volumes may be added to the waste gas for cooling or dilution purposes where technically justified but shall not be considered when determining the mass concentration of the pollutant in the waste gas.</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Annex VIII</w:t>
      </w:r>
    </w:p>
    <w:p>
      <w:pPr>
        <w:pStyle w:val="0"/>
        <w:jc w:val="right"/>
      </w:pPr>
      <w:r>
        <w:rPr>
          <w:sz w:val="20"/>
        </w:rPr>
      </w:r>
    </w:p>
    <w:p>
      <w:pPr>
        <w:pStyle w:val="2"/>
        <w:jc w:val="center"/>
      </w:pPr>
      <w:r>
        <w:rPr>
          <w:sz w:val="20"/>
        </w:rPr>
        <w:t xml:space="preserve">TECHNICAL PROVISIONS RELATING TO INSTALLATIONS</w:t>
      </w:r>
    </w:p>
    <w:p>
      <w:pPr>
        <w:pStyle w:val="2"/>
        <w:jc w:val="center"/>
      </w:pPr>
      <w:r>
        <w:rPr>
          <w:sz w:val="20"/>
        </w:rPr>
        <w:t xml:space="preserve">PRODUCING TITANIUM DIOXIDE</w:t>
      </w:r>
    </w:p>
    <w:p>
      <w:pPr>
        <w:pStyle w:val="0"/>
        <w:jc w:val="center"/>
      </w:pPr>
      <w:r>
        <w:rPr>
          <w:sz w:val="20"/>
        </w:rPr>
      </w:r>
    </w:p>
    <w:p>
      <w:pPr>
        <w:pStyle w:val="0"/>
        <w:outlineLvl w:val="1"/>
        <w:jc w:val="center"/>
      </w:pPr>
      <w:r>
        <w:rPr>
          <w:sz w:val="20"/>
        </w:rPr>
        <w:t xml:space="preserve">Part 1</w:t>
      </w:r>
    </w:p>
    <w:p>
      <w:pPr>
        <w:pStyle w:val="0"/>
        <w:jc w:val="center"/>
      </w:pPr>
      <w:r>
        <w:rPr>
          <w:sz w:val="20"/>
        </w:rPr>
      </w:r>
    </w:p>
    <w:p>
      <w:pPr>
        <w:pStyle w:val="0"/>
        <w:jc w:val="center"/>
      </w:pPr>
      <w:r>
        <w:rPr>
          <w:sz w:val="20"/>
        </w:rPr>
        <w:t xml:space="preserve">Emission limit values for emissions into water</w:t>
      </w:r>
    </w:p>
    <w:p>
      <w:pPr>
        <w:pStyle w:val="0"/>
        <w:jc w:val="center"/>
      </w:pPr>
      <w:r>
        <w:rPr>
          <w:sz w:val="20"/>
        </w:rPr>
      </w:r>
    </w:p>
    <w:p>
      <w:pPr>
        <w:pStyle w:val="0"/>
        <w:ind w:firstLine="540"/>
        <w:jc w:val="both"/>
      </w:pPr>
      <w:r>
        <w:rPr>
          <w:sz w:val="20"/>
        </w:rPr>
        <w:t xml:space="preserve">1. In case of installations using the sulphate process (as an annual average): 550 kg of sulphate per tonne of titanium dioxide produced.</w:t>
      </w:r>
    </w:p>
    <w:p>
      <w:pPr>
        <w:pStyle w:val="0"/>
        <w:spacing w:before="200" w:line-rule="auto"/>
        <w:ind w:firstLine="540"/>
        <w:jc w:val="both"/>
      </w:pPr>
      <w:r>
        <w:rPr>
          <w:sz w:val="20"/>
        </w:rPr>
        <w:t xml:space="preserve">2. In case of installations using the chloride process (as an annual average):</w:t>
      </w:r>
    </w:p>
    <w:p>
      <w:pPr>
        <w:pStyle w:val="0"/>
        <w:spacing w:before="200" w:line-rule="auto"/>
        <w:ind w:firstLine="540"/>
        <w:jc w:val="both"/>
      </w:pPr>
      <w:r>
        <w:rPr>
          <w:sz w:val="20"/>
        </w:rPr>
        <w:t xml:space="preserve">(a) 130 kg chloride per tonne of titanium dioxide produced using neutral rutile,</w:t>
      </w:r>
    </w:p>
    <w:p>
      <w:pPr>
        <w:pStyle w:val="0"/>
        <w:spacing w:before="200" w:line-rule="auto"/>
        <w:ind w:firstLine="540"/>
        <w:jc w:val="both"/>
      </w:pPr>
      <w:r>
        <w:rPr>
          <w:sz w:val="20"/>
        </w:rPr>
        <w:t xml:space="preserve">(b) 228 kg chloride per tonne of titanium dioxide produced using synthetic rutile,</w:t>
      </w:r>
    </w:p>
    <w:p>
      <w:pPr>
        <w:pStyle w:val="0"/>
        <w:spacing w:before="200" w:line-rule="auto"/>
        <w:ind w:firstLine="540"/>
        <w:jc w:val="both"/>
      </w:pPr>
      <w:r>
        <w:rPr>
          <w:sz w:val="20"/>
        </w:rPr>
        <w:t xml:space="preserve">(c) 330 kg chloride per tonne of titanium dioxide produced using slag. Installations discharging into salt water (estuarine, coastal, open sea) may be subject to an emission limit value of 450 kg chloride per tonne of titanium dioxide produced using slag.</w:t>
      </w:r>
    </w:p>
    <w:p>
      <w:pPr>
        <w:pStyle w:val="0"/>
        <w:spacing w:before="200" w:line-rule="auto"/>
        <w:ind w:firstLine="540"/>
        <w:jc w:val="both"/>
      </w:pPr>
      <w:r>
        <w:rPr>
          <w:sz w:val="20"/>
        </w:rPr>
        <w:t xml:space="preserve">3. For installations using the chloride process and using more than one type of ore, the emission limit values in point 2 shall apply in proportion to the quantity of the ores used.</w:t>
      </w:r>
    </w:p>
    <w:p>
      <w:pPr>
        <w:pStyle w:val="0"/>
        <w:jc w:val="center"/>
      </w:pPr>
      <w:r>
        <w:rPr>
          <w:sz w:val="20"/>
        </w:rPr>
      </w:r>
    </w:p>
    <w:p>
      <w:pPr>
        <w:pStyle w:val="0"/>
        <w:outlineLvl w:val="1"/>
        <w:jc w:val="center"/>
      </w:pPr>
      <w:r>
        <w:rPr>
          <w:sz w:val="20"/>
        </w:rPr>
        <w:t xml:space="preserve">Part 2</w:t>
      </w:r>
    </w:p>
    <w:p>
      <w:pPr>
        <w:pStyle w:val="0"/>
        <w:jc w:val="center"/>
      </w:pPr>
      <w:r>
        <w:rPr>
          <w:sz w:val="20"/>
        </w:rPr>
      </w:r>
    </w:p>
    <w:p>
      <w:pPr>
        <w:pStyle w:val="0"/>
        <w:jc w:val="center"/>
      </w:pPr>
      <w:r>
        <w:rPr>
          <w:sz w:val="20"/>
        </w:rPr>
        <w:t xml:space="preserve">Emission limit values into air</w:t>
      </w:r>
    </w:p>
    <w:p>
      <w:pPr>
        <w:pStyle w:val="0"/>
        <w:jc w:val="center"/>
      </w:pPr>
      <w:r>
        <w:rPr>
          <w:sz w:val="20"/>
        </w:rPr>
      </w:r>
    </w:p>
    <w:p>
      <w:pPr>
        <w:pStyle w:val="1"/>
        <w:jc w:val="both"/>
      </w:pPr>
      <w:r>
        <w:rPr>
          <w:sz w:val="20"/>
        </w:rPr>
        <w:t xml:space="preserve">    1.  The  emission limit values which are expressed as concentrations in</w:t>
      </w:r>
    </w:p>
    <w:p>
      <w:pPr>
        <w:pStyle w:val="1"/>
        <w:jc w:val="both"/>
      </w:pPr>
      <w:r>
        <w:rPr>
          <w:sz w:val="20"/>
        </w:rPr>
        <w:t xml:space="preserve">                          3</w:t>
      </w:r>
    </w:p>
    <w:p>
      <w:pPr>
        <w:pStyle w:val="1"/>
        <w:jc w:val="both"/>
      </w:pPr>
      <w:r>
        <w:rPr>
          <w:sz w:val="20"/>
        </w:rPr>
        <w:t xml:space="preserve">mass  per  cubic meter (Nm ) shall be calculated at a temperature of 273,15</w:t>
      </w:r>
    </w:p>
    <w:p>
      <w:pPr>
        <w:pStyle w:val="1"/>
        <w:jc w:val="both"/>
      </w:pPr>
      <w:r>
        <w:rPr>
          <w:sz w:val="20"/>
        </w:rPr>
        <w:t xml:space="preserve">K, and a pressure of 101,3 kPa.</w:t>
      </w:r>
    </w:p>
    <w:p>
      <w:pPr>
        <w:pStyle w:val="1"/>
        <w:jc w:val="both"/>
      </w:pPr>
      <w:r>
        <w:rPr>
          <w:sz w:val="20"/>
        </w:rPr>
        <w:t xml:space="preserve">                          3</w:t>
      </w:r>
    </w:p>
    <w:p>
      <w:pPr>
        <w:pStyle w:val="1"/>
        <w:jc w:val="both"/>
      </w:pPr>
      <w:r>
        <w:rPr>
          <w:sz w:val="20"/>
        </w:rPr>
        <w:t xml:space="preserve">    2.  For dust: 50 mg/Nm  as an hourly average from major sources and 150</w:t>
      </w:r>
    </w:p>
    <w:p>
      <w:pPr>
        <w:pStyle w:val="1"/>
        <w:jc w:val="both"/>
      </w:pPr>
      <w:r>
        <w:rPr>
          <w:sz w:val="20"/>
        </w:rPr>
        <w:t xml:space="preserve">     3</w:t>
      </w:r>
    </w:p>
    <w:p>
      <w:pPr>
        <w:pStyle w:val="1"/>
        <w:jc w:val="both"/>
      </w:pPr>
      <w:r>
        <w:rPr>
          <w:sz w:val="20"/>
        </w:rPr>
        <w:t xml:space="preserve">mg/Nm  as an hourly average from any other source.</w:t>
      </w:r>
    </w:p>
    <w:p>
      <w:pPr>
        <w:pStyle w:val="1"/>
        <w:jc w:val="both"/>
      </w:pPr>
      <w:r>
        <w:rPr>
          <w:sz w:val="20"/>
        </w:rPr>
        <w:t xml:space="preserve">    3.  For  gaseous sulphur dioxide and trioxide discharged from digestion</w:t>
      </w:r>
    </w:p>
    <w:p>
      <w:pPr>
        <w:pStyle w:val="1"/>
        <w:jc w:val="both"/>
      </w:pPr>
      <w:r>
        <w:rPr>
          <w:sz w:val="20"/>
        </w:rPr>
        <w:t xml:space="preserve">and calcination, including acid droplets calculated as SO  equivalent:</w:t>
      </w:r>
    </w:p>
    <w:p>
      <w:pPr>
        <w:pStyle w:val="1"/>
        <w:jc w:val="both"/>
      </w:pPr>
      <w:r>
        <w:rPr>
          <w:sz w:val="20"/>
        </w:rPr>
        <w:t xml:space="preserve">                                                         2</w:t>
      </w:r>
    </w:p>
    <w:p>
      <w:pPr>
        <w:pStyle w:val="0"/>
        <w:ind w:firstLine="540"/>
        <w:jc w:val="both"/>
      </w:pPr>
      <w:r>
        <w:rPr>
          <w:sz w:val="20"/>
        </w:rPr>
        <w:t xml:space="preserve">(a) 6 kg per tonne of titanium dioxide produced as an annual average;</w:t>
      </w:r>
    </w:p>
    <w:p>
      <w:pPr>
        <w:pStyle w:val="1"/>
        <w:spacing w:before="200" w:line-rule="auto"/>
        <w:jc w:val="both"/>
      </w:pPr>
      <w:r>
        <w:rPr>
          <w:sz w:val="20"/>
        </w:rPr>
        <w:t xml:space="preserve">                 3</w:t>
      </w:r>
    </w:p>
    <w:p>
      <w:pPr>
        <w:pStyle w:val="1"/>
        <w:jc w:val="both"/>
      </w:pPr>
      <w:r>
        <w:rPr>
          <w:sz w:val="20"/>
        </w:rPr>
        <w:t xml:space="preserve">    (b) 500 mg/Nm  as an hourly average for plants for the concentration of</w:t>
      </w:r>
    </w:p>
    <w:p>
      <w:pPr>
        <w:pStyle w:val="1"/>
        <w:jc w:val="both"/>
      </w:pPr>
      <w:r>
        <w:rPr>
          <w:sz w:val="20"/>
        </w:rPr>
        <w:t xml:space="preserve">waste acid.</w:t>
      </w:r>
    </w:p>
    <w:p>
      <w:pPr>
        <w:pStyle w:val="0"/>
        <w:ind w:firstLine="540"/>
        <w:jc w:val="both"/>
      </w:pPr>
      <w:r>
        <w:rPr>
          <w:sz w:val="20"/>
        </w:rPr>
        <w:t xml:space="preserve">4. For chlorine in the case of installations using the chloride process:</w:t>
      </w:r>
    </w:p>
    <w:p>
      <w:pPr>
        <w:pStyle w:val="1"/>
        <w:spacing w:before="200" w:line-rule="auto"/>
        <w:jc w:val="both"/>
      </w:pPr>
      <w:r>
        <w:rPr>
          <w:sz w:val="20"/>
        </w:rPr>
        <w:t xml:space="preserve">               3</w:t>
      </w:r>
    </w:p>
    <w:p>
      <w:pPr>
        <w:pStyle w:val="1"/>
        <w:jc w:val="both"/>
      </w:pPr>
      <w:r>
        <w:rPr>
          <w:sz w:val="20"/>
        </w:rPr>
        <w:t xml:space="preserve">    (a) 5 mg/Nm  as a daily average;</w:t>
      </w:r>
    </w:p>
    <w:p>
      <w:pPr>
        <w:pStyle w:val="1"/>
        <w:jc w:val="both"/>
      </w:pPr>
      <w:r>
        <w:rPr>
          <w:sz w:val="20"/>
        </w:rPr>
        <w:t xml:space="preserve">                3</w:t>
      </w:r>
    </w:p>
    <w:p>
      <w:pPr>
        <w:pStyle w:val="1"/>
        <w:jc w:val="both"/>
      </w:pPr>
      <w:r>
        <w:rPr>
          <w:sz w:val="20"/>
        </w:rPr>
        <w:t xml:space="preserve">    (b) 40 mg/Nm  at any time.</w:t>
      </w:r>
    </w:p>
    <w:p>
      <w:pPr>
        <w:pStyle w:val="0"/>
        <w:ind w:firstLine="540"/>
        <w:jc w:val="both"/>
      </w:pPr>
      <w:r>
        <w:rPr>
          <w:sz w:val="20"/>
        </w:rPr>
      </w:r>
    </w:p>
    <w:p>
      <w:pPr>
        <w:pStyle w:val="0"/>
        <w:outlineLvl w:val="1"/>
        <w:jc w:val="center"/>
      </w:pPr>
      <w:r>
        <w:rPr>
          <w:sz w:val="20"/>
        </w:rPr>
        <w:t xml:space="preserve">Part 3</w:t>
      </w:r>
    </w:p>
    <w:p>
      <w:pPr>
        <w:pStyle w:val="0"/>
        <w:jc w:val="center"/>
      </w:pPr>
      <w:r>
        <w:rPr>
          <w:sz w:val="20"/>
        </w:rPr>
      </w:r>
    </w:p>
    <w:p>
      <w:pPr>
        <w:pStyle w:val="0"/>
        <w:jc w:val="center"/>
      </w:pPr>
      <w:r>
        <w:rPr>
          <w:sz w:val="20"/>
        </w:rPr>
        <w:t xml:space="preserve">Emission monitoring</w:t>
      </w:r>
    </w:p>
    <w:p>
      <w:pPr>
        <w:pStyle w:val="0"/>
        <w:jc w:val="center"/>
      </w:pPr>
      <w:r>
        <w:rPr>
          <w:sz w:val="20"/>
        </w:rPr>
      </w:r>
    </w:p>
    <w:p>
      <w:pPr>
        <w:pStyle w:val="0"/>
        <w:ind w:firstLine="540"/>
        <w:jc w:val="both"/>
      </w:pPr>
      <w:r>
        <w:rPr>
          <w:sz w:val="20"/>
        </w:rPr>
        <w:t xml:space="preserve">The monitoring of emissions into air shall include at least the continuous monitoring of:</w:t>
      </w:r>
    </w:p>
    <w:p>
      <w:pPr>
        <w:pStyle w:val="0"/>
        <w:spacing w:before="200" w:line-rule="auto"/>
        <w:ind w:firstLine="540"/>
        <w:jc w:val="both"/>
      </w:pPr>
      <w:r>
        <w:rPr>
          <w:sz w:val="20"/>
        </w:rPr>
        <w:t xml:space="preserve">(a) gaseous sulphur dioxide and trioxide discharged from digestion and calcination from plants for the concentration of waste acid in installations using the sulphate process;</w:t>
      </w:r>
    </w:p>
    <w:p>
      <w:pPr>
        <w:pStyle w:val="0"/>
        <w:spacing w:before="200" w:line-rule="auto"/>
        <w:ind w:firstLine="540"/>
        <w:jc w:val="both"/>
      </w:pPr>
      <w:r>
        <w:rPr>
          <w:sz w:val="20"/>
        </w:rPr>
        <w:t xml:space="preserve">(b) chlorine from major sources within installations using the chloride process;</w:t>
      </w:r>
    </w:p>
    <w:p>
      <w:pPr>
        <w:pStyle w:val="0"/>
        <w:spacing w:before="200" w:line-rule="auto"/>
        <w:ind w:firstLine="540"/>
        <w:jc w:val="both"/>
      </w:pPr>
      <w:r>
        <w:rPr>
          <w:sz w:val="20"/>
        </w:rPr>
        <w:t xml:space="preserve">(c) dust from major sources.</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Annex IX</w:t>
      </w:r>
    </w:p>
    <w:p>
      <w:pPr>
        <w:pStyle w:val="0"/>
        <w:jc w:val="right"/>
      </w:pPr>
      <w:r>
        <w:rPr>
          <w:sz w:val="20"/>
        </w:rPr>
      </w:r>
    </w:p>
    <w:p>
      <w:pPr>
        <w:pStyle w:val="0"/>
        <w:outlineLvl w:val="1"/>
        <w:jc w:val="center"/>
      </w:pPr>
      <w:r>
        <w:rPr>
          <w:sz w:val="20"/>
        </w:rPr>
        <w:t xml:space="preserve">Part A</w:t>
      </w:r>
    </w:p>
    <w:p>
      <w:pPr>
        <w:pStyle w:val="0"/>
        <w:jc w:val="center"/>
      </w:pPr>
      <w:r>
        <w:rPr>
          <w:sz w:val="20"/>
        </w:rPr>
      </w:r>
    </w:p>
    <w:p>
      <w:pPr>
        <w:pStyle w:val="0"/>
        <w:jc w:val="center"/>
      </w:pPr>
      <w:r>
        <w:rPr>
          <w:sz w:val="20"/>
        </w:rPr>
        <w:t xml:space="preserve">Repealed Directives with their successive amendments</w:t>
      </w:r>
    </w:p>
    <w:p>
      <w:pPr>
        <w:pStyle w:val="0"/>
        <w:jc w:val="center"/>
      </w:pPr>
      <w:r>
        <w:rPr>
          <w:sz w:val="20"/>
        </w:rPr>
        <w:t xml:space="preserve">(referred to in Article 81)</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6318"/>
        <w:gridCol w:w="2340"/>
      </w:tblGrid>
      <w:tr>
        <w:trPr>
          <w:trHeight w:val="240" w:hRule="atLeast"/>
        </w:trPr>
        <w:tc>
          <w:tcPr>
            <w:tcW w:w="6435" w:type="dxa"/>
          </w:tcPr>
          <w:p>
            <w:pPr>
              <w:pStyle w:val="1"/>
              <w:jc w:val="both"/>
            </w:pPr>
            <w:r>
              <w:rPr>
                <w:sz w:val="20"/>
              </w:rPr>
              <w:t xml:space="preserve">Council Directive 78/176/EEC                         </w:t>
            </w:r>
          </w:p>
          <w:p>
            <w:pPr>
              <w:pStyle w:val="1"/>
              <w:jc w:val="both"/>
            </w:pPr>
            <w:r>
              <w:rPr>
                <w:sz w:val="20"/>
              </w:rPr>
              <w:t xml:space="preserve">(OJ L 54, 25.2.1978, p. 19).                         </w:t>
            </w:r>
          </w:p>
        </w:tc>
        <w:tc>
          <w:tcPr>
            <w:tcW w:w="2457" w:type="dxa"/>
          </w:tcPr>
          <w:p>
            <w:pPr>
              <w:pStyle w:val="1"/>
              <w:jc w:val="both"/>
            </w:pPr>
            <w:r>
              <w:rPr>
                <w:sz w:val="20"/>
              </w:rPr>
            </w:r>
          </w:p>
        </w:tc>
      </w:tr>
      <w:tr>
        <w:trPr>
          <w:trHeight w:val="240" w:hRule="atLeast"/>
        </w:trPr>
        <w:tc>
          <w:tcPr>
            <w:tcW w:w="6435" w:type="dxa"/>
            <w:tcBorders>
              <w:top w:val="nil"/>
            </w:tcBorders>
          </w:tcPr>
          <w:p>
            <w:pPr>
              <w:pStyle w:val="1"/>
              <w:jc w:val="both"/>
            </w:pPr>
            <w:r>
              <w:rPr>
                <w:sz w:val="20"/>
              </w:rPr>
              <w:t xml:space="preserve">Council Directive 83/29/EEC                          </w:t>
            </w:r>
          </w:p>
          <w:p>
            <w:pPr>
              <w:pStyle w:val="1"/>
              <w:jc w:val="both"/>
            </w:pPr>
            <w:r>
              <w:rPr>
                <w:sz w:val="20"/>
              </w:rPr>
              <w:t xml:space="preserve">(OJ L 32, 3.2.1983, p. 28).                          </w:t>
            </w:r>
          </w:p>
        </w:tc>
        <w:tc>
          <w:tcPr>
            <w:tcW w:w="2457" w:type="dxa"/>
            <w:tcBorders>
              <w:top w:val="nil"/>
            </w:tcBorders>
          </w:tcPr>
          <w:p>
            <w:pPr>
              <w:pStyle w:val="1"/>
              <w:jc w:val="both"/>
            </w:pPr>
            <w:r>
              <w:rPr>
                <w:sz w:val="20"/>
              </w:rPr>
            </w:r>
          </w:p>
        </w:tc>
      </w:tr>
      <w:tr>
        <w:trPr>
          <w:trHeight w:val="240" w:hRule="atLeast"/>
        </w:trPr>
        <w:tc>
          <w:tcPr>
            <w:tcW w:w="6435" w:type="dxa"/>
            <w:tcBorders>
              <w:top w:val="nil"/>
            </w:tcBorders>
          </w:tcPr>
          <w:p>
            <w:pPr>
              <w:pStyle w:val="1"/>
              <w:jc w:val="both"/>
            </w:pPr>
            <w:r>
              <w:rPr>
                <w:sz w:val="20"/>
              </w:rPr>
              <w:t xml:space="preserve">Council Directive 91/692/EEC                         </w:t>
            </w:r>
          </w:p>
          <w:p>
            <w:pPr>
              <w:pStyle w:val="1"/>
              <w:jc w:val="both"/>
            </w:pPr>
            <w:r>
              <w:rPr>
                <w:sz w:val="20"/>
              </w:rPr>
              <w:t xml:space="preserve">(OJ L 377, 31.12.1991, p. 48).                       </w:t>
            </w:r>
          </w:p>
        </w:tc>
        <w:tc>
          <w:tcPr>
            <w:tcW w:w="2457" w:type="dxa"/>
            <w:tcBorders>
              <w:top w:val="nil"/>
            </w:tcBorders>
          </w:tcPr>
          <w:p>
            <w:pPr>
              <w:pStyle w:val="1"/>
              <w:jc w:val="both"/>
            </w:pPr>
            <w:r>
              <w:rPr>
                <w:sz w:val="20"/>
              </w:rPr>
              <w:t xml:space="preserve">only Annex I,      </w:t>
            </w:r>
          </w:p>
          <w:p>
            <w:pPr>
              <w:pStyle w:val="1"/>
              <w:jc w:val="both"/>
            </w:pPr>
            <w:r>
              <w:rPr>
                <w:sz w:val="20"/>
              </w:rPr>
              <w:t xml:space="preserve">point (b)          </w:t>
            </w:r>
          </w:p>
        </w:tc>
      </w:tr>
      <w:tr>
        <w:trPr>
          <w:trHeight w:val="240" w:hRule="atLeast"/>
        </w:trPr>
        <w:tc>
          <w:tcPr>
            <w:tcW w:w="6435" w:type="dxa"/>
            <w:tcBorders>
              <w:top w:val="nil"/>
            </w:tcBorders>
          </w:tcPr>
          <w:p>
            <w:pPr>
              <w:pStyle w:val="1"/>
              <w:jc w:val="both"/>
            </w:pPr>
            <w:r>
              <w:rPr>
                <w:sz w:val="20"/>
              </w:rPr>
              <w:t xml:space="preserve">Council Directive 82/883/EEC                         </w:t>
            </w:r>
          </w:p>
          <w:p>
            <w:pPr>
              <w:pStyle w:val="1"/>
              <w:jc w:val="both"/>
            </w:pPr>
            <w:r>
              <w:rPr>
                <w:sz w:val="20"/>
              </w:rPr>
              <w:t xml:space="preserve">(OJ L 378, 31.12.1982, p. 1).                        </w:t>
            </w:r>
          </w:p>
        </w:tc>
        <w:tc>
          <w:tcPr>
            <w:tcW w:w="2457" w:type="dxa"/>
            <w:tcBorders>
              <w:top w:val="nil"/>
            </w:tcBorders>
          </w:tcPr>
          <w:p>
            <w:pPr>
              <w:pStyle w:val="1"/>
              <w:jc w:val="both"/>
            </w:pPr>
            <w:r>
              <w:rPr>
                <w:sz w:val="20"/>
              </w:rPr>
            </w:r>
          </w:p>
        </w:tc>
      </w:tr>
      <w:tr>
        <w:trPr>
          <w:trHeight w:val="240" w:hRule="atLeast"/>
        </w:trPr>
        <w:tc>
          <w:tcPr>
            <w:tcW w:w="6435" w:type="dxa"/>
            <w:tcBorders>
              <w:top w:val="nil"/>
            </w:tcBorders>
          </w:tcPr>
          <w:p>
            <w:pPr>
              <w:pStyle w:val="1"/>
              <w:jc w:val="both"/>
            </w:pPr>
            <w:r>
              <w:rPr>
                <w:sz w:val="20"/>
              </w:rPr>
              <w:t xml:space="preserve">Act of Accession of 1985                             </w:t>
            </w:r>
          </w:p>
        </w:tc>
        <w:tc>
          <w:tcPr>
            <w:tcW w:w="2457" w:type="dxa"/>
            <w:tcBorders>
              <w:top w:val="nil"/>
            </w:tcBorders>
          </w:tcPr>
          <w:p>
            <w:pPr>
              <w:pStyle w:val="1"/>
              <w:jc w:val="both"/>
            </w:pPr>
            <w:r>
              <w:rPr>
                <w:sz w:val="20"/>
              </w:rPr>
              <w:t xml:space="preserve">only Annex I,      </w:t>
            </w:r>
          </w:p>
          <w:p>
            <w:pPr>
              <w:pStyle w:val="1"/>
              <w:jc w:val="both"/>
            </w:pPr>
            <w:r>
              <w:rPr>
                <w:sz w:val="20"/>
              </w:rPr>
              <w:t xml:space="preserve">point X.1 (o)      </w:t>
            </w:r>
          </w:p>
        </w:tc>
      </w:tr>
      <w:tr>
        <w:trPr>
          <w:trHeight w:val="240" w:hRule="atLeast"/>
        </w:trPr>
        <w:tc>
          <w:tcPr>
            <w:tcW w:w="6435" w:type="dxa"/>
            <w:tcBorders>
              <w:top w:val="nil"/>
            </w:tcBorders>
          </w:tcPr>
          <w:p>
            <w:pPr>
              <w:pStyle w:val="1"/>
              <w:jc w:val="both"/>
            </w:pPr>
            <w:r>
              <w:rPr>
                <w:sz w:val="20"/>
              </w:rPr>
              <w:t xml:space="preserve">Act of Accession of 1994                             </w:t>
            </w:r>
          </w:p>
        </w:tc>
        <w:tc>
          <w:tcPr>
            <w:tcW w:w="2457" w:type="dxa"/>
            <w:tcBorders>
              <w:top w:val="nil"/>
            </w:tcBorders>
          </w:tcPr>
          <w:p>
            <w:pPr>
              <w:pStyle w:val="1"/>
              <w:jc w:val="both"/>
            </w:pPr>
            <w:r>
              <w:rPr>
                <w:sz w:val="20"/>
              </w:rPr>
              <w:t xml:space="preserve">only Annex I,      </w:t>
            </w:r>
          </w:p>
          <w:p>
            <w:pPr>
              <w:pStyle w:val="1"/>
              <w:jc w:val="both"/>
            </w:pPr>
            <w:r>
              <w:rPr>
                <w:sz w:val="20"/>
              </w:rPr>
              <w:t xml:space="preserve">point VIII.A.6     </w:t>
            </w:r>
          </w:p>
        </w:tc>
      </w:tr>
      <w:tr>
        <w:trPr>
          <w:trHeight w:val="240" w:hRule="atLeast"/>
        </w:trPr>
        <w:tc>
          <w:tcPr>
            <w:tcW w:w="6435" w:type="dxa"/>
            <w:tcBorders>
              <w:top w:val="nil"/>
            </w:tcBorders>
          </w:tcPr>
          <w:p>
            <w:pPr>
              <w:pStyle w:val="1"/>
              <w:jc w:val="both"/>
            </w:pPr>
            <w:r>
              <w:rPr>
                <w:sz w:val="20"/>
              </w:rPr>
              <w:t xml:space="preserve">Council Regulation (EC) No 807/2003                  </w:t>
            </w:r>
          </w:p>
          <w:p>
            <w:pPr>
              <w:pStyle w:val="1"/>
              <w:jc w:val="both"/>
            </w:pPr>
            <w:r>
              <w:rPr>
                <w:sz w:val="20"/>
              </w:rPr>
              <w:t xml:space="preserve">(OJ L 122, 16.5.2003, p. 36).                        </w:t>
            </w:r>
          </w:p>
        </w:tc>
        <w:tc>
          <w:tcPr>
            <w:tcW w:w="2457" w:type="dxa"/>
            <w:tcBorders>
              <w:top w:val="nil"/>
            </w:tcBorders>
          </w:tcPr>
          <w:p>
            <w:pPr>
              <w:pStyle w:val="1"/>
              <w:jc w:val="both"/>
            </w:pPr>
            <w:r>
              <w:rPr>
                <w:sz w:val="20"/>
              </w:rPr>
              <w:t xml:space="preserve">only Annex III,    </w:t>
            </w:r>
          </w:p>
          <w:p>
            <w:pPr>
              <w:pStyle w:val="1"/>
              <w:jc w:val="both"/>
            </w:pPr>
            <w:r>
              <w:rPr>
                <w:sz w:val="20"/>
              </w:rPr>
              <w:t xml:space="preserve">point 34           </w:t>
            </w:r>
          </w:p>
        </w:tc>
      </w:tr>
      <w:tr>
        <w:trPr>
          <w:trHeight w:val="240" w:hRule="atLeast"/>
        </w:trPr>
        <w:tc>
          <w:tcPr>
            <w:tcW w:w="6435" w:type="dxa"/>
            <w:tcBorders>
              <w:top w:val="nil"/>
            </w:tcBorders>
          </w:tcPr>
          <w:p>
            <w:pPr>
              <w:pStyle w:val="1"/>
              <w:jc w:val="both"/>
            </w:pPr>
            <w:r>
              <w:rPr>
                <w:sz w:val="20"/>
              </w:rPr>
              <w:t xml:space="preserve">Regulation (EC) No 219/2009 of the European          </w:t>
            </w:r>
          </w:p>
          <w:p>
            <w:pPr>
              <w:pStyle w:val="1"/>
              <w:jc w:val="both"/>
            </w:pPr>
            <w:r>
              <w:rPr>
                <w:sz w:val="20"/>
              </w:rPr>
              <w:t xml:space="preserve">Parliament and of the Council                        </w:t>
            </w:r>
          </w:p>
          <w:p>
            <w:pPr>
              <w:pStyle w:val="1"/>
              <w:jc w:val="both"/>
            </w:pPr>
            <w:r>
              <w:rPr>
                <w:sz w:val="20"/>
              </w:rPr>
              <w:t xml:space="preserve">(OJ L 87, 31.3.2009, p. 109).                        </w:t>
            </w:r>
          </w:p>
        </w:tc>
        <w:tc>
          <w:tcPr>
            <w:tcW w:w="2457" w:type="dxa"/>
            <w:tcBorders>
              <w:top w:val="nil"/>
            </w:tcBorders>
          </w:tcPr>
          <w:p>
            <w:pPr>
              <w:pStyle w:val="1"/>
              <w:jc w:val="both"/>
            </w:pPr>
            <w:r>
              <w:rPr>
                <w:sz w:val="20"/>
              </w:rPr>
              <w:t xml:space="preserve">only Annex, point  </w:t>
            </w:r>
          </w:p>
          <w:p>
            <w:pPr>
              <w:pStyle w:val="1"/>
              <w:jc w:val="both"/>
            </w:pPr>
            <w:r>
              <w:rPr>
                <w:sz w:val="20"/>
              </w:rPr>
              <w:t xml:space="preserve">3.1                </w:t>
            </w:r>
          </w:p>
        </w:tc>
      </w:tr>
      <w:tr>
        <w:trPr>
          <w:trHeight w:val="240" w:hRule="atLeast"/>
        </w:trPr>
        <w:tc>
          <w:tcPr>
            <w:tcW w:w="6435" w:type="dxa"/>
            <w:tcBorders>
              <w:top w:val="nil"/>
            </w:tcBorders>
          </w:tcPr>
          <w:p>
            <w:pPr>
              <w:pStyle w:val="1"/>
              <w:jc w:val="both"/>
            </w:pPr>
            <w:r>
              <w:rPr>
                <w:sz w:val="20"/>
              </w:rPr>
              <w:t xml:space="preserve">Council Directive 92/112/EEC                         </w:t>
            </w:r>
          </w:p>
          <w:p>
            <w:pPr>
              <w:pStyle w:val="1"/>
              <w:jc w:val="both"/>
            </w:pPr>
            <w:r>
              <w:rPr>
                <w:sz w:val="20"/>
              </w:rPr>
              <w:t xml:space="preserve">(OJ L 409, 31.12.1992, p. 11).                       </w:t>
            </w:r>
          </w:p>
        </w:tc>
        <w:tc>
          <w:tcPr>
            <w:tcW w:w="2457" w:type="dxa"/>
            <w:tcBorders>
              <w:top w:val="nil"/>
            </w:tcBorders>
          </w:tcPr>
          <w:p>
            <w:pPr>
              <w:pStyle w:val="1"/>
              <w:jc w:val="both"/>
            </w:pPr>
            <w:r>
              <w:rPr>
                <w:sz w:val="20"/>
              </w:rPr>
            </w:r>
          </w:p>
        </w:tc>
      </w:tr>
      <w:tr>
        <w:trPr>
          <w:trHeight w:val="240" w:hRule="atLeast"/>
        </w:trPr>
        <w:tc>
          <w:tcPr>
            <w:tcW w:w="6435" w:type="dxa"/>
            <w:tcBorders>
              <w:top w:val="nil"/>
            </w:tcBorders>
          </w:tcPr>
          <w:p>
            <w:pPr>
              <w:pStyle w:val="1"/>
              <w:jc w:val="both"/>
            </w:pPr>
            <w:r>
              <w:rPr>
                <w:sz w:val="20"/>
              </w:rPr>
              <w:t xml:space="preserve">Council Directive 1999/13/EC                         </w:t>
            </w:r>
          </w:p>
          <w:p>
            <w:pPr>
              <w:pStyle w:val="1"/>
              <w:jc w:val="both"/>
            </w:pPr>
            <w:r>
              <w:rPr>
                <w:sz w:val="20"/>
              </w:rPr>
              <w:t xml:space="preserve">(OJ L 85, 29.3.1999, p. 1).                          </w:t>
            </w:r>
          </w:p>
        </w:tc>
        <w:tc>
          <w:tcPr>
            <w:tcW w:w="2457" w:type="dxa"/>
            <w:tcBorders>
              <w:top w:val="nil"/>
            </w:tcBorders>
          </w:tcPr>
          <w:p>
            <w:pPr>
              <w:pStyle w:val="1"/>
              <w:jc w:val="both"/>
            </w:pPr>
            <w:r>
              <w:rPr>
                <w:sz w:val="20"/>
              </w:rPr>
            </w:r>
          </w:p>
        </w:tc>
      </w:tr>
      <w:tr>
        <w:trPr>
          <w:trHeight w:val="240" w:hRule="atLeast"/>
        </w:trPr>
        <w:tc>
          <w:tcPr>
            <w:tcW w:w="6435" w:type="dxa"/>
            <w:tcBorders>
              <w:top w:val="nil"/>
            </w:tcBorders>
          </w:tcPr>
          <w:p>
            <w:pPr>
              <w:pStyle w:val="1"/>
              <w:jc w:val="both"/>
            </w:pPr>
            <w:r>
              <w:rPr>
                <w:sz w:val="20"/>
              </w:rPr>
              <w:t xml:space="preserve">Regulation (EC) No 1882/2003 of the European         </w:t>
            </w:r>
          </w:p>
          <w:p>
            <w:pPr>
              <w:pStyle w:val="1"/>
              <w:jc w:val="both"/>
            </w:pPr>
            <w:r>
              <w:rPr>
                <w:sz w:val="20"/>
              </w:rPr>
              <w:t xml:space="preserve">Parliament and of the Council                        </w:t>
            </w:r>
          </w:p>
          <w:p>
            <w:pPr>
              <w:pStyle w:val="1"/>
              <w:jc w:val="both"/>
            </w:pPr>
            <w:r>
              <w:rPr>
                <w:sz w:val="20"/>
              </w:rPr>
              <w:t xml:space="preserve">(OJ L 284, 31.10.2003, p. 1).                        </w:t>
            </w:r>
          </w:p>
        </w:tc>
        <w:tc>
          <w:tcPr>
            <w:tcW w:w="2457" w:type="dxa"/>
            <w:tcBorders>
              <w:top w:val="nil"/>
            </w:tcBorders>
          </w:tcPr>
          <w:p>
            <w:pPr>
              <w:pStyle w:val="1"/>
              <w:jc w:val="both"/>
            </w:pPr>
            <w:r>
              <w:rPr>
                <w:sz w:val="20"/>
              </w:rPr>
              <w:t xml:space="preserve">only Annex I,      </w:t>
            </w:r>
          </w:p>
          <w:p>
            <w:pPr>
              <w:pStyle w:val="1"/>
              <w:jc w:val="both"/>
            </w:pPr>
            <w:r>
              <w:rPr>
                <w:sz w:val="20"/>
              </w:rPr>
              <w:t xml:space="preserve">point 17           </w:t>
            </w:r>
          </w:p>
        </w:tc>
      </w:tr>
      <w:tr>
        <w:trPr>
          <w:trHeight w:val="240" w:hRule="atLeast"/>
        </w:trPr>
        <w:tc>
          <w:tcPr>
            <w:tcW w:w="6435" w:type="dxa"/>
            <w:tcBorders>
              <w:top w:val="nil"/>
            </w:tcBorders>
          </w:tcPr>
          <w:p>
            <w:pPr>
              <w:pStyle w:val="1"/>
              <w:jc w:val="both"/>
            </w:pPr>
            <w:r>
              <w:rPr>
                <w:sz w:val="20"/>
              </w:rPr>
              <w:t xml:space="preserve">Directive 2004/42/EC of the European Parliament      </w:t>
            </w:r>
          </w:p>
          <w:p>
            <w:pPr>
              <w:pStyle w:val="1"/>
              <w:jc w:val="both"/>
            </w:pPr>
            <w:r>
              <w:rPr>
                <w:sz w:val="20"/>
              </w:rPr>
              <w:t xml:space="preserve">and of the Council                                   </w:t>
            </w:r>
          </w:p>
          <w:p>
            <w:pPr>
              <w:pStyle w:val="1"/>
              <w:jc w:val="both"/>
            </w:pPr>
            <w:r>
              <w:rPr>
                <w:sz w:val="20"/>
              </w:rPr>
              <w:t xml:space="preserve">(OJ L 143, 30.4.2004, p. 87).                        </w:t>
            </w:r>
          </w:p>
        </w:tc>
        <w:tc>
          <w:tcPr>
            <w:tcW w:w="2457" w:type="dxa"/>
            <w:tcBorders>
              <w:top w:val="nil"/>
            </w:tcBorders>
          </w:tcPr>
          <w:p>
            <w:pPr>
              <w:pStyle w:val="1"/>
              <w:jc w:val="both"/>
            </w:pPr>
            <w:r>
              <w:rPr>
                <w:sz w:val="20"/>
              </w:rPr>
              <w:t xml:space="preserve">only Article 13 (1)</w:t>
            </w:r>
          </w:p>
        </w:tc>
      </w:tr>
      <w:tr>
        <w:trPr>
          <w:trHeight w:val="240" w:hRule="atLeast"/>
        </w:trPr>
        <w:tc>
          <w:tcPr>
            <w:tcW w:w="6435" w:type="dxa"/>
            <w:tcBorders>
              <w:top w:val="nil"/>
            </w:tcBorders>
          </w:tcPr>
          <w:p>
            <w:pPr>
              <w:pStyle w:val="1"/>
              <w:jc w:val="both"/>
            </w:pPr>
            <w:r>
              <w:rPr>
                <w:sz w:val="20"/>
              </w:rPr>
              <w:t xml:space="preserve">Directive 2008/112/EC of the European Parliament     </w:t>
            </w:r>
          </w:p>
          <w:p>
            <w:pPr>
              <w:pStyle w:val="1"/>
              <w:jc w:val="both"/>
            </w:pPr>
            <w:r>
              <w:rPr>
                <w:sz w:val="20"/>
              </w:rPr>
              <w:t xml:space="preserve">and of the Council                                   </w:t>
            </w:r>
          </w:p>
          <w:p>
            <w:pPr>
              <w:pStyle w:val="1"/>
              <w:jc w:val="both"/>
            </w:pPr>
            <w:r>
              <w:rPr>
                <w:sz w:val="20"/>
              </w:rPr>
              <w:t xml:space="preserve">(OJ L 345, 23.12.2008, p. 68).                       </w:t>
            </w:r>
          </w:p>
        </w:tc>
        <w:tc>
          <w:tcPr>
            <w:tcW w:w="2457" w:type="dxa"/>
            <w:tcBorders>
              <w:top w:val="nil"/>
            </w:tcBorders>
          </w:tcPr>
          <w:p>
            <w:pPr>
              <w:pStyle w:val="1"/>
              <w:jc w:val="both"/>
            </w:pPr>
            <w:r>
              <w:rPr>
                <w:sz w:val="20"/>
              </w:rPr>
              <w:t xml:space="preserve">only Article 3     </w:t>
            </w:r>
          </w:p>
        </w:tc>
      </w:tr>
      <w:tr>
        <w:trPr>
          <w:trHeight w:val="240" w:hRule="atLeast"/>
        </w:trPr>
        <w:tc>
          <w:tcPr>
            <w:tcW w:w="6435" w:type="dxa"/>
            <w:tcBorders>
              <w:top w:val="nil"/>
            </w:tcBorders>
          </w:tcPr>
          <w:p>
            <w:pPr>
              <w:pStyle w:val="1"/>
              <w:jc w:val="both"/>
            </w:pPr>
            <w:r>
              <w:rPr>
                <w:sz w:val="20"/>
              </w:rPr>
              <w:t xml:space="preserve">Directive 2000/76/EC of the European Parliament      </w:t>
            </w:r>
          </w:p>
          <w:p>
            <w:pPr>
              <w:pStyle w:val="1"/>
              <w:jc w:val="both"/>
            </w:pPr>
            <w:r>
              <w:rPr>
                <w:sz w:val="20"/>
              </w:rPr>
              <w:t xml:space="preserve">and of the Council                                   </w:t>
            </w:r>
          </w:p>
          <w:p>
            <w:pPr>
              <w:pStyle w:val="1"/>
              <w:jc w:val="both"/>
            </w:pPr>
            <w:r>
              <w:rPr>
                <w:sz w:val="20"/>
              </w:rPr>
              <w:t xml:space="preserve">(OJ L 332, 28.12.2000, p. 91).                       </w:t>
            </w:r>
          </w:p>
        </w:tc>
        <w:tc>
          <w:tcPr>
            <w:tcW w:w="2457" w:type="dxa"/>
            <w:tcBorders>
              <w:top w:val="nil"/>
            </w:tcBorders>
          </w:tcPr>
          <w:p>
            <w:pPr>
              <w:pStyle w:val="1"/>
              <w:jc w:val="both"/>
            </w:pPr>
            <w:r>
              <w:rPr>
                <w:sz w:val="20"/>
              </w:rPr>
            </w:r>
          </w:p>
        </w:tc>
      </w:tr>
      <w:tr>
        <w:trPr>
          <w:trHeight w:val="240" w:hRule="atLeast"/>
        </w:trPr>
        <w:tc>
          <w:tcPr>
            <w:tcW w:w="6435" w:type="dxa"/>
            <w:tcBorders>
              <w:top w:val="nil"/>
            </w:tcBorders>
          </w:tcPr>
          <w:p>
            <w:pPr>
              <w:pStyle w:val="1"/>
              <w:jc w:val="both"/>
            </w:pPr>
            <w:r>
              <w:rPr>
                <w:sz w:val="20"/>
              </w:rPr>
              <w:t xml:space="preserve">Regulation (EC) No 1137/2008 of the European         </w:t>
            </w:r>
          </w:p>
          <w:p>
            <w:pPr>
              <w:pStyle w:val="1"/>
              <w:jc w:val="both"/>
            </w:pPr>
            <w:r>
              <w:rPr>
                <w:sz w:val="20"/>
              </w:rPr>
              <w:t xml:space="preserve">Parliament and of the Council                        </w:t>
            </w:r>
          </w:p>
          <w:p>
            <w:pPr>
              <w:pStyle w:val="1"/>
              <w:jc w:val="both"/>
            </w:pPr>
            <w:r>
              <w:rPr>
                <w:sz w:val="20"/>
              </w:rPr>
              <w:t xml:space="preserve">(OJ L 311, 21.11.2008, p. 1).                        </w:t>
            </w:r>
          </w:p>
        </w:tc>
        <w:tc>
          <w:tcPr>
            <w:tcW w:w="2457" w:type="dxa"/>
            <w:tcBorders>
              <w:top w:val="nil"/>
            </w:tcBorders>
          </w:tcPr>
          <w:p>
            <w:pPr>
              <w:pStyle w:val="1"/>
              <w:jc w:val="both"/>
            </w:pPr>
            <w:r>
              <w:rPr>
                <w:sz w:val="20"/>
              </w:rPr>
              <w:t xml:space="preserve">only Annex, point  </w:t>
            </w:r>
          </w:p>
          <w:p>
            <w:pPr>
              <w:pStyle w:val="1"/>
              <w:jc w:val="both"/>
            </w:pPr>
            <w:r>
              <w:rPr>
                <w:sz w:val="20"/>
              </w:rPr>
              <w:t xml:space="preserve">4.8                </w:t>
            </w:r>
          </w:p>
        </w:tc>
      </w:tr>
      <w:tr>
        <w:trPr>
          <w:trHeight w:val="240" w:hRule="atLeast"/>
        </w:trPr>
        <w:tc>
          <w:tcPr>
            <w:tcW w:w="6435" w:type="dxa"/>
            <w:tcBorders>
              <w:top w:val="nil"/>
            </w:tcBorders>
          </w:tcPr>
          <w:p>
            <w:pPr>
              <w:pStyle w:val="1"/>
              <w:jc w:val="both"/>
            </w:pPr>
            <w:r>
              <w:rPr>
                <w:sz w:val="20"/>
              </w:rPr>
              <w:t xml:space="preserve">Directive 2001/80/EC of the European Parliament      </w:t>
            </w:r>
          </w:p>
          <w:p>
            <w:pPr>
              <w:pStyle w:val="1"/>
              <w:jc w:val="both"/>
            </w:pPr>
            <w:r>
              <w:rPr>
                <w:sz w:val="20"/>
              </w:rPr>
              <w:t xml:space="preserve">and of the Council                                   </w:t>
            </w:r>
          </w:p>
          <w:p>
            <w:pPr>
              <w:pStyle w:val="1"/>
              <w:jc w:val="both"/>
            </w:pPr>
            <w:r>
              <w:rPr>
                <w:sz w:val="20"/>
              </w:rPr>
              <w:t xml:space="preserve">(OJ L 309, 27.11.2001, p. 1).                        </w:t>
            </w:r>
          </w:p>
        </w:tc>
        <w:tc>
          <w:tcPr>
            <w:tcW w:w="2457" w:type="dxa"/>
            <w:tcBorders>
              <w:top w:val="nil"/>
            </w:tcBorders>
          </w:tcPr>
          <w:p>
            <w:pPr>
              <w:pStyle w:val="1"/>
              <w:jc w:val="both"/>
            </w:pPr>
            <w:r>
              <w:rPr>
                <w:sz w:val="20"/>
              </w:rPr>
            </w:r>
          </w:p>
        </w:tc>
      </w:tr>
      <w:tr>
        <w:trPr>
          <w:trHeight w:val="240" w:hRule="atLeast"/>
        </w:trPr>
        <w:tc>
          <w:tcPr>
            <w:tcW w:w="6435" w:type="dxa"/>
            <w:tcBorders>
              <w:top w:val="nil"/>
            </w:tcBorders>
          </w:tcPr>
          <w:p>
            <w:pPr>
              <w:pStyle w:val="1"/>
              <w:jc w:val="both"/>
            </w:pPr>
            <w:r>
              <w:rPr>
                <w:sz w:val="20"/>
              </w:rPr>
              <w:t xml:space="preserve">Council Directive 2006/105/EC                        </w:t>
            </w:r>
          </w:p>
          <w:p>
            <w:pPr>
              <w:pStyle w:val="1"/>
              <w:jc w:val="both"/>
            </w:pPr>
            <w:r>
              <w:rPr>
                <w:sz w:val="20"/>
              </w:rPr>
              <w:t xml:space="preserve">(OJ L 363, 20.12.2006, p. 368).                      </w:t>
            </w:r>
          </w:p>
        </w:tc>
        <w:tc>
          <w:tcPr>
            <w:tcW w:w="2457" w:type="dxa"/>
            <w:tcBorders>
              <w:top w:val="nil"/>
            </w:tcBorders>
          </w:tcPr>
          <w:p>
            <w:pPr>
              <w:pStyle w:val="1"/>
              <w:jc w:val="both"/>
            </w:pPr>
            <w:r>
              <w:rPr>
                <w:sz w:val="20"/>
              </w:rPr>
              <w:t xml:space="preserve">only Annex, part B,</w:t>
            </w:r>
          </w:p>
          <w:p>
            <w:pPr>
              <w:pStyle w:val="1"/>
              <w:jc w:val="both"/>
            </w:pPr>
            <w:r>
              <w:rPr>
                <w:sz w:val="20"/>
              </w:rPr>
              <w:t xml:space="preserve">point 2            </w:t>
            </w:r>
          </w:p>
        </w:tc>
      </w:tr>
      <w:tr>
        <w:trPr>
          <w:trHeight w:val="240" w:hRule="atLeast"/>
        </w:trPr>
        <w:tc>
          <w:tcPr>
            <w:tcW w:w="6435" w:type="dxa"/>
            <w:tcBorders>
              <w:top w:val="nil"/>
            </w:tcBorders>
          </w:tcPr>
          <w:p>
            <w:pPr>
              <w:pStyle w:val="1"/>
              <w:jc w:val="both"/>
            </w:pPr>
            <w:r>
              <w:rPr>
                <w:sz w:val="20"/>
              </w:rPr>
              <w:t xml:space="preserve">Directive 2009/31/EC of the European Parliament      </w:t>
            </w:r>
          </w:p>
          <w:p>
            <w:pPr>
              <w:pStyle w:val="1"/>
              <w:jc w:val="both"/>
            </w:pPr>
            <w:r>
              <w:rPr>
                <w:sz w:val="20"/>
              </w:rPr>
              <w:t xml:space="preserve">and of the Council                                   </w:t>
            </w:r>
          </w:p>
          <w:p>
            <w:pPr>
              <w:pStyle w:val="1"/>
              <w:jc w:val="both"/>
            </w:pPr>
            <w:r>
              <w:rPr>
                <w:sz w:val="20"/>
              </w:rPr>
              <w:t xml:space="preserve">(OJ L 140, 5.6.2009, p. 114).                        </w:t>
            </w:r>
          </w:p>
        </w:tc>
        <w:tc>
          <w:tcPr>
            <w:tcW w:w="2457" w:type="dxa"/>
            <w:tcBorders>
              <w:top w:val="nil"/>
            </w:tcBorders>
          </w:tcPr>
          <w:p>
            <w:pPr>
              <w:pStyle w:val="1"/>
              <w:jc w:val="both"/>
            </w:pPr>
            <w:r>
              <w:rPr>
                <w:sz w:val="20"/>
              </w:rPr>
              <w:t xml:space="preserve">only Article 33    </w:t>
            </w:r>
          </w:p>
        </w:tc>
      </w:tr>
      <w:tr>
        <w:trPr>
          <w:trHeight w:val="240" w:hRule="atLeast"/>
        </w:trPr>
        <w:tc>
          <w:tcPr>
            <w:tcW w:w="6435" w:type="dxa"/>
            <w:tcBorders>
              <w:top w:val="nil"/>
            </w:tcBorders>
          </w:tcPr>
          <w:p>
            <w:pPr>
              <w:pStyle w:val="1"/>
              <w:jc w:val="both"/>
            </w:pPr>
            <w:r>
              <w:rPr>
                <w:sz w:val="20"/>
              </w:rPr>
              <w:t xml:space="preserve">Directive 2008/1/EC of the European Parliament       </w:t>
            </w:r>
          </w:p>
          <w:p>
            <w:pPr>
              <w:pStyle w:val="1"/>
              <w:jc w:val="both"/>
            </w:pPr>
            <w:r>
              <w:rPr>
                <w:sz w:val="20"/>
              </w:rPr>
              <w:t xml:space="preserve">and of the Council                                   </w:t>
            </w:r>
          </w:p>
          <w:p>
            <w:pPr>
              <w:pStyle w:val="1"/>
              <w:jc w:val="both"/>
            </w:pPr>
            <w:r>
              <w:rPr>
                <w:sz w:val="20"/>
              </w:rPr>
              <w:t xml:space="preserve">(OJ L 24, 29.1.2008, p. 8).                          </w:t>
            </w:r>
          </w:p>
        </w:tc>
        <w:tc>
          <w:tcPr>
            <w:tcW w:w="2457" w:type="dxa"/>
            <w:tcBorders>
              <w:top w:val="nil"/>
            </w:tcBorders>
          </w:tcPr>
          <w:p>
            <w:pPr>
              <w:pStyle w:val="1"/>
              <w:jc w:val="both"/>
            </w:pPr>
            <w:r>
              <w:rPr>
                <w:sz w:val="20"/>
              </w:rPr>
            </w:r>
          </w:p>
        </w:tc>
      </w:tr>
      <w:tr>
        <w:trPr>
          <w:trHeight w:val="240" w:hRule="atLeast"/>
        </w:trPr>
        <w:tc>
          <w:tcPr>
            <w:tcW w:w="6435" w:type="dxa"/>
            <w:tcBorders>
              <w:top w:val="nil"/>
            </w:tcBorders>
          </w:tcPr>
          <w:p>
            <w:pPr>
              <w:pStyle w:val="1"/>
              <w:jc w:val="both"/>
            </w:pPr>
            <w:r>
              <w:rPr>
                <w:sz w:val="20"/>
              </w:rPr>
              <w:t xml:space="preserve">Directive 2009/31/EC of the European Parliament      </w:t>
            </w:r>
          </w:p>
          <w:p>
            <w:pPr>
              <w:pStyle w:val="1"/>
              <w:jc w:val="both"/>
            </w:pPr>
            <w:r>
              <w:rPr>
                <w:sz w:val="20"/>
              </w:rPr>
              <w:t xml:space="preserve">and of the Council                                   </w:t>
            </w:r>
          </w:p>
          <w:p>
            <w:pPr>
              <w:pStyle w:val="1"/>
              <w:jc w:val="both"/>
            </w:pPr>
            <w:r>
              <w:rPr>
                <w:sz w:val="20"/>
              </w:rPr>
              <w:t xml:space="preserve">(OJ L 140, 5.6.2009, p. 114).                        </w:t>
            </w:r>
          </w:p>
        </w:tc>
        <w:tc>
          <w:tcPr>
            <w:tcW w:w="2457" w:type="dxa"/>
            <w:tcBorders>
              <w:top w:val="nil"/>
            </w:tcBorders>
          </w:tcPr>
          <w:p>
            <w:pPr>
              <w:pStyle w:val="1"/>
              <w:jc w:val="both"/>
            </w:pPr>
            <w:r>
              <w:rPr>
                <w:sz w:val="20"/>
              </w:rPr>
              <w:t xml:space="preserve">only Article 37    </w:t>
            </w:r>
          </w:p>
        </w:tc>
      </w:tr>
    </w:tbl>
    <w:p>
      <w:pPr>
        <w:pStyle w:val="0"/>
        <w:jc w:val="center"/>
      </w:pPr>
      <w:r>
        <w:rPr>
          <w:sz w:val="20"/>
        </w:rPr>
      </w:r>
    </w:p>
    <w:p>
      <w:pPr>
        <w:pStyle w:val="0"/>
        <w:outlineLvl w:val="1"/>
        <w:jc w:val="center"/>
      </w:pPr>
      <w:r>
        <w:rPr>
          <w:sz w:val="20"/>
        </w:rPr>
        <w:t xml:space="preserve">Part B</w:t>
      </w:r>
    </w:p>
    <w:p>
      <w:pPr>
        <w:pStyle w:val="0"/>
        <w:jc w:val="center"/>
      </w:pPr>
      <w:r>
        <w:rPr>
          <w:sz w:val="20"/>
        </w:rPr>
      </w:r>
    </w:p>
    <w:p>
      <w:pPr>
        <w:pStyle w:val="0"/>
        <w:jc w:val="center"/>
      </w:pPr>
      <w:r>
        <w:rPr>
          <w:sz w:val="20"/>
        </w:rPr>
        <w:t xml:space="preserve">List of time-limits for transposition into national</w:t>
      </w:r>
    </w:p>
    <w:p>
      <w:pPr>
        <w:pStyle w:val="0"/>
        <w:jc w:val="center"/>
      </w:pPr>
      <w:r>
        <w:rPr>
          <w:sz w:val="20"/>
        </w:rPr>
        <w:t xml:space="preserve">law and application (referred to in Article 81)</w:t>
      </w:r>
    </w:p>
    <w:p>
      <w:pPr>
        <w:pStyle w:val="0"/>
        <w:jc w:val="center"/>
      </w:pPr>
      <w:r>
        <w:rPr>
          <w:sz w:val="20"/>
        </w:rPr>
      </w:r>
    </w:p>
    <w:p>
      <w:pPr>
        <w:pStyle w:val="3"/>
        <w:jc w:val="both"/>
      </w:pPr>
      <w:r>
        <w:rPr>
          <w:sz w:val="20"/>
        </w:rPr>
        <w:t xml:space="preserve">┌────────────────────────┬───────────────────────┬────────────────────────┐</w:t>
      </w:r>
    </w:p>
    <w:p>
      <w:pPr>
        <w:pStyle w:val="3"/>
        <w:jc w:val="both"/>
      </w:pPr>
      <w:r>
        <w:rPr>
          <w:sz w:val="20"/>
        </w:rPr>
        <w:t xml:space="preserve">│       Directive        │    Time-limit for     │     Time-limit for     │</w:t>
      </w:r>
    </w:p>
    <w:p>
      <w:pPr>
        <w:pStyle w:val="3"/>
        <w:jc w:val="both"/>
      </w:pPr>
      <w:r>
        <w:rPr>
          <w:sz w:val="20"/>
        </w:rPr>
        <w:t xml:space="preserve">│                        │     transposition     │      application       │</w:t>
      </w:r>
    </w:p>
    <w:p>
      <w:pPr>
        <w:pStyle w:val="3"/>
        <w:jc w:val="both"/>
      </w:pPr>
      <w:r>
        <w:rPr>
          <w:sz w:val="20"/>
        </w:rPr>
        <w:t xml:space="preserve">├────────────────────────┼───────────────────────┼────────────────────────┤</w:t>
      </w:r>
    </w:p>
    <w:p>
      <w:pPr>
        <w:pStyle w:val="3"/>
        <w:jc w:val="both"/>
      </w:pPr>
      <w:r>
        <w:rPr>
          <w:sz w:val="20"/>
        </w:rPr>
        <w:t xml:space="preserve">│78/176/EEC              │25 February 1979       │                        │</w:t>
      </w:r>
    </w:p>
    <w:p>
      <w:pPr>
        <w:pStyle w:val="3"/>
        <w:jc w:val="both"/>
      </w:pPr>
      <w:r>
        <w:rPr>
          <w:sz w:val="20"/>
        </w:rPr>
        <w:t xml:space="preserve">│82/883/EEC              │31 December 1984       │                        │</w:t>
      </w:r>
    </w:p>
    <w:p>
      <w:pPr>
        <w:pStyle w:val="3"/>
        <w:jc w:val="both"/>
      </w:pPr>
      <w:r>
        <w:rPr>
          <w:sz w:val="20"/>
        </w:rPr>
        <w:t xml:space="preserve">│92/112/EEC              │15 June 1993           │                        │</w:t>
      </w:r>
    </w:p>
    <w:p>
      <w:pPr>
        <w:pStyle w:val="3"/>
        <w:jc w:val="both"/>
      </w:pPr>
      <w:r>
        <w:rPr>
          <w:sz w:val="20"/>
        </w:rPr>
        <w:t xml:space="preserve">│1999/13/EC              │1 April 2001           │                        │</w:t>
      </w:r>
    </w:p>
    <w:p>
      <w:pPr>
        <w:pStyle w:val="3"/>
        <w:jc w:val="both"/>
      </w:pPr>
      <w:r>
        <w:rPr>
          <w:sz w:val="20"/>
        </w:rPr>
        <w:t xml:space="preserve">│2000/76/EC              │28 December 2000       │28 December 2002        │</w:t>
      </w:r>
    </w:p>
    <w:p>
      <w:pPr>
        <w:pStyle w:val="3"/>
        <w:jc w:val="both"/>
      </w:pPr>
      <w:r>
        <w:rPr>
          <w:sz w:val="20"/>
        </w:rPr>
        <w:t xml:space="preserve">│                        │                       │28 December 2005        │</w:t>
      </w:r>
    </w:p>
    <w:p>
      <w:pPr>
        <w:pStyle w:val="3"/>
        <w:jc w:val="both"/>
      </w:pPr>
      <w:r>
        <w:rPr>
          <w:sz w:val="20"/>
        </w:rPr>
        <w:t xml:space="preserve">│2001/80/EC              │27 November 2002       │27 November 2004        │</w:t>
      </w:r>
    </w:p>
    <w:p>
      <w:pPr>
        <w:pStyle w:val="3"/>
        <w:jc w:val="both"/>
      </w:pPr>
      <w:r>
        <w:rPr>
          <w:sz w:val="20"/>
        </w:rPr>
        <w:t xml:space="preserve">│2003/35/EC              │25 June 2005           │                        │</w:t>
      </w:r>
    </w:p>
    <w:p>
      <w:pPr>
        <w:pStyle w:val="3"/>
        <w:jc w:val="both"/>
      </w:pPr>
      <w:r>
        <w:rPr>
          <w:sz w:val="20"/>
        </w:rPr>
        <w:t xml:space="preserve">│2003/87/EC              │31 December 2003       │                        │</w:t>
      </w:r>
    </w:p>
    <w:p>
      <w:pPr>
        <w:pStyle w:val="3"/>
        <w:jc w:val="both"/>
      </w:pPr>
      <w:r>
        <w:rPr>
          <w:sz w:val="20"/>
        </w:rPr>
        <w:t xml:space="preserve">│2008/1/EC               │30 October 1999 &lt;*&gt;    │30 October 1999         │</w:t>
      </w:r>
    </w:p>
    <w:p>
      <w:pPr>
        <w:pStyle w:val="3"/>
        <w:jc w:val="both"/>
      </w:pPr>
      <w:r>
        <w:rPr>
          <w:sz w:val="20"/>
        </w:rPr>
        <w:t xml:space="preserve">│                        │                       │30 October 2007         │</w:t>
      </w:r>
    </w:p>
    <w:p>
      <w:pPr>
        <w:pStyle w:val="3"/>
        <w:jc w:val="both"/>
      </w:pPr>
      <w:r>
        <w:rPr>
          <w:sz w:val="20"/>
        </w:rPr>
        <w:t xml:space="preserve">├────────────────────────┴───────────────────────┴────────────────────────┤</w:t>
      </w:r>
    </w:p>
    <w:p>
      <w:pPr>
        <w:pStyle w:val="3"/>
        <w:jc w:val="both"/>
      </w:pPr>
      <w:r>
        <w:rPr>
          <w:sz w:val="20"/>
        </w:rPr>
        <w:t xml:space="preserve">│&lt;*&gt; Directive 2008/1/EC is a codified version of Council Directive       │</w:t>
      </w:r>
    </w:p>
    <w:p>
      <w:pPr>
        <w:pStyle w:val="3"/>
        <w:jc w:val="both"/>
      </w:pPr>
      <w:r>
        <w:rPr>
          <w:sz w:val="20"/>
        </w:rPr>
        <w:t xml:space="preserve">│96/61/EC of 24 September 1996 concerning integrated pollution prevention │</w:t>
      </w:r>
    </w:p>
    <w:p>
      <w:pPr>
        <w:pStyle w:val="3"/>
        <w:jc w:val="both"/>
      </w:pPr>
      <w:r>
        <w:rPr>
          <w:sz w:val="20"/>
        </w:rPr>
        <w:t xml:space="preserve">│and control (OJ L 257, 10.10.1996, p. 26) and the time-limits for        │</w:t>
      </w:r>
    </w:p>
    <w:p>
      <w:pPr>
        <w:pStyle w:val="3"/>
        <w:jc w:val="both"/>
      </w:pPr>
      <w:r>
        <w:rPr>
          <w:sz w:val="20"/>
        </w:rPr>
        <w:t xml:space="preserve">│transposition and application remain in force.                           │</w:t>
      </w:r>
    </w:p>
    <w:p>
      <w:pPr>
        <w:pStyle w:val="3"/>
        <w:jc w:val="both"/>
      </w:pPr>
      <w:r>
        <w:rPr>
          <w:sz w:val="20"/>
        </w:rPr>
        <w:t xml:space="preserve">└─────────────────────────────────────────────────────────────────────────┘</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Annex X</w:t>
      </w:r>
    </w:p>
    <w:p>
      <w:pPr>
        <w:pStyle w:val="0"/>
        <w:jc w:val="right"/>
      </w:pPr>
      <w:r>
        <w:rPr>
          <w:sz w:val="20"/>
        </w:rPr>
      </w:r>
    </w:p>
    <w:p>
      <w:pPr>
        <w:pStyle w:val="2"/>
        <w:jc w:val="center"/>
      </w:pPr>
      <w:r>
        <w:rPr>
          <w:sz w:val="20"/>
        </w:rPr>
        <w:t xml:space="preserve">CORRELATION TABLE</w:t>
      </w:r>
    </w:p>
    <w:p>
      <w:pPr>
        <w:pStyle w:val="0"/>
        <w:ind w:firstLine="540"/>
        <w:jc w:val="both"/>
      </w:pPr>
      <w:r>
        <w:rPr>
          <w:sz w:val="20"/>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1053"/>
        <w:gridCol w:w="1053"/>
        <w:gridCol w:w="1053"/>
        <w:gridCol w:w="1134"/>
        <w:gridCol w:w="1134"/>
        <w:gridCol w:w="1134"/>
        <w:gridCol w:w="1134"/>
        <w:gridCol w:w="1134"/>
      </w:tblGrid>
      <w:tr>
        <w:trPr>
          <w:trHeight w:val="180" w:hRule="atLeast"/>
        </w:trPr>
        <w:tc>
          <w:tcPr>
            <w:tcW w:w="1134" w:type="dxa"/>
          </w:tcPr>
          <w:p>
            <w:pPr>
              <w:pStyle w:val="1"/>
              <w:jc w:val="both"/>
            </w:pPr>
            <w:r>
              <w:rPr>
                <w:sz w:val="14"/>
              </w:rPr>
              <w:t xml:space="preserve"> Directive  </w:t>
            </w:r>
          </w:p>
          <w:p>
            <w:pPr>
              <w:pStyle w:val="1"/>
              <w:jc w:val="both"/>
            </w:pPr>
            <w:r>
              <w:rPr>
                <w:sz w:val="14"/>
              </w:rPr>
              <w:t xml:space="preserve"> 78/176/EEC </w:t>
            </w:r>
          </w:p>
        </w:tc>
        <w:tc>
          <w:tcPr>
            <w:tcW w:w="1134" w:type="dxa"/>
          </w:tcPr>
          <w:p>
            <w:pPr>
              <w:pStyle w:val="1"/>
              <w:jc w:val="both"/>
            </w:pPr>
            <w:r>
              <w:rPr>
                <w:sz w:val="14"/>
              </w:rPr>
              <w:t xml:space="preserve"> Directive  </w:t>
            </w:r>
          </w:p>
          <w:p>
            <w:pPr>
              <w:pStyle w:val="1"/>
              <w:jc w:val="both"/>
            </w:pPr>
            <w:r>
              <w:rPr>
                <w:sz w:val="14"/>
              </w:rPr>
              <w:t xml:space="preserve"> 82/883/EEC </w:t>
            </w:r>
          </w:p>
        </w:tc>
        <w:tc>
          <w:tcPr>
            <w:tcW w:w="1134" w:type="dxa"/>
          </w:tcPr>
          <w:p>
            <w:pPr>
              <w:pStyle w:val="1"/>
              <w:jc w:val="both"/>
            </w:pPr>
            <w:r>
              <w:rPr>
                <w:sz w:val="14"/>
              </w:rPr>
              <w:t xml:space="preserve"> Directive  </w:t>
            </w:r>
          </w:p>
          <w:p>
            <w:pPr>
              <w:pStyle w:val="1"/>
              <w:jc w:val="both"/>
            </w:pPr>
            <w:r>
              <w:rPr>
                <w:sz w:val="14"/>
              </w:rPr>
              <w:t xml:space="preserve"> 92/112/EEC </w:t>
            </w:r>
          </w:p>
        </w:tc>
        <w:tc>
          <w:tcPr>
            <w:tcW w:w="1215" w:type="dxa"/>
          </w:tcPr>
          <w:p>
            <w:pPr>
              <w:pStyle w:val="1"/>
              <w:jc w:val="both"/>
            </w:pPr>
            <w:r>
              <w:rPr>
                <w:sz w:val="14"/>
              </w:rPr>
              <w:t xml:space="preserve">  Directive  </w:t>
            </w:r>
          </w:p>
          <w:p>
            <w:pPr>
              <w:pStyle w:val="1"/>
              <w:jc w:val="both"/>
            </w:pPr>
            <w:r>
              <w:rPr>
                <w:sz w:val="14"/>
              </w:rPr>
              <w:t xml:space="preserve">  2008/1/EC  </w:t>
            </w:r>
          </w:p>
        </w:tc>
        <w:tc>
          <w:tcPr>
            <w:tcW w:w="1215" w:type="dxa"/>
          </w:tcPr>
          <w:p>
            <w:pPr>
              <w:pStyle w:val="1"/>
              <w:jc w:val="both"/>
            </w:pPr>
            <w:r>
              <w:rPr>
                <w:sz w:val="14"/>
              </w:rPr>
              <w:t xml:space="preserve">  Directive  </w:t>
            </w:r>
          </w:p>
          <w:p>
            <w:pPr>
              <w:pStyle w:val="1"/>
              <w:jc w:val="both"/>
            </w:pPr>
            <w:r>
              <w:rPr>
                <w:sz w:val="14"/>
              </w:rPr>
              <w:t xml:space="preserve"> 1999/13/EC  </w:t>
            </w:r>
          </w:p>
        </w:tc>
        <w:tc>
          <w:tcPr>
            <w:tcW w:w="1215" w:type="dxa"/>
          </w:tcPr>
          <w:p>
            <w:pPr>
              <w:pStyle w:val="1"/>
              <w:jc w:val="both"/>
            </w:pPr>
            <w:r>
              <w:rPr>
                <w:sz w:val="14"/>
              </w:rPr>
              <w:t xml:space="preserve">  Directive  </w:t>
            </w:r>
          </w:p>
          <w:p>
            <w:pPr>
              <w:pStyle w:val="1"/>
              <w:jc w:val="both"/>
            </w:pPr>
            <w:r>
              <w:rPr>
                <w:sz w:val="14"/>
              </w:rPr>
              <w:t xml:space="preserve"> 2000/76/EC  </w:t>
            </w:r>
          </w:p>
        </w:tc>
        <w:tc>
          <w:tcPr>
            <w:tcW w:w="1215" w:type="dxa"/>
          </w:tcPr>
          <w:p>
            <w:pPr>
              <w:pStyle w:val="1"/>
              <w:jc w:val="both"/>
            </w:pPr>
            <w:r>
              <w:rPr>
                <w:sz w:val="14"/>
              </w:rPr>
              <w:t xml:space="preserve">  Directive  </w:t>
            </w:r>
          </w:p>
          <w:p>
            <w:pPr>
              <w:pStyle w:val="1"/>
              <w:jc w:val="both"/>
            </w:pPr>
            <w:r>
              <w:rPr>
                <w:sz w:val="14"/>
              </w:rPr>
              <w:t xml:space="preserve"> 2001/80/EC  </w:t>
            </w:r>
          </w:p>
        </w:tc>
        <w:tc>
          <w:tcPr>
            <w:tcW w:w="1215" w:type="dxa"/>
          </w:tcPr>
          <w:p>
            <w:pPr>
              <w:pStyle w:val="1"/>
              <w:jc w:val="both"/>
            </w:pPr>
            <w:r>
              <w:rPr>
                <w:sz w:val="14"/>
              </w:rPr>
              <w:t xml:space="preserve">    This     </w:t>
            </w:r>
          </w:p>
          <w:p>
            <w:pPr>
              <w:pStyle w:val="1"/>
              <w:jc w:val="both"/>
            </w:pPr>
            <w:r>
              <w:rPr>
                <w:sz w:val="14"/>
              </w:rPr>
              <w:t xml:space="preserve">  Directive  </w:t>
            </w:r>
          </w:p>
        </w:tc>
      </w:tr>
      <w:tr>
        <w:trPr>
          <w:trHeight w:val="180" w:hRule="atLeast"/>
        </w:trPr>
        <w:tc>
          <w:tcPr>
            <w:tcW w:w="1134" w:type="dxa"/>
            <w:tcBorders>
              <w:top w:val="nil"/>
            </w:tcBorders>
          </w:tcPr>
          <w:p>
            <w:pPr>
              <w:pStyle w:val="1"/>
              <w:jc w:val="both"/>
            </w:pPr>
            <w:r>
              <w:rPr>
                <w:sz w:val="14"/>
              </w:rPr>
              <w:t xml:space="preserve">Article 1   </w:t>
            </w:r>
          </w:p>
          <w:p>
            <w:pPr>
              <w:pStyle w:val="1"/>
              <w:jc w:val="both"/>
            </w:pPr>
            <w:r>
              <w:rPr>
                <w:sz w:val="14"/>
              </w:rPr>
              <w:t xml:space="preserve">(1)         </w:t>
            </w:r>
          </w:p>
        </w:tc>
        <w:tc>
          <w:tcPr>
            <w:tcW w:w="1134" w:type="dxa"/>
            <w:tcBorders>
              <w:top w:val="nil"/>
            </w:tcBorders>
          </w:tcPr>
          <w:p>
            <w:pPr>
              <w:pStyle w:val="1"/>
              <w:jc w:val="both"/>
            </w:pPr>
            <w:r>
              <w:rPr>
                <w:sz w:val="14"/>
              </w:rPr>
              <w:t xml:space="preserve">Article 1   </w:t>
            </w:r>
          </w:p>
        </w:tc>
        <w:tc>
          <w:tcPr>
            <w:tcW w:w="1134" w:type="dxa"/>
            <w:tcBorders>
              <w:top w:val="nil"/>
            </w:tcBorders>
          </w:tcPr>
          <w:p>
            <w:pPr>
              <w:pStyle w:val="1"/>
              <w:jc w:val="both"/>
            </w:pPr>
            <w:r>
              <w:rPr>
                <w:sz w:val="14"/>
              </w:rPr>
              <w:t xml:space="preserve">Article 1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66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2    </w:t>
            </w:r>
          </w:p>
        </w:tc>
      </w:tr>
      <w:tr>
        <w:trPr>
          <w:trHeight w:val="180" w:hRule="atLeast"/>
        </w:trPr>
        <w:tc>
          <w:tcPr>
            <w:tcW w:w="1134" w:type="dxa"/>
            <w:tcBorders>
              <w:top w:val="nil"/>
            </w:tcBorders>
          </w:tcPr>
          <w:p>
            <w:pPr>
              <w:pStyle w:val="1"/>
              <w:jc w:val="both"/>
            </w:pPr>
            <w:r>
              <w:rPr>
                <w:sz w:val="14"/>
              </w:rPr>
              <w:t xml:space="preserve">Article 1   </w:t>
            </w:r>
          </w:p>
          <w:p>
            <w:pPr>
              <w:pStyle w:val="1"/>
              <w:jc w:val="both"/>
            </w:pPr>
            <w:r>
              <w:rPr>
                <w:sz w:val="14"/>
              </w:rPr>
              <w:t xml:space="preserve">(2), point  </w:t>
            </w:r>
          </w:p>
          <w:p>
            <w:pPr>
              <w:pStyle w:val="1"/>
              <w:jc w:val="both"/>
            </w:pPr>
            <w:r>
              <w:rPr>
                <w:sz w:val="14"/>
              </w:rPr>
              <w:t xml:space="preserve">(a)         </w:t>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(2)</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(2)</w:t>
            </w:r>
          </w:p>
        </w:tc>
      </w:tr>
      <w:tr>
        <w:trPr>
          <w:trHeight w:val="180" w:hRule="atLeast"/>
        </w:trPr>
        <w:tc>
          <w:tcPr>
            <w:tcW w:w="1134" w:type="dxa"/>
            <w:tcBorders>
              <w:top w:val="nil"/>
            </w:tcBorders>
          </w:tcPr>
          <w:p>
            <w:pPr>
              <w:pStyle w:val="1"/>
              <w:jc w:val="both"/>
            </w:pPr>
            <w:r>
              <w:rPr>
                <w:sz w:val="14"/>
              </w:rPr>
              <w:t xml:space="preserve">Article 1   </w:t>
            </w:r>
          </w:p>
          <w:p>
            <w:pPr>
              <w:pStyle w:val="1"/>
              <w:jc w:val="both"/>
            </w:pPr>
            <w:r>
              <w:rPr>
                <w:sz w:val="14"/>
              </w:rPr>
              <w:t xml:space="preserve">(2), point  </w:t>
            </w:r>
          </w:p>
          <w:p>
            <w:pPr>
              <w:pStyle w:val="1"/>
              <w:jc w:val="both"/>
            </w:pPr>
            <w:r>
              <w:rPr>
                <w:sz w:val="14"/>
              </w:rPr>
              <w:t xml:space="preserve">(b)         </w:t>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(1)</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(37)         </w:t>
            </w:r>
          </w:p>
        </w:tc>
      </w:tr>
      <w:tr>
        <w:trPr>
          <w:trHeight w:val="180" w:hRule="atLeast"/>
        </w:trPr>
        <w:tc>
          <w:tcPr>
            <w:tcW w:w="1134" w:type="dxa"/>
            <w:tcBorders>
              <w:top w:val="nil"/>
            </w:tcBorders>
          </w:tcPr>
          <w:p>
            <w:pPr>
              <w:pStyle w:val="1"/>
              <w:jc w:val="both"/>
            </w:pPr>
            <w:r>
              <w:rPr>
                <w:sz w:val="14"/>
              </w:rPr>
              <w:t xml:space="preserve">Article 1   </w:t>
            </w:r>
          </w:p>
          <w:p>
            <w:pPr>
              <w:pStyle w:val="1"/>
              <w:jc w:val="both"/>
            </w:pPr>
            <w:r>
              <w:rPr>
                <w:sz w:val="14"/>
              </w:rPr>
              <w:t xml:space="preserve">(2), points </w:t>
            </w:r>
          </w:p>
          <w:p>
            <w:pPr>
              <w:pStyle w:val="1"/>
              <w:jc w:val="both"/>
            </w:pPr>
            <w:r>
              <w:rPr>
                <w:sz w:val="14"/>
              </w:rPr>
              <w:t xml:space="preserve">(c), (d) and</w:t>
            </w:r>
          </w:p>
          <w:p>
            <w:pPr>
              <w:pStyle w:val="1"/>
              <w:jc w:val="both"/>
            </w:pPr>
            <w:r>
              <w:rPr>
                <w:sz w:val="14"/>
              </w:rPr>
              <w:t xml:space="preserve">(e)         </w:t>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66   </w:t>
            </w:r>
          </w:p>
        </w:tc>
      </w:tr>
      <w:tr>
        <w:trPr>
          <w:trHeight w:val="180" w:hRule="atLeast"/>
        </w:trPr>
        <w:tc>
          <w:tcPr>
            <w:tcW w:w="1134" w:type="dxa"/>
            <w:tcBorders>
              <w:top w:val="nil"/>
            </w:tcBorders>
          </w:tcPr>
          <w:p>
            <w:pPr>
              <w:pStyle w:val="1"/>
              <w:jc w:val="both"/>
            </w:pPr>
            <w:r>
              <w:rPr>
                <w:sz w:val="14"/>
              </w:rPr>
              <w:t xml:space="preserve">Article 2   </w:t>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67   </w:t>
            </w:r>
          </w:p>
        </w:tc>
      </w:tr>
      <w:tr>
        <w:trPr>
          <w:trHeight w:val="180" w:hRule="atLeast"/>
        </w:trPr>
        <w:tc>
          <w:tcPr>
            <w:tcW w:w="1134" w:type="dxa"/>
            <w:tcBorders>
              <w:top w:val="nil"/>
            </w:tcBorders>
          </w:tcPr>
          <w:p>
            <w:pPr>
              <w:pStyle w:val="1"/>
              <w:jc w:val="both"/>
            </w:pPr>
            <w:r>
              <w:rPr>
                <w:sz w:val="14"/>
              </w:rPr>
              <w:t xml:space="preserve">Article 3   </w:t>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points (d)   </w:t>
            </w:r>
          </w:p>
          <w:p>
            <w:pPr>
              <w:pStyle w:val="1"/>
              <w:jc w:val="both"/>
            </w:pPr>
            <w:r>
              <w:rPr>
                <w:sz w:val="14"/>
              </w:rPr>
              <w:t xml:space="preserve">and (e)      </w:t>
            </w:r>
          </w:p>
        </w:tc>
      </w:tr>
      <w:tr>
        <w:trPr>
          <w:trHeight w:val="180" w:hRule="atLeast"/>
        </w:trPr>
        <w:tc>
          <w:tcPr>
            <w:tcW w:w="1134" w:type="dxa"/>
            <w:tcBorders>
              <w:top w:val="nil"/>
            </w:tcBorders>
          </w:tcPr>
          <w:p>
            <w:pPr>
              <w:pStyle w:val="1"/>
              <w:jc w:val="both"/>
            </w:pPr>
            <w:r>
              <w:rPr>
                <w:sz w:val="14"/>
              </w:rPr>
              <w:t xml:space="preserve">Article 4   </w:t>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    </w:t>
            </w:r>
          </w:p>
        </w:tc>
        <w:tc>
          <w:tcPr>
            <w:tcW w:w="1215" w:type="dxa"/>
            <w:tcBorders>
              <w:top w:val="nil"/>
            </w:tcBorders>
          </w:tcPr>
          <w:p>
            <w:pPr>
              <w:pStyle w:val="1"/>
              <w:jc w:val="both"/>
            </w:pPr>
            <w:r>
              <w:rPr>
                <w:sz w:val="14"/>
              </w:rPr>
              <w:t xml:space="preserve">Article 3,   </w:t>
            </w:r>
          </w:p>
          <w:p>
            <w:pPr>
              <w:pStyle w:val="1"/>
              <w:jc w:val="both"/>
            </w:pPr>
            <w:r>
              <w:rPr>
                <w:sz w:val="14"/>
              </w:rPr>
              <w:t xml:space="preserve">introductory </w:t>
            </w:r>
          </w:p>
          <w:p>
            <w:pPr>
              <w:pStyle w:val="1"/>
              <w:jc w:val="both"/>
            </w:pPr>
            <w:r>
              <w:rPr>
                <w:sz w:val="14"/>
              </w:rPr>
              <w:t xml:space="preserve">wording and  </w:t>
            </w:r>
          </w:p>
          <w:p>
            <w:pPr>
              <w:pStyle w:val="1"/>
              <w:jc w:val="both"/>
            </w:pPr>
            <w:r>
              <w:rPr>
                <w:sz w:val="14"/>
              </w:rPr>
              <w:t xml:space="preserve">(1)          </w:t>
            </w:r>
          </w:p>
        </w:tc>
        <w:tc>
          <w:tcPr>
            <w:tcW w:w="1215" w:type="dxa"/>
            <w:tcBorders>
              <w:top w:val="nil"/>
            </w:tcBorders>
          </w:tcPr>
          <w:p>
            <w:pPr>
              <w:pStyle w:val="1"/>
              <w:jc w:val="both"/>
            </w:pPr>
            <w:r>
              <w:rPr>
                <w:sz w:val="14"/>
              </w:rPr>
              <w:t xml:space="preserve">Article 4 (1)</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    </w:t>
            </w:r>
          </w:p>
          <w:p>
            <w:pPr>
              <w:pStyle w:val="1"/>
              <w:jc w:val="both"/>
            </w:pPr>
            <w:r>
              <w:rPr>
                <w:sz w:val="14"/>
              </w:rPr>
              <w:t xml:space="preserve">(1), first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t xml:space="preserve">Article 5   </w:t>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points (d)   </w:t>
            </w:r>
          </w:p>
          <w:p>
            <w:pPr>
              <w:pStyle w:val="1"/>
              <w:jc w:val="both"/>
            </w:pPr>
            <w:r>
              <w:rPr>
                <w:sz w:val="14"/>
              </w:rPr>
              <w:t xml:space="preserve">and (e)      </w:t>
            </w:r>
          </w:p>
        </w:tc>
      </w:tr>
      <w:tr>
        <w:trPr>
          <w:trHeight w:val="180" w:hRule="atLeast"/>
        </w:trPr>
        <w:tc>
          <w:tcPr>
            <w:tcW w:w="1134" w:type="dxa"/>
            <w:tcBorders>
              <w:top w:val="nil"/>
            </w:tcBorders>
          </w:tcPr>
          <w:p>
            <w:pPr>
              <w:pStyle w:val="1"/>
              <w:jc w:val="both"/>
            </w:pPr>
            <w:r>
              <w:rPr>
                <w:sz w:val="14"/>
              </w:rPr>
              <w:t xml:space="preserve">Article 6   </w:t>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points (d)   </w:t>
            </w:r>
          </w:p>
          <w:p>
            <w:pPr>
              <w:pStyle w:val="1"/>
              <w:jc w:val="both"/>
            </w:pPr>
            <w:r>
              <w:rPr>
                <w:sz w:val="14"/>
              </w:rPr>
              <w:t xml:space="preserve">and (e)      </w:t>
            </w:r>
          </w:p>
        </w:tc>
      </w:tr>
      <w:tr>
        <w:trPr>
          <w:trHeight w:val="180" w:hRule="atLeast"/>
        </w:trPr>
        <w:tc>
          <w:tcPr>
            <w:tcW w:w="1134" w:type="dxa"/>
            <w:tcBorders>
              <w:top w:val="nil"/>
            </w:tcBorders>
          </w:tcPr>
          <w:p>
            <w:pPr>
              <w:pStyle w:val="1"/>
              <w:jc w:val="both"/>
            </w:pPr>
            <w:r>
              <w:rPr>
                <w:sz w:val="14"/>
              </w:rPr>
              <w:t xml:space="preserve">Article 7   </w:t>
            </w:r>
          </w:p>
          <w:p>
            <w:pPr>
              <w:pStyle w:val="1"/>
              <w:jc w:val="both"/>
            </w:pPr>
            <w:r>
              <w:rPr>
                <w:sz w:val="14"/>
              </w:rPr>
              <w:t xml:space="preserve">(1)         </w:t>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10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70   </w:t>
            </w:r>
          </w:p>
          <w:p>
            <w:pPr>
              <w:pStyle w:val="1"/>
              <w:jc w:val="both"/>
            </w:pPr>
            <w:r>
              <w:rPr>
                <w:sz w:val="14"/>
              </w:rPr>
              <w:t xml:space="preserve">(1) and 70   </w:t>
            </w:r>
          </w:p>
          <w:p>
            <w:pPr>
              <w:pStyle w:val="1"/>
              <w:jc w:val="both"/>
            </w:pPr>
            <w:r>
              <w:rPr>
                <w:sz w:val="14"/>
              </w:rPr>
              <w:t xml:space="preserve">(2), first   </w:t>
            </w:r>
          </w:p>
          <w:p>
            <w:pPr>
              <w:pStyle w:val="1"/>
              <w:jc w:val="both"/>
            </w:pPr>
            <w:r>
              <w:rPr>
                <w:sz w:val="14"/>
              </w:rPr>
              <w:t xml:space="preserve">sentence     </w:t>
            </w:r>
          </w:p>
        </w:tc>
      </w:tr>
      <w:tr>
        <w:trPr>
          <w:trHeight w:val="180" w:hRule="atLeast"/>
        </w:trPr>
        <w:tc>
          <w:tcPr>
            <w:tcW w:w="1134" w:type="dxa"/>
            <w:tcBorders>
              <w:top w:val="nil"/>
            </w:tcBorders>
          </w:tcPr>
          <w:p>
            <w:pPr>
              <w:pStyle w:val="1"/>
              <w:jc w:val="both"/>
            </w:pPr>
            <w:r>
              <w:rPr>
                <w:sz w:val="14"/>
              </w:rPr>
              <w:t xml:space="preserve">Article 7   </w:t>
            </w:r>
          </w:p>
          <w:p>
            <w:pPr>
              <w:pStyle w:val="1"/>
              <w:jc w:val="both"/>
            </w:pPr>
            <w:r>
              <w:rPr>
                <w:sz w:val="14"/>
              </w:rPr>
              <w:t xml:space="preserve">(2) and (3) </w:t>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70   </w:t>
            </w:r>
          </w:p>
          <w:p>
            <w:pPr>
              <w:pStyle w:val="1"/>
              <w:jc w:val="both"/>
            </w:pPr>
            <w:r>
              <w:rPr>
                <w:sz w:val="14"/>
              </w:rPr>
              <w:t xml:space="preserve">(2), second  </w:t>
            </w:r>
          </w:p>
          <w:p>
            <w:pPr>
              <w:pStyle w:val="1"/>
              <w:jc w:val="both"/>
            </w:pPr>
            <w:r>
              <w:rPr>
                <w:sz w:val="14"/>
              </w:rPr>
              <w:t xml:space="preserve">sentence and </w:t>
            </w:r>
          </w:p>
          <w:p>
            <w:pPr>
              <w:pStyle w:val="1"/>
              <w:jc w:val="both"/>
            </w:pPr>
            <w:r>
              <w:rPr>
                <w:sz w:val="14"/>
              </w:rPr>
              <w:t xml:space="preserve">70 (3)       </w:t>
            </w:r>
          </w:p>
        </w:tc>
      </w:tr>
      <w:tr>
        <w:trPr>
          <w:trHeight w:val="180" w:hRule="atLeast"/>
        </w:trPr>
        <w:tc>
          <w:tcPr>
            <w:tcW w:w="1134" w:type="dxa"/>
            <w:tcBorders>
              <w:top w:val="nil"/>
            </w:tcBorders>
          </w:tcPr>
          <w:p>
            <w:pPr>
              <w:pStyle w:val="1"/>
              <w:jc w:val="both"/>
            </w:pPr>
            <w:r>
              <w:rPr>
                <w:sz w:val="14"/>
              </w:rPr>
              <w:t xml:space="preserve">Article 8   </w:t>
            </w:r>
          </w:p>
          <w:p>
            <w:pPr>
              <w:pStyle w:val="1"/>
              <w:jc w:val="both"/>
            </w:pPr>
            <w:r>
              <w:rPr>
                <w:sz w:val="14"/>
              </w:rPr>
              <w:t xml:space="preserve">(1)         </w:t>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t xml:space="preserve">Article 8   </w:t>
            </w:r>
          </w:p>
          <w:p>
            <w:pPr>
              <w:pStyle w:val="1"/>
              <w:jc w:val="both"/>
            </w:pPr>
            <w:r>
              <w:rPr>
                <w:sz w:val="14"/>
              </w:rPr>
              <w:t xml:space="preserve">(2)         </w:t>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26   </w:t>
            </w:r>
          </w:p>
          <w:p>
            <w:pPr>
              <w:pStyle w:val="1"/>
              <w:jc w:val="both"/>
            </w:pPr>
            <w:r>
              <w:rPr>
                <w:sz w:val="14"/>
              </w:rPr>
              <w:t xml:space="preserve">(1), second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t xml:space="preserve">Article 9   </w:t>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w:t>
            </w:r>
          </w:p>
        </w:tc>
      </w:tr>
      <w:tr>
        <w:trPr>
          <w:trHeight w:val="180" w:hRule="atLeast"/>
        </w:trPr>
        <w:tc>
          <w:tcPr>
            <w:tcW w:w="1134" w:type="dxa"/>
            <w:tcBorders>
              <w:top w:val="nil"/>
            </w:tcBorders>
          </w:tcPr>
          <w:p>
            <w:pPr>
              <w:pStyle w:val="1"/>
              <w:jc w:val="both"/>
            </w:pPr>
            <w:r>
              <w:rPr>
                <w:sz w:val="14"/>
              </w:rPr>
              <w:t xml:space="preserve">Article 10  </w:t>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w:t>
            </w:r>
          </w:p>
        </w:tc>
      </w:tr>
      <w:tr>
        <w:trPr>
          <w:trHeight w:val="180" w:hRule="atLeast"/>
        </w:trPr>
        <w:tc>
          <w:tcPr>
            <w:tcW w:w="1134" w:type="dxa"/>
            <w:tcBorders>
              <w:top w:val="nil"/>
            </w:tcBorders>
          </w:tcPr>
          <w:p>
            <w:pPr>
              <w:pStyle w:val="1"/>
              <w:jc w:val="both"/>
            </w:pPr>
            <w:r>
              <w:rPr>
                <w:sz w:val="14"/>
              </w:rPr>
              <w:t xml:space="preserve">Article 11  </w:t>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12   </w:t>
            </w:r>
          </w:p>
        </w:tc>
      </w:tr>
      <w:tr>
        <w:trPr>
          <w:trHeight w:val="180" w:hRule="atLeast"/>
        </w:trPr>
        <w:tc>
          <w:tcPr>
            <w:tcW w:w="1134" w:type="dxa"/>
            <w:tcBorders>
              <w:top w:val="nil"/>
            </w:tcBorders>
          </w:tcPr>
          <w:p>
            <w:pPr>
              <w:pStyle w:val="1"/>
              <w:jc w:val="both"/>
            </w:pPr>
            <w:r>
              <w:rPr>
                <w:sz w:val="14"/>
              </w:rPr>
              <w:t xml:space="preserve">Article 12  </w:t>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t xml:space="preserve">Article 13  </w:t>
            </w:r>
          </w:p>
          <w:p>
            <w:pPr>
              <w:pStyle w:val="1"/>
              <w:jc w:val="both"/>
            </w:pPr>
            <w:r>
              <w:rPr>
                <w:sz w:val="14"/>
              </w:rPr>
              <w:t xml:space="preserve">(1)         </w:t>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17   </w:t>
            </w:r>
          </w:p>
          <w:p>
            <w:pPr>
              <w:pStyle w:val="1"/>
              <w:jc w:val="both"/>
            </w:pPr>
            <w:r>
              <w:rPr>
                <w:sz w:val="14"/>
              </w:rPr>
              <w:t xml:space="preserve">(1), first   </w:t>
            </w:r>
          </w:p>
          <w:p>
            <w:pPr>
              <w:pStyle w:val="1"/>
              <w:jc w:val="both"/>
            </w:pPr>
            <w:r>
              <w:rPr>
                <w:sz w:val="14"/>
              </w:rPr>
              <w:t xml:space="preserve">subparagraph </w:t>
            </w:r>
          </w:p>
          <w:p>
            <w:pPr>
              <w:pStyle w:val="1"/>
              <w:jc w:val="both"/>
            </w:pPr>
            <w:r>
              <w:rPr>
                <w:sz w:val="14"/>
              </w:rPr>
              <w:t xml:space="preserve">and 17 (3),  </w:t>
            </w:r>
          </w:p>
          <w:p>
            <w:pPr>
              <w:pStyle w:val="1"/>
              <w:jc w:val="both"/>
            </w:pPr>
            <w:r>
              <w:rPr>
                <w:sz w:val="14"/>
              </w:rPr>
              <w:t xml:space="preserve">first        </w:t>
            </w:r>
          </w:p>
          <w:p>
            <w:pPr>
              <w:pStyle w:val="1"/>
              <w:jc w:val="both"/>
            </w:pPr>
            <w:r>
              <w:rPr>
                <w:sz w:val="14"/>
              </w:rPr>
              <w:t xml:space="preserve">subparagraph,</w:t>
            </w:r>
          </w:p>
          <w:p>
            <w:pPr>
              <w:pStyle w:val="1"/>
              <w:jc w:val="both"/>
            </w:pPr>
            <w:r>
              <w:rPr>
                <w:sz w:val="14"/>
              </w:rPr>
              <w:t xml:space="preserve">first        </w:t>
            </w:r>
          </w:p>
          <w:p>
            <w:pPr>
              <w:pStyle w:val="1"/>
              <w:jc w:val="both"/>
            </w:pPr>
            <w:r>
              <w:rPr>
                <w:sz w:val="14"/>
              </w:rPr>
              <w:t xml:space="preserve">sentence     </w:t>
            </w:r>
          </w:p>
        </w:tc>
        <w:tc>
          <w:tcPr>
            <w:tcW w:w="1215" w:type="dxa"/>
            <w:tcBorders>
              <w:top w:val="nil"/>
            </w:tcBorders>
          </w:tcPr>
          <w:p>
            <w:pPr>
              <w:pStyle w:val="1"/>
              <w:jc w:val="both"/>
            </w:pPr>
            <w:r>
              <w:rPr>
                <w:sz w:val="14"/>
              </w:rPr>
              <w:t xml:space="preserve">Article 11   </w:t>
            </w:r>
          </w:p>
          <w:p>
            <w:pPr>
              <w:pStyle w:val="1"/>
              <w:jc w:val="both"/>
            </w:pPr>
            <w:r>
              <w:rPr>
                <w:sz w:val="14"/>
              </w:rPr>
              <w:t xml:space="preserve">(1), first   </w:t>
            </w:r>
          </w:p>
          <w:p>
            <w:pPr>
              <w:pStyle w:val="1"/>
              <w:jc w:val="both"/>
            </w:pPr>
            <w:r>
              <w:rPr>
                <w:sz w:val="14"/>
              </w:rPr>
              <w:t xml:space="preserve">sentence and </w:t>
            </w:r>
          </w:p>
          <w:p>
            <w:pPr>
              <w:pStyle w:val="1"/>
              <w:jc w:val="both"/>
            </w:pPr>
            <w:r>
              <w:rPr>
                <w:sz w:val="14"/>
              </w:rPr>
              <w:t xml:space="preserve">11 (2)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72   </w:t>
            </w:r>
          </w:p>
          <w:p>
            <w:pPr>
              <w:pStyle w:val="1"/>
              <w:jc w:val="both"/>
            </w:pPr>
            <w:r>
              <w:rPr>
                <w:sz w:val="14"/>
              </w:rPr>
              <w:t xml:space="preserve">(1), first   </w:t>
            </w:r>
          </w:p>
          <w:p>
            <w:pPr>
              <w:pStyle w:val="1"/>
              <w:jc w:val="both"/>
            </w:pPr>
            <w:r>
              <w:rPr>
                <w:sz w:val="14"/>
              </w:rPr>
              <w:t xml:space="preserve">sentence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72   </w:t>
            </w:r>
          </w:p>
          <w:p>
            <w:pPr>
              <w:pStyle w:val="1"/>
              <w:jc w:val="both"/>
            </w:pPr>
            <w:r>
              <w:rPr>
                <w:sz w:val="14"/>
              </w:rPr>
              <w:t xml:space="preserve">(1), second  </w:t>
            </w:r>
          </w:p>
          <w:p>
            <w:pPr>
              <w:pStyle w:val="1"/>
              <w:jc w:val="both"/>
            </w:pPr>
            <w:r>
              <w:rPr>
                <w:sz w:val="14"/>
              </w:rPr>
              <w:t xml:space="preserve">sentence     </w:t>
            </w:r>
          </w:p>
        </w:tc>
      </w:tr>
      <w:tr>
        <w:trPr>
          <w:trHeight w:val="180" w:hRule="atLeast"/>
        </w:trPr>
        <w:tc>
          <w:tcPr>
            <w:tcW w:w="1134" w:type="dxa"/>
            <w:tcBorders>
              <w:top w:val="nil"/>
            </w:tcBorders>
          </w:tcPr>
          <w:p>
            <w:pPr>
              <w:pStyle w:val="1"/>
              <w:jc w:val="both"/>
            </w:pPr>
            <w:r>
              <w:rPr>
                <w:sz w:val="14"/>
              </w:rPr>
              <w:t xml:space="preserve">Article 13  </w:t>
            </w:r>
          </w:p>
          <w:p>
            <w:pPr>
              <w:pStyle w:val="1"/>
              <w:jc w:val="both"/>
            </w:pPr>
            <w:r>
              <w:rPr>
                <w:sz w:val="14"/>
              </w:rPr>
              <w:t xml:space="preserve">(2), (3) and</w:t>
            </w:r>
          </w:p>
          <w:p>
            <w:pPr>
              <w:pStyle w:val="1"/>
              <w:jc w:val="both"/>
            </w:pPr>
            <w:r>
              <w:rPr>
                <w:sz w:val="14"/>
              </w:rPr>
              <w:t xml:space="preserve">(4)         </w:t>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t xml:space="preserve">Article 14  </w:t>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t xml:space="preserve">Article 15  </w:t>
            </w:r>
          </w:p>
        </w:tc>
        <w:tc>
          <w:tcPr>
            <w:tcW w:w="1134" w:type="dxa"/>
            <w:tcBorders>
              <w:top w:val="nil"/>
            </w:tcBorders>
          </w:tcPr>
          <w:p>
            <w:pPr>
              <w:pStyle w:val="1"/>
              <w:jc w:val="both"/>
            </w:pPr>
            <w:r>
              <w:rPr>
                <w:sz w:val="14"/>
              </w:rPr>
              <w:t xml:space="preserve">Article 14  </w:t>
            </w:r>
          </w:p>
        </w:tc>
        <w:tc>
          <w:tcPr>
            <w:tcW w:w="1134" w:type="dxa"/>
            <w:tcBorders>
              <w:top w:val="nil"/>
            </w:tcBorders>
          </w:tcPr>
          <w:p>
            <w:pPr>
              <w:pStyle w:val="1"/>
              <w:jc w:val="both"/>
            </w:pPr>
            <w:r>
              <w:rPr>
                <w:sz w:val="14"/>
              </w:rPr>
              <w:t xml:space="preserve">Article 12  </w:t>
            </w:r>
          </w:p>
        </w:tc>
        <w:tc>
          <w:tcPr>
            <w:tcW w:w="1215" w:type="dxa"/>
            <w:tcBorders>
              <w:top w:val="nil"/>
            </w:tcBorders>
          </w:tcPr>
          <w:p>
            <w:pPr>
              <w:pStyle w:val="1"/>
              <w:jc w:val="both"/>
            </w:pPr>
            <w:r>
              <w:rPr>
                <w:sz w:val="14"/>
              </w:rPr>
              <w:t xml:space="preserve">Article 21   </w:t>
            </w:r>
          </w:p>
        </w:tc>
        <w:tc>
          <w:tcPr>
            <w:tcW w:w="1215" w:type="dxa"/>
            <w:tcBorders>
              <w:top w:val="nil"/>
            </w:tcBorders>
          </w:tcPr>
          <w:p>
            <w:pPr>
              <w:pStyle w:val="1"/>
              <w:jc w:val="both"/>
            </w:pPr>
            <w:r>
              <w:rPr>
                <w:sz w:val="14"/>
              </w:rPr>
              <w:t xml:space="preserve">Article 15   </w:t>
            </w:r>
          </w:p>
        </w:tc>
        <w:tc>
          <w:tcPr>
            <w:tcW w:w="1215" w:type="dxa"/>
            <w:tcBorders>
              <w:top w:val="nil"/>
            </w:tcBorders>
          </w:tcPr>
          <w:p>
            <w:pPr>
              <w:pStyle w:val="1"/>
              <w:jc w:val="both"/>
            </w:pPr>
            <w:r>
              <w:rPr>
                <w:sz w:val="14"/>
              </w:rPr>
              <w:t xml:space="preserve">Article 21   </w:t>
            </w:r>
          </w:p>
        </w:tc>
        <w:tc>
          <w:tcPr>
            <w:tcW w:w="1215" w:type="dxa"/>
            <w:tcBorders>
              <w:top w:val="nil"/>
            </w:tcBorders>
          </w:tcPr>
          <w:p>
            <w:pPr>
              <w:pStyle w:val="1"/>
              <w:jc w:val="both"/>
            </w:pPr>
            <w:r>
              <w:rPr>
                <w:sz w:val="14"/>
              </w:rPr>
              <w:t xml:space="preserve">Article 18   </w:t>
            </w:r>
          </w:p>
          <w:p>
            <w:pPr>
              <w:pStyle w:val="1"/>
              <w:jc w:val="both"/>
            </w:pPr>
            <w:r>
              <w:rPr>
                <w:sz w:val="14"/>
              </w:rPr>
              <w:t xml:space="preserve">(1) and (3)  </w:t>
            </w:r>
          </w:p>
        </w:tc>
        <w:tc>
          <w:tcPr>
            <w:tcW w:w="1215" w:type="dxa"/>
            <w:tcBorders>
              <w:top w:val="nil"/>
            </w:tcBorders>
          </w:tcPr>
          <w:p>
            <w:pPr>
              <w:pStyle w:val="1"/>
              <w:jc w:val="both"/>
            </w:pPr>
            <w:r>
              <w:rPr>
                <w:sz w:val="14"/>
              </w:rPr>
              <w:t xml:space="preserve">Article 80   </w:t>
            </w:r>
          </w:p>
        </w:tc>
      </w:tr>
      <w:tr>
        <w:trPr>
          <w:trHeight w:val="180" w:hRule="atLeast"/>
        </w:trPr>
        <w:tc>
          <w:tcPr>
            <w:tcW w:w="1134" w:type="dxa"/>
            <w:tcBorders>
              <w:top w:val="nil"/>
            </w:tcBorders>
          </w:tcPr>
          <w:p>
            <w:pPr>
              <w:pStyle w:val="1"/>
              <w:jc w:val="both"/>
            </w:pPr>
            <w:r>
              <w:rPr>
                <w:sz w:val="14"/>
              </w:rPr>
              <w:t xml:space="preserve">Article 16  </w:t>
            </w:r>
          </w:p>
        </w:tc>
        <w:tc>
          <w:tcPr>
            <w:tcW w:w="1134" w:type="dxa"/>
            <w:tcBorders>
              <w:top w:val="nil"/>
            </w:tcBorders>
          </w:tcPr>
          <w:p>
            <w:pPr>
              <w:pStyle w:val="1"/>
              <w:jc w:val="both"/>
            </w:pPr>
            <w:r>
              <w:rPr>
                <w:sz w:val="14"/>
              </w:rPr>
              <w:t xml:space="preserve">Article 15  </w:t>
            </w:r>
          </w:p>
        </w:tc>
        <w:tc>
          <w:tcPr>
            <w:tcW w:w="1134" w:type="dxa"/>
            <w:tcBorders>
              <w:top w:val="nil"/>
            </w:tcBorders>
          </w:tcPr>
          <w:p>
            <w:pPr>
              <w:pStyle w:val="1"/>
              <w:jc w:val="both"/>
            </w:pPr>
            <w:r>
              <w:rPr>
                <w:sz w:val="14"/>
              </w:rPr>
              <w:t xml:space="preserve">Article 13  </w:t>
            </w:r>
          </w:p>
        </w:tc>
        <w:tc>
          <w:tcPr>
            <w:tcW w:w="1215" w:type="dxa"/>
            <w:tcBorders>
              <w:top w:val="nil"/>
            </w:tcBorders>
          </w:tcPr>
          <w:p>
            <w:pPr>
              <w:pStyle w:val="1"/>
              <w:jc w:val="both"/>
            </w:pPr>
            <w:r>
              <w:rPr>
                <w:sz w:val="14"/>
              </w:rPr>
              <w:t xml:space="preserve">Article 23   </w:t>
            </w:r>
          </w:p>
        </w:tc>
        <w:tc>
          <w:tcPr>
            <w:tcW w:w="1215" w:type="dxa"/>
            <w:tcBorders>
              <w:top w:val="nil"/>
            </w:tcBorders>
          </w:tcPr>
          <w:p>
            <w:pPr>
              <w:pStyle w:val="1"/>
              <w:jc w:val="both"/>
            </w:pPr>
            <w:r>
              <w:rPr>
                <w:sz w:val="14"/>
              </w:rPr>
              <w:t xml:space="preserve">Article 17   </w:t>
            </w:r>
          </w:p>
        </w:tc>
        <w:tc>
          <w:tcPr>
            <w:tcW w:w="1215" w:type="dxa"/>
            <w:tcBorders>
              <w:top w:val="nil"/>
            </w:tcBorders>
          </w:tcPr>
          <w:p>
            <w:pPr>
              <w:pStyle w:val="1"/>
              <w:jc w:val="both"/>
            </w:pPr>
            <w:r>
              <w:rPr>
                <w:sz w:val="14"/>
              </w:rPr>
              <w:t xml:space="preserve">Article 23   </w:t>
            </w:r>
          </w:p>
        </w:tc>
        <w:tc>
          <w:tcPr>
            <w:tcW w:w="1215" w:type="dxa"/>
            <w:tcBorders>
              <w:top w:val="nil"/>
            </w:tcBorders>
          </w:tcPr>
          <w:p>
            <w:pPr>
              <w:pStyle w:val="1"/>
              <w:jc w:val="both"/>
            </w:pPr>
            <w:r>
              <w:rPr>
                <w:sz w:val="14"/>
              </w:rPr>
              <w:t xml:space="preserve">Article 20   </w:t>
            </w:r>
          </w:p>
        </w:tc>
        <w:tc>
          <w:tcPr>
            <w:tcW w:w="1215" w:type="dxa"/>
            <w:tcBorders>
              <w:top w:val="nil"/>
            </w:tcBorders>
          </w:tcPr>
          <w:p>
            <w:pPr>
              <w:pStyle w:val="1"/>
              <w:jc w:val="both"/>
            </w:pPr>
            <w:r>
              <w:rPr>
                <w:sz w:val="14"/>
              </w:rPr>
              <w:t xml:space="preserve">Article 84   </w:t>
            </w:r>
          </w:p>
        </w:tc>
      </w:tr>
      <w:tr>
        <w:trPr>
          <w:trHeight w:val="180" w:hRule="atLeast"/>
        </w:trPr>
        <w:tc>
          <w:tcPr>
            <w:tcW w:w="1134" w:type="dxa"/>
            <w:tcBorders>
              <w:top w:val="nil"/>
            </w:tcBorders>
          </w:tcPr>
          <w:p>
            <w:pPr>
              <w:pStyle w:val="1"/>
              <w:jc w:val="both"/>
            </w:pPr>
            <w:r>
              <w:rPr>
                <w:sz w:val="14"/>
              </w:rPr>
              <w:t xml:space="preserve">Annex I     </w:t>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t xml:space="preserve">Annex II    </w:t>
            </w:r>
          </w:p>
          <w:p>
            <w:pPr>
              <w:pStyle w:val="1"/>
              <w:jc w:val="both"/>
            </w:pPr>
            <w:r>
              <w:rPr>
                <w:sz w:val="14"/>
              </w:rPr>
              <w:t xml:space="preserve">section A   </w:t>
            </w:r>
          </w:p>
          <w:p>
            <w:pPr>
              <w:pStyle w:val="1"/>
              <w:jc w:val="both"/>
            </w:pPr>
            <w:r>
              <w:rPr>
                <w:sz w:val="14"/>
              </w:rPr>
              <w:t xml:space="preserve">introductory</w:t>
            </w:r>
          </w:p>
          <w:p>
            <w:pPr>
              <w:pStyle w:val="1"/>
              <w:jc w:val="both"/>
            </w:pPr>
            <w:r>
              <w:rPr>
                <w:sz w:val="14"/>
              </w:rPr>
              <w:t xml:space="preserve">wording and </w:t>
            </w:r>
          </w:p>
          <w:p>
            <w:pPr>
              <w:pStyle w:val="1"/>
              <w:jc w:val="both"/>
            </w:pPr>
            <w:r>
              <w:rPr>
                <w:sz w:val="14"/>
              </w:rPr>
              <w:t xml:space="preserve">point 1     </w:t>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t xml:space="preserve">Annex II    </w:t>
            </w:r>
          </w:p>
          <w:p>
            <w:pPr>
              <w:pStyle w:val="1"/>
              <w:jc w:val="both"/>
            </w:pPr>
            <w:r>
              <w:rPr>
                <w:sz w:val="14"/>
              </w:rPr>
              <w:t xml:space="preserve">section A   </w:t>
            </w:r>
          </w:p>
          <w:p>
            <w:pPr>
              <w:pStyle w:val="1"/>
              <w:jc w:val="both"/>
            </w:pPr>
            <w:r>
              <w:rPr>
                <w:sz w:val="14"/>
              </w:rPr>
              <w:t xml:space="preserve">point 2     </w:t>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t xml:space="preserve">Annex II    </w:t>
            </w:r>
          </w:p>
          <w:p>
            <w:pPr>
              <w:pStyle w:val="1"/>
              <w:jc w:val="both"/>
            </w:pPr>
            <w:r>
              <w:rPr>
                <w:sz w:val="14"/>
              </w:rPr>
              <w:t xml:space="preserve">section B   </w:t>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2   </w:t>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3   </w:t>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4   </w:t>
            </w:r>
          </w:p>
          <w:p>
            <w:pPr>
              <w:pStyle w:val="1"/>
              <w:jc w:val="both"/>
            </w:pPr>
            <w:r>
              <w:rPr>
                <w:sz w:val="14"/>
              </w:rPr>
              <w:t xml:space="preserve">(1) and 4   </w:t>
            </w:r>
          </w:p>
          <w:p>
            <w:pPr>
              <w:pStyle w:val="1"/>
              <w:jc w:val="both"/>
            </w:pPr>
            <w:r>
              <w:rPr>
                <w:sz w:val="14"/>
              </w:rPr>
              <w:t xml:space="preserve">(2), first  </w:t>
            </w:r>
          </w:p>
          <w:p>
            <w:pPr>
              <w:pStyle w:val="1"/>
              <w:jc w:val="both"/>
            </w:pPr>
            <w:r>
              <w:rPr>
                <w:sz w:val="14"/>
              </w:rPr>
              <w:t xml:space="preserve">subparagraph</w:t>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4   </w:t>
            </w:r>
          </w:p>
          <w:p>
            <w:pPr>
              <w:pStyle w:val="1"/>
              <w:jc w:val="both"/>
            </w:pPr>
            <w:r>
              <w:rPr>
                <w:sz w:val="14"/>
              </w:rPr>
              <w:t xml:space="preserve">(2), second </w:t>
            </w:r>
          </w:p>
          <w:p>
            <w:pPr>
              <w:pStyle w:val="1"/>
              <w:jc w:val="both"/>
            </w:pPr>
            <w:r>
              <w:rPr>
                <w:sz w:val="14"/>
              </w:rPr>
              <w:t xml:space="preserve">subparagraph</w:t>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4   </w:t>
            </w:r>
          </w:p>
          <w:p>
            <w:pPr>
              <w:pStyle w:val="1"/>
              <w:jc w:val="both"/>
            </w:pPr>
            <w:r>
              <w:rPr>
                <w:sz w:val="14"/>
              </w:rPr>
              <w:t xml:space="preserve">(3) and (4) </w:t>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5   </w:t>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6   </w:t>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7   </w:t>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8   </w:t>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9   </w:t>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10  </w:t>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11  </w:t>
            </w:r>
          </w:p>
          <w:p>
            <w:pPr>
              <w:pStyle w:val="1"/>
              <w:jc w:val="both"/>
            </w:pPr>
            <w:r>
              <w:rPr>
                <w:sz w:val="14"/>
              </w:rPr>
              <w:t xml:space="preserve">(1)         </w:t>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13   </w:t>
            </w:r>
          </w:p>
          <w:p>
            <w:pPr>
              <w:pStyle w:val="1"/>
              <w:jc w:val="both"/>
            </w:pPr>
            <w:r>
              <w:rPr>
                <w:sz w:val="14"/>
              </w:rPr>
              <w:t xml:space="preserve">(1)          </w:t>
            </w:r>
          </w:p>
        </w:tc>
        <w:tc>
          <w:tcPr>
            <w:tcW w:w="1215" w:type="dxa"/>
            <w:tcBorders>
              <w:top w:val="nil"/>
            </w:tcBorders>
          </w:tcPr>
          <w:p>
            <w:pPr>
              <w:pStyle w:val="1"/>
              <w:jc w:val="both"/>
            </w:pPr>
            <w:r>
              <w:rPr>
                <w:sz w:val="14"/>
              </w:rPr>
              <w:t xml:space="preserve">Article 17   </w:t>
            </w:r>
          </w:p>
          <w:p>
            <w:pPr>
              <w:pStyle w:val="1"/>
              <w:jc w:val="both"/>
            </w:pPr>
            <w:r>
              <w:rPr>
                <w:sz w:val="14"/>
              </w:rPr>
              <w:t xml:space="preserve">(1)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75   </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75   </w:t>
            </w:r>
          </w:p>
          <w:p>
            <w:pPr>
              <w:pStyle w:val="1"/>
              <w:jc w:val="both"/>
            </w:pPr>
            <w:r>
              <w:rPr>
                <w:sz w:val="14"/>
              </w:rPr>
              <w:t xml:space="preserve">(2)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11  </w:t>
            </w:r>
          </w:p>
          <w:p>
            <w:pPr>
              <w:pStyle w:val="1"/>
              <w:jc w:val="both"/>
            </w:pPr>
            <w:r>
              <w:rPr>
                <w:sz w:val="14"/>
              </w:rPr>
              <w:t xml:space="preserve">(2)         </w:t>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17   </w:t>
            </w:r>
          </w:p>
          <w:p>
            <w:pPr>
              <w:pStyle w:val="1"/>
              <w:jc w:val="both"/>
            </w:pPr>
            <w:r>
              <w:rPr>
                <w:sz w:val="14"/>
              </w:rPr>
              <w:t xml:space="preserve">(2)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11  </w:t>
            </w:r>
          </w:p>
          <w:p>
            <w:pPr>
              <w:pStyle w:val="1"/>
              <w:jc w:val="both"/>
            </w:pPr>
            <w:r>
              <w:rPr>
                <w:sz w:val="14"/>
              </w:rPr>
              <w:t xml:space="preserve">(3)         </w:t>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12  </w:t>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13  </w:t>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Annex I     </w:t>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Annex II    </w:t>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Annex III   </w:t>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Annex IV    </w:t>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Annex V     </w:t>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2   </w:t>
            </w:r>
          </w:p>
          <w:p>
            <w:pPr>
              <w:pStyle w:val="1"/>
              <w:jc w:val="both"/>
            </w:pPr>
            <w:r>
              <w:rPr>
                <w:sz w:val="14"/>
              </w:rPr>
              <w:t xml:space="preserve">(1),        </w:t>
            </w:r>
          </w:p>
          <w:p>
            <w:pPr>
              <w:pStyle w:val="1"/>
              <w:jc w:val="both"/>
            </w:pPr>
            <w:r>
              <w:rPr>
                <w:sz w:val="14"/>
              </w:rPr>
              <w:t xml:space="preserve">introductory</w:t>
            </w:r>
          </w:p>
          <w:p>
            <w:pPr>
              <w:pStyle w:val="1"/>
              <w:jc w:val="both"/>
            </w:pPr>
            <w:r>
              <w:rPr>
                <w:sz w:val="14"/>
              </w:rPr>
              <w:t xml:space="preserve">wording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2   </w:t>
            </w:r>
          </w:p>
          <w:p>
            <w:pPr>
              <w:pStyle w:val="1"/>
              <w:jc w:val="both"/>
            </w:pPr>
            <w:r>
              <w:rPr>
                <w:sz w:val="14"/>
              </w:rPr>
              <w:t xml:space="preserve">(1) (a),    </w:t>
            </w:r>
          </w:p>
          <w:p>
            <w:pPr>
              <w:pStyle w:val="1"/>
              <w:jc w:val="both"/>
            </w:pPr>
            <w:r>
              <w:rPr>
                <w:sz w:val="14"/>
              </w:rPr>
              <w:t xml:space="preserve">introductory</w:t>
            </w:r>
          </w:p>
          <w:p>
            <w:pPr>
              <w:pStyle w:val="1"/>
              <w:jc w:val="both"/>
            </w:pPr>
            <w:r>
              <w:rPr>
                <w:sz w:val="14"/>
              </w:rPr>
              <w:t xml:space="preserve">wording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2   </w:t>
            </w:r>
          </w:p>
          <w:p>
            <w:pPr>
              <w:pStyle w:val="1"/>
              <w:jc w:val="both"/>
            </w:pPr>
            <w:r>
              <w:rPr>
                <w:sz w:val="14"/>
              </w:rPr>
              <w:t xml:space="preserve">(1) (a),    </w:t>
            </w:r>
          </w:p>
          <w:p>
            <w:pPr>
              <w:pStyle w:val="1"/>
              <w:jc w:val="both"/>
            </w:pPr>
            <w:r>
              <w:rPr>
                <w:sz w:val="14"/>
              </w:rPr>
              <w:t xml:space="preserve">first indent</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67,  </w:t>
            </w:r>
          </w:p>
          <w:p>
            <w:pPr>
              <w:pStyle w:val="1"/>
              <w:jc w:val="both"/>
            </w:pPr>
            <w:r>
              <w:rPr>
                <w:sz w:val="14"/>
              </w:rPr>
              <w:t xml:space="preserve">point (a)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2   </w:t>
            </w:r>
          </w:p>
          <w:p>
            <w:pPr>
              <w:pStyle w:val="1"/>
              <w:jc w:val="both"/>
            </w:pPr>
            <w:r>
              <w:rPr>
                <w:sz w:val="14"/>
              </w:rPr>
              <w:t xml:space="preserve">(1) (a),    </w:t>
            </w:r>
          </w:p>
          <w:p>
            <w:pPr>
              <w:pStyle w:val="1"/>
              <w:jc w:val="both"/>
            </w:pPr>
            <w:r>
              <w:rPr>
                <w:sz w:val="14"/>
              </w:rPr>
              <w:t xml:space="preserve">second      </w:t>
            </w:r>
          </w:p>
          <w:p>
            <w:pPr>
              <w:pStyle w:val="1"/>
              <w:jc w:val="both"/>
            </w:pPr>
            <w:r>
              <w:rPr>
                <w:sz w:val="14"/>
              </w:rPr>
              <w:t xml:space="preserve">indent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67,  </w:t>
            </w:r>
          </w:p>
          <w:p>
            <w:pPr>
              <w:pStyle w:val="1"/>
              <w:jc w:val="both"/>
            </w:pPr>
            <w:r>
              <w:rPr>
                <w:sz w:val="14"/>
              </w:rPr>
              <w:t xml:space="preserve">point (b)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2   </w:t>
            </w:r>
          </w:p>
          <w:p>
            <w:pPr>
              <w:pStyle w:val="1"/>
              <w:jc w:val="both"/>
            </w:pPr>
            <w:r>
              <w:rPr>
                <w:sz w:val="14"/>
              </w:rPr>
              <w:t xml:space="preserve">(1) (a),    </w:t>
            </w:r>
          </w:p>
          <w:p>
            <w:pPr>
              <w:pStyle w:val="1"/>
              <w:jc w:val="both"/>
            </w:pPr>
            <w:r>
              <w:rPr>
                <w:sz w:val="14"/>
              </w:rPr>
              <w:t xml:space="preserve">third indent</w:t>
            </w:r>
          </w:p>
          <w:p>
            <w:pPr>
              <w:pStyle w:val="1"/>
              <w:jc w:val="both"/>
            </w:pPr>
            <w:r>
              <w:rPr>
                <w:sz w:val="14"/>
              </w:rPr>
              <w:t xml:space="preserve">and 2 (1)   </w:t>
            </w:r>
          </w:p>
          <w:p>
            <w:pPr>
              <w:pStyle w:val="1"/>
              <w:jc w:val="both"/>
            </w:pPr>
            <w:r>
              <w:rPr>
                <w:sz w:val="14"/>
              </w:rPr>
              <w:t xml:space="preserve">(b), third  </w:t>
            </w:r>
          </w:p>
          <w:p>
            <w:pPr>
              <w:pStyle w:val="1"/>
              <w:jc w:val="both"/>
            </w:pPr>
            <w:r>
              <w:rPr>
                <w:sz w:val="14"/>
              </w:rPr>
              <w:t xml:space="preserve">indent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67,  </w:t>
            </w:r>
          </w:p>
          <w:p>
            <w:pPr>
              <w:pStyle w:val="1"/>
              <w:jc w:val="both"/>
            </w:pPr>
            <w:r>
              <w:rPr>
                <w:sz w:val="14"/>
              </w:rPr>
              <w:t xml:space="preserve">point (d)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2   </w:t>
            </w:r>
          </w:p>
          <w:p>
            <w:pPr>
              <w:pStyle w:val="1"/>
              <w:jc w:val="both"/>
            </w:pPr>
            <w:r>
              <w:rPr>
                <w:sz w:val="14"/>
              </w:rPr>
              <w:t xml:space="preserve">(1) (a),    </w:t>
            </w:r>
          </w:p>
          <w:p>
            <w:pPr>
              <w:pStyle w:val="1"/>
              <w:jc w:val="both"/>
            </w:pPr>
            <w:r>
              <w:rPr>
                <w:sz w:val="14"/>
              </w:rPr>
              <w:t xml:space="preserve">fourth,     </w:t>
            </w:r>
          </w:p>
          <w:p>
            <w:pPr>
              <w:pStyle w:val="1"/>
              <w:jc w:val="both"/>
            </w:pPr>
            <w:r>
              <w:rPr>
                <w:sz w:val="14"/>
              </w:rPr>
              <w:t xml:space="preserve">fifth, sixth</w:t>
            </w:r>
          </w:p>
          <w:p>
            <w:pPr>
              <w:pStyle w:val="1"/>
              <w:jc w:val="both"/>
            </w:pPr>
            <w:r>
              <w:rPr>
                <w:sz w:val="14"/>
              </w:rPr>
              <w:t xml:space="preserve">and seventh </w:t>
            </w:r>
          </w:p>
          <w:p>
            <w:pPr>
              <w:pStyle w:val="1"/>
              <w:jc w:val="both"/>
            </w:pPr>
            <w:r>
              <w:rPr>
                <w:sz w:val="14"/>
              </w:rPr>
              <w:t xml:space="preserve">indent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2   </w:t>
            </w:r>
          </w:p>
          <w:p>
            <w:pPr>
              <w:pStyle w:val="1"/>
              <w:jc w:val="both"/>
            </w:pPr>
            <w:r>
              <w:rPr>
                <w:sz w:val="14"/>
              </w:rPr>
              <w:t xml:space="preserve">(1) (b),    </w:t>
            </w:r>
          </w:p>
          <w:p>
            <w:pPr>
              <w:pStyle w:val="1"/>
              <w:jc w:val="both"/>
            </w:pPr>
            <w:r>
              <w:rPr>
                <w:sz w:val="14"/>
              </w:rPr>
              <w:t xml:space="preserve">introductory</w:t>
            </w:r>
          </w:p>
          <w:p>
            <w:pPr>
              <w:pStyle w:val="1"/>
              <w:jc w:val="both"/>
            </w:pPr>
            <w:r>
              <w:rPr>
                <w:sz w:val="14"/>
              </w:rPr>
              <w:t xml:space="preserve">wording and </w:t>
            </w:r>
          </w:p>
          <w:p>
            <w:pPr>
              <w:pStyle w:val="1"/>
              <w:jc w:val="both"/>
            </w:pPr>
            <w:r>
              <w:rPr>
                <w:sz w:val="14"/>
              </w:rPr>
              <w:t xml:space="preserve">first,      </w:t>
            </w:r>
          </w:p>
          <w:p>
            <w:pPr>
              <w:pStyle w:val="1"/>
              <w:jc w:val="both"/>
            </w:pPr>
            <w:r>
              <w:rPr>
                <w:sz w:val="14"/>
              </w:rPr>
              <w:t xml:space="preserve">fourth,     </w:t>
            </w:r>
          </w:p>
          <w:p>
            <w:pPr>
              <w:pStyle w:val="1"/>
              <w:jc w:val="both"/>
            </w:pPr>
            <w:r>
              <w:rPr>
                <w:sz w:val="14"/>
              </w:rPr>
              <w:t xml:space="preserve">fifth, sixth</w:t>
            </w:r>
          </w:p>
          <w:p>
            <w:pPr>
              <w:pStyle w:val="1"/>
              <w:jc w:val="both"/>
            </w:pPr>
            <w:r>
              <w:rPr>
                <w:sz w:val="14"/>
              </w:rPr>
              <w:t xml:space="preserve">and seventh </w:t>
            </w:r>
          </w:p>
          <w:p>
            <w:pPr>
              <w:pStyle w:val="1"/>
              <w:jc w:val="both"/>
            </w:pPr>
            <w:r>
              <w:rPr>
                <w:sz w:val="14"/>
              </w:rPr>
              <w:t xml:space="preserve">indent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2   </w:t>
            </w:r>
          </w:p>
          <w:p>
            <w:pPr>
              <w:pStyle w:val="1"/>
              <w:jc w:val="both"/>
            </w:pPr>
            <w:r>
              <w:rPr>
                <w:sz w:val="14"/>
              </w:rPr>
              <w:t xml:space="preserve">(1) (b),    </w:t>
            </w:r>
          </w:p>
          <w:p>
            <w:pPr>
              <w:pStyle w:val="1"/>
              <w:jc w:val="both"/>
            </w:pPr>
            <w:r>
              <w:rPr>
                <w:sz w:val="14"/>
              </w:rPr>
              <w:t xml:space="preserve">second      </w:t>
            </w:r>
          </w:p>
          <w:p>
            <w:pPr>
              <w:pStyle w:val="1"/>
              <w:jc w:val="both"/>
            </w:pPr>
            <w:r>
              <w:rPr>
                <w:sz w:val="14"/>
              </w:rPr>
              <w:t xml:space="preserve">indent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67,  </w:t>
            </w:r>
          </w:p>
          <w:p>
            <w:pPr>
              <w:pStyle w:val="1"/>
              <w:jc w:val="both"/>
            </w:pPr>
            <w:r>
              <w:rPr>
                <w:sz w:val="14"/>
              </w:rPr>
              <w:t xml:space="preserve">point (c)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2   </w:t>
            </w:r>
          </w:p>
          <w:p>
            <w:pPr>
              <w:pStyle w:val="1"/>
              <w:jc w:val="both"/>
            </w:pPr>
            <w:r>
              <w:rPr>
                <w:sz w:val="14"/>
              </w:rPr>
              <w:t xml:space="preserve">(1) (c)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2   </w:t>
            </w:r>
          </w:p>
          <w:p>
            <w:pPr>
              <w:pStyle w:val="1"/>
              <w:jc w:val="both"/>
            </w:pPr>
            <w:r>
              <w:rPr>
                <w:sz w:val="14"/>
              </w:rPr>
              <w:t xml:space="preserve">(2)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3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67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4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67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5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6,  </w:t>
            </w:r>
          </w:p>
          <w:p>
            <w:pPr>
              <w:pStyle w:val="1"/>
              <w:jc w:val="both"/>
            </w:pPr>
            <w:r>
              <w:rPr>
                <w:sz w:val="14"/>
              </w:rPr>
              <w:t xml:space="preserve">first       </w:t>
            </w:r>
          </w:p>
          <w:p>
            <w:pPr>
              <w:pStyle w:val="1"/>
              <w:jc w:val="both"/>
            </w:pPr>
            <w:r>
              <w:rPr>
                <w:sz w:val="14"/>
              </w:rPr>
              <w:t xml:space="preserve">paragraph,  </w:t>
            </w:r>
          </w:p>
          <w:p>
            <w:pPr>
              <w:pStyle w:val="1"/>
              <w:jc w:val="both"/>
            </w:pPr>
            <w:r>
              <w:rPr>
                <w:sz w:val="14"/>
              </w:rPr>
              <w:t xml:space="preserve">introductory</w:t>
            </w:r>
          </w:p>
          <w:p>
            <w:pPr>
              <w:pStyle w:val="1"/>
              <w:jc w:val="both"/>
            </w:pPr>
            <w:r>
              <w:rPr>
                <w:sz w:val="14"/>
              </w:rPr>
              <w:t xml:space="preserve">wording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68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6,  </w:t>
            </w:r>
          </w:p>
          <w:p>
            <w:pPr>
              <w:pStyle w:val="1"/>
              <w:jc w:val="both"/>
            </w:pPr>
            <w:r>
              <w:rPr>
                <w:sz w:val="14"/>
              </w:rPr>
              <w:t xml:space="preserve">first       </w:t>
            </w:r>
          </w:p>
          <w:p>
            <w:pPr>
              <w:pStyle w:val="1"/>
              <w:jc w:val="both"/>
            </w:pPr>
            <w:r>
              <w:rPr>
                <w:sz w:val="14"/>
              </w:rPr>
              <w:t xml:space="preserve">paragraph,  </w:t>
            </w:r>
          </w:p>
          <w:p>
            <w:pPr>
              <w:pStyle w:val="1"/>
              <w:jc w:val="both"/>
            </w:pPr>
            <w:r>
              <w:rPr>
                <w:sz w:val="14"/>
              </w:rPr>
              <w:t xml:space="preserve">point (a)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VIII,  </w:t>
            </w:r>
          </w:p>
          <w:p>
            <w:pPr>
              <w:pStyle w:val="1"/>
              <w:jc w:val="both"/>
            </w:pPr>
            <w:r>
              <w:rPr>
                <w:sz w:val="14"/>
              </w:rPr>
              <w:t xml:space="preserve">Part 1, point</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6,  </w:t>
            </w:r>
          </w:p>
          <w:p>
            <w:pPr>
              <w:pStyle w:val="1"/>
              <w:jc w:val="both"/>
            </w:pPr>
            <w:r>
              <w:rPr>
                <w:sz w:val="14"/>
              </w:rPr>
              <w:t xml:space="preserve">first       </w:t>
            </w:r>
          </w:p>
          <w:p>
            <w:pPr>
              <w:pStyle w:val="1"/>
              <w:jc w:val="both"/>
            </w:pPr>
            <w:r>
              <w:rPr>
                <w:sz w:val="14"/>
              </w:rPr>
              <w:t xml:space="preserve">paragraph,  </w:t>
            </w:r>
          </w:p>
          <w:p>
            <w:pPr>
              <w:pStyle w:val="1"/>
              <w:jc w:val="both"/>
            </w:pPr>
            <w:r>
              <w:rPr>
                <w:sz w:val="14"/>
              </w:rPr>
              <w:t xml:space="preserve">point (b)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VIII,  </w:t>
            </w:r>
          </w:p>
          <w:p>
            <w:pPr>
              <w:pStyle w:val="1"/>
              <w:jc w:val="both"/>
            </w:pPr>
            <w:r>
              <w:rPr>
                <w:sz w:val="14"/>
              </w:rPr>
              <w:t xml:space="preserve">Part 1, point</w:t>
            </w:r>
          </w:p>
          <w:p>
            <w:pPr>
              <w:pStyle w:val="1"/>
              <w:jc w:val="both"/>
            </w:pPr>
            <w:r>
              <w:rPr>
                <w:sz w:val="14"/>
              </w:rPr>
              <w:t xml:space="preserve">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6,  </w:t>
            </w:r>
          </w:p>
          <w:p>
            <w:pPr>
              <w:pStyle w:val="1"/>
              <w:jc w:val="both"/>
            </w:pPr>
            <w:r>
              <w:rPr>
                <w:sz w:val="14"/>
              </w:rPr>
              <w:t xml:space="preserve">second      </w:t>
            </w:r>
          </w:p>
          <w:p>
            <w:pPr>
              <w:pStyle w:val="1"/>
              <w:jc w:val="both"/>
            </w:pPr>
            <w:r>
              <w:rPr>
                <w:sz w:val="14"/>
              </w:rPr>
              <w:t xml:space="preserve">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VIII,  </w:t>
            </w:r>
          </w:p>
          <w:p>
            <w:pPr>
              <w:pStyle w:val="1"/>
              <w:jc w:val="both"/>
            </w:pPr>
            <w:r>
              <w:rPr>
                <w:sz w:val="14"/>
              </w:rPr>
              <w:t xml:space="preserve">Part 1, point</w:t>
            </w:r>
          </w:p>
          <w:p>
            <w:pPr>
              <w:pStyle w:val="1"/>
              <w:jc w:val="both"/>
            </w:pPr>
            <w:r>
              <w:rPr>
                <w:sz w:val="14"/>
              </w:rPr>
              <w:t xml:space="preserve">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7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8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9   </w:t>
            </w:r>
          </w:p>
          <w:p>
            <w:pPr>
              <w:pStyle w:val="1"/>
              <w:jc w:val="both"/>
            </w:pPr>
            <w:r>
              <w:rPr>
                <w:sz w:val="14"/>
              </w:rPr>
              <w:t xml:space="preserve">(1)         </w:t>
            </w:r>
          </w:p>
          <w:p>
            <w:pPr>
              <w:pStyle w:val="1"/>
              <w:jc w:val="both"/>
            </w:pPr>
            <w:r>
              <w:rPr>
                <w:sz w:val="14"/>
              </w:rPr>
              <w:t xml:space="preserve">introductory</w:t>
            </w:r>
          </w:p>
          <w:p>
            <w:pPr>
              <w:pStyle w:val="1"/>
              <w:jc w:val="both"/>
            </w:pPr>
            <w:r>
              <w:rPr>
                <w:sz w:val="14"/>
              </w:rPr>
              <w:t xml:space="preserve">wording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69   </w:t>
            </w:r>
          </w:p>
          <w:p>
            <w:pPr>
              <w:pStyle w:val="1"/>
              <w:jc w:val="both"/>
            </w:pPr>
            <w:r>
              <w:rPr>
                <w:sz w:val="14"/>
              </w:rPr>
              <w:t xml:space="preserve">(2)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9   </w:t>
            </w:r>
          </w:p>
          <w:p>
            <w:pPr>
              <w:pStyle w:val="1"/>
              <w:jc w:val="both"/>
            </w:pPr>
            <w:r>
              <w:rPr>
                <w:sz w:val="14"/>
              </w:rPr>
              <w:t xml:space="preserve">(1) (a),    </w:t>
            </w:r>
          </w:p>
          <w:p>
            <w:pPr>
              <w:pStyle w:val="1"/>
              <w:jc w:val="both"/>
            </w:pPr>
            <w:r>
              <w:rPr>
                <w:sz w:val="14"/>
              </w:rPr>
              <w:t xml:space="preserve">introductory</w:t>
            </w:r>
          </w:p>
          <w:p>
            <w:pPr>
              <w:pStyle w:val="1"/>
              <w:jc w:val="both"/>
            </w:pPr>
            <w:r>
              <w:rPr>
                <w:sz w:val="14"/>
              </w:rPr>
              <w:t xml:space="preserve">wording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9   </w:t>
            </w:r>
          </w:p>
          <w:p>
            <w:pPr>
              <w:pStyle w:val="1"/>
              <w:jc w:val="both"/>
            </w:pPr>
            <w:r>
              <w:rPr>
                <w:sz w:val="14"/>
              </w:rPr>
              <w:t xml:space="preserve">(1) (a) (i)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VIII,  </w:t>
            </w:r>
          </w:p>
          <w:p>
            <w:pPr>
              <w:pStyle w:val="1"/>
              <w:jc w:val="both"/>
            </w:pPr>
            <w:r>
              <w:rPr>
                <w:sz w:val="14"/>
              </w:rPr>
              <w:t xml:space="preserve">Part 2, point</w:t>
            </w:r>
          </w:p>
          <w:p>
            <w:pPr>
              <w:pStyle w:val="1"/>
              <w:jc w:val="both"/>
            </w:pPr>
            <w:r>
              <w:rPr>
                <w:sz w:val="14"/>
              </w:rPr>
              <w:t xml:space="preserve">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9   </w:t>
            </w:r>
          </w:p>
          <w:p>
            <w:pPr>
              <w:pStyle w:val="1"/>
              <w:jc w:val="both"/>
            </w:pPr>
            <w:r>
              <w:rPr>
                <w:sz w:val="14"/>
              </w:rPr>
              <w:t xml:space="preserve">(1) (a) (ii)</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VIII,  </w:t>
            </w:r>
          </w:p>
          <w:p>
            <w:pPr>
              <w:pStyle w:val="1"/>
              <w:jc w:val="both"/>
            </w:pPr>
            <w:r>
              <w:rPr>
                <w:sz w:val="14"/>
              </w:rPr>
              <w:t xml:space="preserve">Part 2, point</w:t>
            </w:r>
          </w:p>
          <w:p>
            <w:pPr>
              <w:pStyle w:val="1"/>
              <w:jc w:val="both"/>
            </w:pPr>
            <w:r>
              <w:rPr>
                <w:sz w:val="14"/>
              </w:rPr>
              <w:t xml:space="preserve">3,           </w:t>
            </w:r>
          </w:p>
          <w:p>
            <w:pPr>
              <w:pStyle w:val="1"/>
              <w:jc w:val="both"/>
            </w:pPr>
            <w:r>
              <w:rPr>
                <w:sz w:val="14"/>
              </w:rPr>
              <w:t xml:space="preserve">introductory </w:t>
            </w:r>
          </w:p>
          <w:p>
            <w:pPr>
              <w:pStyle w:val="1"/>
              <w:jc w:val="both"/>
            </w:pPr>
            <w:r>
              <w:rPr>
                <w:sz w:val="14"/>
              </w:rPr>
              <w:t xml:space="preserve">wording, and </w:t>
            </w:r>
          </w:p>
          <w:p>
            <w:pPr>
              <w:pStyle w:val="1"/>
              <w:jc w:val="both"/>
            </w:pPr>
            <w:r>
              <w:rPr>
                <w:sz w:val="14"/>
              </w:rPr>
              <w:t xml:space="preserve">point 3 (a)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9   </w:t>
            </w:r>
          </w:p>
          <w:p>
            <w:pPr>
              <w:pStyle w:val="1"/>
              <w:jc w:val="both"/>
            </w:pPr>
            <w:r>
              <w:rPr>
                <w:sz w:val="14"/>
              </w:rPr>
              <w:t xml:space="preserve">(1) (a)     </w:t>
            </w:r>
          </w:p>
          <w:p>
            <w:pPr>
              <w:pStyle w:val="1"/>
              <w:jc w:val="both"/>
            </w:pPr>
            <w:r>
              <w:rPr>
                <w:sz w:val="14"/>
              </w:rPr>
              <w:t xml:space="preserve">(iii)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69   </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9   </w:t>
            </w:r>
          </w:p>
          <w:p>
            <w:pPr>
              <w:pStyle w:val="1"/>
              <w:jc w:val="both"/>
            </w:pPr>
            <w:r>
              <w:rPr>
                <w:sz w:val="14"/>
              </w:rPr>
              <w:t xml:space="preserve">(1) (a) (iv)</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VIII,  </w:t>
            </w:r>
          </w:p>
          <w:p>
            <w:pPr>
              <w:pStyle w:val="1"/>
              <w:jc w:val="both"/>
            </w:pPr>
            <w:r>
              <w:rPr>
                <w:sz w:val="14"/>
              </w:rPr>
              <w:t xml:space="preserve">Part 2, point</w:t>
            </w:r>
          </w:p>
          <w:p>
            <w:pPr>
              <w:pStyle w:val="1"/>
              <w:jc w:val="both"/>
            </w:pPr>
            <w:r>
              <w:rPr>
                <w:sz w:val="14"/>
              </w:rPr>
              <w:t xml:space="preserve">3 (b)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9   </w:t>
            </w:r>
          </w:p>
          <w:p>
            <w:pPr>
              <w:pStyle w:val="1"/>
              <w:jc w:val="both"/>
            </w:pPr>
            <w:r>
              <w:rPr>
                <w:sz w:val="14"/>
              </w:rPr>
              <w:t xml:space="preserve">(1) (a) (v)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9   </w:t>
            </w:r>
          </w:p>
          <w:p>
            <w:pPr>
              <w:pStyle w:val="1"/>
              <w:jc w:val="both"/>
            </w:pPr>
            <w:r>
              <w:rPr>
                <w:sz w:val="14"/>
              </w:rPr>
              <w:t xml:space="preserve">(1) (b)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VIII,  </w:t>
            </w:r>
          </w:p>
          <w:p>
            <w:pPr>
              <w:pStyle w:val="1"/>
              <w:jc w:val="both"/>
            </w:pPr>
            <w:r>
              <w:rPr>
                <w:sz w:val="14"/>
              </w:rPr>
              <w:t xml:space="preserve">Part 2, point</w:t>
            </w:r>
          </w:p>
          <w:p>
            <w:pPr>
              <w:pStyle w:val="1"/>
              <w:jc w:val="both"/>
            </w:pPr>
            <w:r>
              <w:rPr>
                <w:sz w:val="14"/>
              </w:rPr>
              <w:t xml:space="preserve">4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9   </w:t>
            </w:r>
          </w:p>
          <w:p>
            <w:pPr>
              <w:pStyle w:val="1"/>
              <w:jc w:val="both"/>
            </w:pPr>
            <w:r>
              <w:rPr>
                <w:sz w:val="14"/>
              </w:rPr>
              <w:t xml:space="preserve">(2) and (3)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Article 11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points (d)   </w:t>
            </w:r>
          </w:p>
          <w:p>
            <w:pPr>
              <w:pStyle w:val="1"/>
              <w:jc w:val="both"/>
            </w:pPr>
            <w:r>
              <w:rPr>
                <w:sz w:val="14"/>
              </w:rPr>
              <w:t xml:space="preserve">and (e)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t xml:space="preserve">Annex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introductory </w:t>
            </w:r>
          </w:p>
          <w:p>
            <w:pPr>
              <w:pStyle w:val="1"/>
              <w:jc w:val="both"/>
            </w:pPr>
            <w:r>
              <w:rPr>
                <w:sz w:val="14"/>
              </w:rPr>
              <w:t xml:space="preserve">wording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introductory </w:t>
            </w:r>
          </w:p>
          <w:p>
            <w:pPr>
              <w:pStyle w:val="1"/>
              <w:jc w:val="both"/>
            </w:pPr>
            <w:r>
              <w:rPr>
                <w:sz w:val="14"/>
              </w:rPr>
              <w:t xml:space="preserve">wording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(1)</w:t>
            </w:r>
          </w:p>
        </w:tc>
        <w:tc>
          <w:tcPr>
            <w:tcW w:w="1215" w:type="dxa"/>
            <w:tcBorders>
              <w:top w:val="nil"/>
            </w:tcBorders>
          </w:tcPr>
          <w:p>
            <w:pPr>
              <w:pStyle w:val="1"/>
              <w:jc w:val="both"/>
            </w:pPr>
            <w:r>
              <w:rPr>
                <w:sz w:val="14"/>
              </w:rPr>
              <w:t xml:space="preserve">Article 2    </w:t>
            </w:r>
          </w:p>
          <w:p>
            <w:pPr>
              <w:pStyle w:val="1"/>
              <w:jc w:val="both"/>
            </w:pPr>
            <w:r>
              <w:rPr>
                <w:sz w:val="14"/>
              </w:rPr>
              <w:t xml:space="preserve">(14)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(1)</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(3)</w:t>
            </w:r>
          </w:p>
        </w:tc>
        <w:tc>
          <w:tcPr>
            <w:tcW w:w="1215" w:type="dxa"/>
            <w:tcBorders>
              <w:top w:val="nil"/>
            </w:tcBorders>
          </w:tcPr>
          <w:p>
            <w:pPr>
              <w:pStyle w:val="1"/>
              <w:jc w:val="both"/>
            </w:pPr>
            <w:r>
              <w:rPr>
                <w:sz w:val="14"/>
              </w:rPr>
              <w:t xml:space="preserve">Article 2 (1)</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(3)</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(4)</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(5)</w:t>
            </w:r>
          </w:p>
        </w:tc>
        <w:tc>
          <w:tcPr>
            <w:tcW w:w="1215" w:type="dxa"/>
            <w:tcBorders>
              <w:top w:val="nil"/>
            </w:tcBorders>
          </w:tcPr>
          <w:p>
            <w:pPr>
              <w:pStyle w:val="1"/>
              <w:jc w:val="both"/>
            </w:pPr>
            <w:r>
              <w:rPr>
                <w:sz w:val="14"/>
              </w:rPr>
              <w:t xml:space="preserve">Article 2 (9)</w:t>
            </w:r>
          </w:p>
        </w:tc>
        <w:tc>
          <w:tcPr>
            <w:tcW w:w="1215" w:type="dxa"/>
            <w:tcBorders>
              <w:top w:val="nil"/>
            </w:tcBorders>
          </w:tcPr>
          <w:p>
            <w:pPr>
              <w:pStyle w:val="1"/>
              <w:jc w:val="both"/>
            </w:pPr>
            <w:r>
              <w:rPr>
                <w:sz w:val="14"/>
              </w:rPr>
              <w:t xml:space="preserve">Article 3 (8)</w:t>
            </w:r>
          </w:p>
        </w:tc>
        <w:tc>
          <w:tcPr>
            <w:tcW w:w="1215" w:type="dxa"/>
            <w:tcBorders>
              <w:top w:val="nil"/>
            </w:tcBorders>
          </w:tcPr>
          <w:p>
            <w:pPr>
              <w:pStyle w:val="1"/>
              <w:jc w:val="both"/>
            </w:pPr>
            <w:r>
              <w:rPr>
                <w:sz w:val="14"/>
              </w:rPr>
              <w:t xml:space="preserve">Article 2 (1)</w:t>
            </w:r>
          </w:p>
        </w:tc>
        <w:tc>
          <w:tcPr>
            <w:tcW w:w="1215" w:type="dxa"/>
            <w:tcBorders>
              <w:top w:val="nil"/>
            </w:tcBorders>
          </w:tcPr>
          <w:p>
            <w:pPr>
              <w:pStyle w:val="1"/>
              <w:jc w:val="both"/>
            </w:pPr>
            <w:r>
              <w:rPr>
                <w:sz w:val="14"/>
              </w:rPr>
              <w:t xml:space="preserve">Article 3 (4)</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(6), first   </w:t>
            </w:r>
          </w:p>
          <w:p>
            <w:pPr>
              <w:pStyle w:val="1"/>
              <w:jc w:val="both"/>
            </w:pPr>
            <w:r>
              <w:rPr>
                <w:sz w:val="14"/>
              </w:rPr>
              <w:t xml:space="preserve">sentence     </w:t>
            </w:r>
          </w:p>
        </w:tc>
        <w:tc>
          <w:tcPr>
            <w:tcW w:w="1215" w:type="dxa"/>
            <w:tcBorders>
              <w:top w:val="nil"/>
            </w:tcBorders>
          </w:tcPr>
          <w:p>
            <w:pPr>
              <w:pStyle w:val="1"/>
              <w:jc w:val="both"/>
            </w:pPr>
            <w:r>
              <w:rPr>
                <w:sz w:val="14"/>
              </w:rPr>
              <w:t xml:space="preserve">Article 2    </w:t>
            </w:r>
          </w:p>
          <w:p>
            <w:pPr>
              <w:pStyle w:val="1"/>
              <w:jc w:val="both"/>
            </w:pPr>
            <w:r>
              <w:rPr>
                <w:sz w:val="14"/>
              </w:rPr>
              <w:t xml:space="preserve">(13)         </w:t>
            </w:r>
          </w:p>
        </w:tc>
        <w:tc>
          <w:tcPr>
            <w:tcW w:w="1215" w:type="dxa"/>
            <w:tcBorders>
              <w:top w:val="nil"/>
            </w:tcBorders>
          </w:tcPr>
          <w:p>
            <w:pPr>
              <w:pStyle w:val="1"/>
              <w:jc w:val="both"/>
            </w:pPr>
            <w:r>
              <w:rPr>
                <w:sz w:val="14"/>
              </w:rPr>
              <w:t xml:space="preserve">Article 3 (9)</w:t>
            </w:r>
          </w:p>
        </w:tc>
        <w:tc>
          <w:tcPr>
            <w:tcW w:w="1215" w:type="dxa"/>
            <w:tcBorders>
              <w:top w:val="nil"/>
            </w:tcBorders>
          </w:tcPr>
          <w:p>
            <w:pPr>
              <w:pStyle w:val="1"/>
              <w:jc w:val="both"/>
            </w:pPr>
            <w:r>
              <w:rPr>
                <w:sz w:val="14"/>
              </w:rPr>
              <w:t xml:space="preserve">Article 2    </w:t>
            </w:r>
          </w:p>
          <w:p>
            <w:pPr>
              <w:pStyle w:val="1"/>
              <w:jc w:val="both"/>
            </w:pPr>
            <w:r>
              <w:rPr>
                <w:sz w:val="14"/>
              </w:rPr>
              <w:t xml:space="preserve">(3), first   </w:t>
            </w:r>
          </w:p>
          <w:p>
            <w:pPr>
              <w:pStyle w:val="1"/>
              <w:jc w:val="both"/>
            </w:pPr>
            <w:r>
              <w:rPr>
                <w:sz w:val="14"/>
              </w:rPr>
              <w:t xml:space="preserve">part         </w:t>
            </w:r>
          </w:p>
        </w:tc>
        <w:tc>
          <w:tcPr>
            <w:tcW w:w="1215" w:type="dxa"/>
            <w:tcBorders>
              <w:top w:val="nil"/>
            </w:tcBorders>
          </w:tcPr>
          <w:p>
            <w:pPr>
              <w:pStyle w:val="1"/>
              <w:jc w:val="both"/>
            </w:pPr>
            <w:r>
              <w:rPr>
                <w:sz w:val="14"/>
              </w:rPr>
              <w:t xml:space="preserve">Article 3 (5)</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(6), second  </w:t>
            </w:r>
          </w:p>
          <w:p>
            <w:pPr>
              <w:pStyle w:val="1"/>
              <w:jc w:val="both"/>
            </w:pPr>
            <w:r>
              <w:rPr>
                <w:sz w:val="14"/>
              </w:rPr>
              <w:t xml:space="preserve">sentence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15   </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(7)</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(6)</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(8)</w:t>
            </w:r>
          </w:p>
        </w:tc>
        <w:tc>
          <w:tcPr>
            <w:tcW w:w="1215" w:type="dxa"/>
            <w:tcBorders>
              <w:top w:val="nil"/>
            </w:tcBorders>
          </w:tcPr>
          <w:p>
            <w:pPr>
              <w:pStyle w:val="1"/>
              <w:jc w:val="both"/>
            </w:pPr>
            <w:r>
              <w:rPr>
                <w:sz w:val="14"/>
              </w:rPr>
              <w:t xml:space="preserve">Article 2 (5)</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71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(9), first   </w:t>
            </w:r>
          </w:p>
          <w:p>
            <w:pPr>
              <w:pStyle w:val="1"/>
              <w:jc w:val="both"/>
            </w:pPr>
            <w:r>
              <w:rPr>
                <w:sz w:val="14"/>
              </w:rPr>
              <w:t xml:space="preserve">sentence     </w:t>
            </w:r>
          </w:p>
        </w:tc>
        <w:tc>
          <w:tcPr>
            <w:tcW w:w="1215" w:type="dxa"/>
            <w:tcBorders>
              <w:top w:val="nil"/>
            </w:tcBorders>
          </w:tcPr>
          <w:p>
            <w:pPr>
              <w:pStyle w:val="1"/>
              <w:jc w:val="both"/>
            </w:pPr>
            <w:r>
              <w:rPr>
                <w:sz w:val="14"/>
              </w:rPr>
              <w:t xml:space="preserve">Article 2 (7)</w:t>
            </w:r>
          </w:p>
        </w:tc>
        <w:tc>
          <w:tcPr>
            <w:tcW w:w="1215" w:type="dxa"/>
            <w:tcBorders>
              <w:top w:val="nil"/>
            </w:tcBorders>
          </w:tcPr>
          <w:p>
            <w:pPr>
              <w:pStyle w:val="1"/>
              <w:jc w:val="both"/>
            </w:pPr>
            <w:r>
              <w:rPr>
                <w:sz w:val="14"/>
              </w:rPr>
              <w:t xml:space="preserve">Article 3    </w:t>
            </w:r>
          </w:p>
          <w:p>
            <w:pPr>
              <w:pStyle w:val="1"/>
              <w:jc w:val="both"/>
            </w:pPr>
            <w:r>
              <w:rPr>
                <w:sz w:val="14"/>
              </w:rPr>
              <w:t xml:space="preserve">(12)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(7)</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(9), second  </w:t>
            </w:r>
          </w:p>
          <w:p>
            <w:pPr>
              <w:pStyle w:val="1"/>
              <w:jc w:val="both"/>
            </w:pPr>
            <w:r>
              <w:rPr>
                <w:sz w:val="14"/>
              </w:rPr>
              <w:t xml:space="preserve">sentence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    </w:t>
            </w:r>
          </w:p>
          <w:p>
            <w:pPr>
              <w:pStyle w:val="1"/>
              <w:jc w:val="both"/>
            </w:pPr>
            <w:r>
              <w:rPr>
                <w:sz w:val="14"/>
              </w:rPr>
              <w:t xml:space="preserve">(2), first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4    </w:t>
            </w:r>
          </w:p>
          <w:p>
            <w:pPr>
              <w:pStyle w:val="1"/>
              <w:jc w:val="both"/>
            </w:pPr>
            <w:r>
              <w:rPr>
                <w:sz w:val="14"/>
              </w:rPr>
              <w:t xml:space="preserve">(2), second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4 (3)</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(10)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3 (8)</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(11), first  </w:t>
            </w:r>
          </w:p>
          <w:p>
            <w:pPr>
              <w:pStyle w:val="1"/>
              <w:jc w:val="both"/>
            </w:pPr>
            <w:r>
              <w:rPr>
                <w:sz w:val="14"/>
              </w:rPr>
              <w:t xml:space="preserve">sentence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(9)</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(11), second </w:t>
            </w:r>
          </w:p>
          <w:p>
            <w:pPr>
              <w:pStyle w:val="1"/>
              <w:jc w:val="both"/>
            </w:pPr>
            <w:r>
              <w:rPr>
                <w:sz w:val="14"/>
              </w:rPr>
              <w:t xml:space="preserve">sentence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20   </w:t>
            </w:r>
          </w:p>
          <w:p>
            <w:pPr>
              <w:pStyle w:val="1"/>
              <w:jc w:val="both"/>
            </w:pPr>
            <w:r>
              <w:rPr>
                <w:sz w:val="14"/>
              </w:rPr>
              <w:t xml:space="preserve">(3)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(12), first  </w:t>
            </w:r>
          </w:p>
          <w:p>
            <w:pPr>
              <w:pStyle w:val="1"/>
              <w:jc w:val="both"/>
            </w:pPr>
            <w:r>
              <w:rPr>
                <w:sz w:val="14"/>
              </w:rPr>
              <w:t xml:space="preserve">subparagraph </w:t>
            </w:r>
          </w:p>
          <w:p>
            <w:pPr>
              <w:pStyle w:val="1"/>
              <w:jc w:val="both"/>
            </w:pPr>
            <w:r>
              <w:rPr>
                <w:sz w:val="14"/>
              </w:rPr>
              <w:t xml:space="preserve">and Annex IV,</w:t>
            </w:r>
          </w:p>
          <w:p>
            <w:pPr>
              <w:pStyle w:val="1"/>
              <w:jc w:val="both"/>
            </w:pPr>
            <w:r>
              <w:rPr>
                <w:sz w:val="14"/>
              </w:rPr>
              <w:t xml:space="preserve">introductory </w:t>
            </w:r>
          </w:p>
          <w:p>
            <w:pPr>
              <w:pStyle w:val="1"/>
              <w:jc w:val="both"/>
            </w:pPr>
            <w:r>
              <w:rPr>
                <w:sz w:val="14"/>
              </w:rPr>
              <w:t xml:space="preserve">wording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(10)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(12), second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Articles 14  </w:t>
            </w:r>
          </w:p>
          <w:p>
            <w:pPr>
              <w:pStyle w:val="1"/>
              <w:jc w:val="both"/>
            </w:pPr>
            <w:r>
              <w:rPr>
                <w:sz w:val="14"/>
              </w:rPr>
              <w:t xml:space="preserve">(5), point   </w:t>
            </w:r>
          </w:p>
          <w:p>
            <w:pPr>
              <w:pStyle w:val="1"/>
              <w:jc w:val="both"/>
            </w:pPr>
            <w:r>
              <w:rPr>
                <w:sz w:val="14"/>
              </w:rPr>
              <w:t xml:space="preserve">(a) and 14   </w:t>
            </w:r>
          </w:p>
          <w:p>
            <w:pPr>
              <w:pStyle w:val="1"/>
              <w:jc w:val="both"/>
            </w:pPr>
            <w:r>
              <w:rPr>
                <w:sz w:val="14"/>
              </w:rPr>
              <w:t xml:space="preserve">(6)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(13)         </w:t>
            </w:r>
          </w:p>
        </w:tc>
        <w:tc>
          <w:tcPr>
            <w:tcW w:w="1215" w:type="dxa"/>
            <w:tcBorders>
              <w:top w:val="nil"/>
            </w:tcBorders>
          </w:tcPr>
          <w:p>
            <w:pPr>
              <w:pStyle w:val="1"/>
              <w:jc w:val="both"/>
            </w:pPr>
            <w:r>
              <w:rPr>
                <w:sz w:val="14"/>
              </w:rPr>
              <w:t xml:space="preserve">Article 2 (6)</w:t>
            </w:r>
          </w:p>
        </w:tc>
        <w:tc>
          <w:tcPr>
            <w:tcW w:w="1215" w:type="dxa"/>
            <w:tcBorders>
              <w:top w:val="nil"/>
            </w:tcBorders>
          </w:tcPr>
          <w:p>
            <w:pPr>
              <w:pStyle w:val="1"/>
              <w:jc w:val="both"/>
            </w:pPr>
            <w:r>
              <w:rPr>
                <w:sz w:val="14"/>
              </w:rPr>
              <w:t xml:space="preserve">Article 3    </w:t>
            </w:r>
          </w:p>
          <w:p>
            <w:pPr>
              <w:pStyle w:val="1"/>
              <w:jc w:val="both"/>
            </w:pPr>
            <w:r>
              <w:rPr>
                <w:sz w:val="14"/>
              </w:rPr>
              <w:t xml:space="preserve">(11)         </w:t>
            </w:r>
          </w:p>
        </w:tc>
        <w:tc>
          <w:tcPr>
            <w:tcW w:w="1215" w:type="dxa"/>
            <w:tcBorders>
              <w:top w:val="nil"/>
            </w:tcBorders>
          </w:tcPr>
          <w:p>
            <w:pPr>
              <w:pStyle w:val="1"/>
              <w:jc w:val="both"/>
            </w:pPr>
            <w:r>
              <w:rPr>
                <w:sz w:val="14"/>
              </w:rPr>
              <w:t xml:space="preserve">Article 2 (5)</w:t>
            </w:r>
          </w:p>
        </w:tc>
        <w:tc>
          <w:tcPr>
            <w:tcW w:w="1215" w:type="dxa"/>
            <w:tcBorders>
              <w:top w:val="nil"/>
            </w:tcBorders>
          </w:tcPr>
          <w:p>
            <w:pPr>
              <w:pStyle w:val="1"/>
              <w:jc w:val="both"/>
            </w:pPr>
            <w:r>
              <w:rPr>
                <w:sz w:val="14"/>
              </w:rPr>
              <w:t xml:space="preserve">Article 3    </w:t>
            </w:r>
          </w:p>
          <w:p>
            <w:pPr>
              <w:pStyle w:val="1"/>
              <w:jc w:val="both"/>
            </w:pPr>
            <w:r>
              <w:rPr>
                <w:sz w:val="14"/>
              </w:rPr>
              <w:t xml:space="preserve">(15)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(14)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(16)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(15)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(17)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3    </w:t>
            </w:r>
          </w:p>
          <w:p>
            <w:pPr>
              <w:pStyle w:val="1"/>
              <w:jc w:val="both"/>
            </w:pPr>
            <w:r>
              <w:rPr>
                <w:sz w:val="14"/>
              </w:rPr>
              <w:t xml:space="preserve">(11) to (14),</w:t>
            </w:r>
          </w:p>
          <w:p>
            <w:pPr>
              <w:pStyle w:val="1"/>
              <w:jc w:val="both"/>
            </w:pPr>
            <w:r>
              <w:rPr>
                <w:sz w:val="14"/>
              </w:rPr>
              <w:t xml:space="preserve">(18) to (23),</w:t>
            </w:r>
          </w:p>
          <w:p>
            <w:pPr>
              <w:pStyle w:val="1"/>
              <w:jc w:val="both"/>
            </w:pPr>
            <w:r>
              <w:rPr>
                <w:sz w:val="14"/>
              </w:rPr>
              <w:t xml:space="preserve">(26) to (30) </w:t>
            </w:r>
          </w:p>
          <w:p>
            <w:pPr>
              <w:pStyle w:val="1"/>
              <w:jc w:val="both"/>
            </w:pPr>
            <w:r>
              <w:rPr>
                <w:sz w:val="14"/>
              </w:rPr>
              <w:t xml:space="preserve">and (34) to  </w:t>
            </w:r>
          </w:p>
          <w:p>
            <w:pPr>
              <w:pStyle w:val="1"/>
              <w:jc w:val="both"/>
            </w:pPr>
            <w:r>
              <w:rPr>
                <w:sz w:val="14"/>
              </w:rPr>
              <w:t xml:space="preserve">(36)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(1),         </w:t>
            </w:r>
          </w:p>
          <w:p>
            <w:pPr>
              <w:pStyle w:val="1"/>
              <w:jc w:val="both"/>
            </w:pPr>
            <w:r>
              <w:rPr>
                <w:sz w:val="14"/>
              </w:rPr>
              <w:t xml:space="preserve">introductory </w:t>
            </w:r>
          </w:p>
          <w:p>
            <w:pPr>
              <w:pStyle w:val="1"/>
              <w:jc w:val="both"/>
            </w:pPr>
            <w:r>
              <w:rPr>
                <w:sz w:val="14"/>
              </w:rPr>
              <w:t xml:space="preserve">wording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introductory </w:t>
            </w:r>
          </w:p>
          <w:p>
            <w:pPr>
              <w:pStyle w:val="1"/>
              <w:jc w:val="both"/>
            </w:pPr>
            <w:r>
              <w:rPr>
                <w:sz w:val="14"/>
              </w:rPr>
              <w:t xml:space="preserve">wording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(1), point   </w:t>
            </w:r>
          </w:p>
          <w:p>
            <w:pPr>
              <w:pStyle w:val="1"/>
              <w:jc w:val="both"/>
            </w:pPr>
            <w:r>
              <w:rPr>
                <w:sz w:val="14"/>
              </w:rPr>
              <w:t xml:space="preserve">(a)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points (a)   </w:t>
            </w:r>
          </w:p>
          <w:p>
            <w:pPr>
              <w:pStyle w:val="1"/>
              <w:jc w:val="both"/>
            </w:pPr>
            <w:r>
              <w:rPr>
                <w:sz w:val="14"/>
              </w:rPr>
              <w:t xml:space="preserve">and (b)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(1), point   </w:t>
            </w:r>
          </w:p>
          <w:p>
            <w:pPr>
              <w:pStyle w:val="1"/>
              <w:jc w:val="both"/>
            </w:pPr>
            <w:r>
              <w:rPr>
                <w:sz w:val="14"/>
              </w:rPr>
              <w:t xml:space="preserve">(b)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point (c)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(1), point   </w:t>
            </w:r>
          </w:p>
          <w:p>
            <w:pPr>
              <w:pStyle w:val="1"/>
              <w:jc w:val="both"/>
            </w:pPr>
            <w:r>
              <w:rPr>
                <w:sz w:val="14"/>
              </w:rPr>
              <w:t xml:space="preserve">(c)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points (d)   </w:t>
            </w:r>
          </w:p>
          <w:p>
            <w:pPr>
              <w:pStyle w:val="1"/>
              <w:jc w:val="both"/>
            </w:pPr>
            <w:r>
              <w:rPr>
                <w:sz w:val="14"/>
              </w:rPr>
              <w:t xml:space="preserve">and (e)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(1), point   </w:t>
            </w:r>
          </w:p>
          <w:p>
            <w:pPr>
              <w:pStyle w:val="1"/>
              <w:jc w:val="both"/>
            </w:pPr>
            <w:r>
              <w:rPr>
                <w:sz w:val="14"/>
              </w:rPr>
              <w:t xml:space="preserve">(d)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point (f)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(1), point   </w:t>
            </w:r>
          </w:p>
          <w:p>
            <w:pPr>
              <w:pStyle w:val="1"/>
              <w:jc w:val="both"/>
            </w:pPr>
            <w:r>
              <w:rPr>
                <w:sz w:val="14"/>
              </w:rPr>
              <w:t xml:space="preserve">(e)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point (g)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(1), point   </w:t>
            </w:r>
          </w:p>
          <w:p>
            <w:pPr>
              <w:pStyle w:val="1"/>
              <w:jc w:val="both"/>
            </w:pPr>
            <w:r>
              <w:rPr>
                <w:sz w:val="14"/>
              </w:rPr>
              <w:t xml:space="preserve">(f)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point (h)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(2)</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 (1)</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 (2)</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80   </w:t>
            </w:r>
          </w:p>
          <w:p>
            <w:pPr>
              <w:pStyle w:val="1"/>
              <w:jc w:val="both"/>
            </w:pPr>
            <w:r>
              <w:rPr>
                <w:sz w:val="14"/>
              </w:rPr>
              <w:t xml:space="preserve">(1), second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w:t>
            </w:r>
          </w:p>
          <w:p>
            <w:pPr>
              <w:pStyle w:val="1"/>
              <w:jc w:val="both"/>
            </w:pPr>
            <w:r>
              <w:rPr>
                <w:sz w:val="14"/>
              </w:rPr>
              <w:t xml:space="preserve">(1),         </w:t>
            </w:r>
          </w:p>
          <w:p>
            <w:pPr>
              <w:pStyle w:val="1"/>
              <w:jc w:val="both"/>
            </w:pPr>
            <w:r>
              <w:rPr>
                <w:sz w:val="14"/>
              </w:rPr>
              <w:t xml:space="preserve">introductory </w:t>
            </w:r>
          </w:p>
          <w:p>
            <w:pPr>
              <w:pStyle w:val="1"/>
              <w:jc w:val="both"/>
            </w:pPr>
            <w:r>
              <w:rPr>
                <w:sz w:val="14"/>
              </w:rPr>
              <w:t xml:space="preserve">wording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12   </w:t>
            </w:r>
          </w:p>
          <w:p>
            <w:pPr>
              <w:pStyle w:val="1"/>
              <w:jc w:val="both"/>
            </w:pPr>
            <w:r>
              <w:rPr>
                <w:sz w:val="14"/>
              </w:rPr>
              <w:t xml:space="preserve">(1), first   </w:t>
            </w:r>
          </w:p>
          <w:p>
            <w:pPr>
              <w:pStyle w:val="1"/>
              <w:jc w:val="both"/>
            </w:pPr>
            <w:r>
              <w:rPr>
                <w:sz w:val="14"/>
              </w:rPr>
              <w:t xml:space="preserve">subparagraph,</w:t>
            </w:r>
          </w:p>
          <w:p>
            <w:pPr>
              <w:pStyle w:val="1"/>
              <w:jc w:val="both"/>
            </w:pPr>
            <w:r>
              <w:rPr>
                <w:sz w:val="14"/>
              </w:rPr>
              <w:t xml:space="preserve">introductory </w:t>
            </w:r>
          </w:p>
          <w:p>
            <w:pPr>
              <w:pStyle w:val="1"/>
              <w:jc w:val="both"/>
            </w:pPr>
            <w:r>
              <w:rPr>
                <w:sz w:val="14"/>
              </w:rPr>
              <w:t xml:space="preserve">wording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w:t>
            </w:r>
          </w:p>
          <w:p>
            <w:pPr>
              <w:pStyle w:val="1"/>
              <w:jc w:val="both"/>
            </w:pPr>
            <w:r>
              <w:rPr>
                <w:sz w:val="14"/>
              </w:rPr>
              <w:t xml:space="preserve">(1), first   </w:t>
            </w:r>
          </w:p>
          <w:p>
            <w:pPr>
              <w:pStyle w:val="1"/>
              <w:jc w:val="both"/>
            </w:pPr>
            <w:r>
              <w:rPr>
                <w:sz w:val="14"/>
              </w:rPr>
              <w:t xml:space="preserve">subparagraph,</w:t>
            </w:r>
          </w:p>
          <w:p>
            <w:pPr>
              <w:pStyle w:val="1"/>
              <w:jc w:val="both"/>
            </w:pPr>
            <w:r>
              <w:rPr>
                <w:sz w:val="14"/>
              </w:rPr>
              <w:t xml:space="preserve">points (a) to</w:t>
            </w:r>
          </w:p>
          <w:p>
            <w:pPr>
              <w:pStyle w:val="1"/>
              <w:jc w:val="both"/>
            </w:pPr>
            <w:r>
              <w:rPr>
                <w:sz w:val="14"/>
              </w:rPr>
              <w:t xml:space="preserve">(d)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12   </w:t>
            </w:r>
          </w:p>
          <w:p>
            <w:pPr>
              <w:pStyle w:val="1"/>
              <w:jc w:val="both"/>
            </w:pPr>
            <w:r>
              <w:rPr>
                <w:sz w:val="14"/>
              </w:rPr>
              <w:t xml:space="preserve">(1), first   </w:t>
            </w:r>
          </w:p>
          <w:p>
            <w:pPr>
              <w:pStyle w:val="1"/>
              <w:jc w:val="both"/>
            </w:pPr>
            <w:r>
              <w:rPr>
                <w:sz w:val="14"/>
              </w:rPr>
              <w:t xml:space="preserve">subparagraph,</w:t>
            </w:r>
          </w:p>
          <w:p>
            <w:pPr>
              <w:pStyle w:val="1"/>
              <w:jc w:val="both"/>
            </w:pPr>
            <w:r>
              <w:rPr>
                <w:sz w:val="14"/>
              </w:rPr>
              <w:t xml:space="preserve">points (a) to</w:t>
            </w:r>
          </w:p>
          <w:p>
            <w:pPr>
              <w:pStyle w:val="1"/>
              <w:jc w:val="both"/>
            </w:pPr>
            <w:r>
              <w:rPr>
                <w:sz w:val="14"/>
              </w:rPr>
              <w:t xml:space="preserve">(d)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12   </w:t>
            </w:r>
          </w:p>
          <w:p>
            <w:pPr>
              <w:pStyle w:val="1"/>
              <w:jc w:val="both"/>
            </w:pPr>
            <w:r>
              <w:rPr>
                <w:sz w:val="14"/>
              </w:rPr>
              <w:t xml:space="preserve">(1), first   </w:t>
            </w:r>
          </w:p>
          <w:p>
            <w:pPr>
              <w:pStyle w:val="1"/>
              <w:jc w:val="both"/>
            </w:pPr>
            <w:r>
              <w:rPr>
                <w:sz w:val="14"/>
              </w:rPr>
              <w:t xml:space="preserve">subparagraph,</w:t>
            </w:r>
          </w:p>
          <w:p>
            <w:pPr>
              <w:pStyle w:val="1"/>
              <w:jc w:val="both"/>
            </w:pPr>
            <w:r>
              <w:rPr>
                <w:sz w:val="14"/>
              </w:rPr>
              <w:t xml:space="preserve">point (e)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w:t>
            </w:r>
          </w:p>
          <w:p>
            <w:pPr>
              <w:pStyle w:val="1"/>
              <w:jc w:val="both"/>
            </w:pPr>
            <w:r>
              <w:rPr>
                <w:sz w:val="14"/>
              </w:rPr>
              <w:t xml:space="preserve">(1), first   </w:t>
            </w:r>
          </w:p>
          <w:p>
            <w:pPr>
              <w:pStyle w:val="1"/>
              <w:jc w:val="both"/>
            </w:pPr>
            <w:r>
              <w:rPr>
                <w:sz w:val="14"/>
              </w:rPr>
              <w:t xml:space="preserve">subparagraph,</w:t>
            </w:r>
          </w:p>
          <w:p>
            <w:pPr>
              <w:pStyle w:val="1"/>
              <w:jc w:val="both"/>
            </w:pPr>
            <w:r>
              <w:rPr>
                <w:sz w:val="14"/>
              </w:rPr>
              <w:t xml:space="preserve">point (e)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12   </w:t>
            </w:r>
          </w:p>
          <w:p>
            <w:pPr>
              <w:pStyle w:val="1"/>
              <w:jc w:val="both"/>
            </w:pPr>
            <w:r>
              <w:rPr>
                <w:sz w:val="14"/>
              </w:rPr>
              <w:t xml:space="preserve">(1), first   </w:t>
            </w:r>
          </w:p>
          <w:p>
            <w:pPr>
              <w:pStyle w:val="1"/>
              <w:jc w:val="both"/>
            </w:pPr>
            <w:r>
              <w:rPr>
                <w:sz w:val="14"/>
              </w:rPr>
              <w:t xml:space="preserve">subparagraph,</w:t>
            </w:r>
          </w:p>
          <w:p>
            <w:pPr>
              <w:pStyle w:val="1"/>
              <w:jc w:val="both"/>
            </w:pPr>
            <w:r>
              <w:rPr>
                <w:sz w:val="14"/>
              </w:rPr>
              <w:t xml:space="preserve">point (f)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w:t>
            </w:r>
          </w:p>
          <w:p>
            <w:pPr>
              <w:pStyle w:val="1"/>
              <w:jc w:val="both"/>
            </w:pPr>
            <w:r>
              <w:rPr>
                <w:sz w:val="14"/>
              </w:rPr>
              <w:t xml:space="preserve">(1), first   </w:t>
            </w:r>
          </w:p>
          <w:p>
            <w:pPr>
              <w:pStyle w:val="1"/>
              <w:jc w:val="both"/>
            </w:pPr>
            <w:r>
              <w:rPr>
                <w:sz w:val="14"/>
              </w:rPr>
              <w:t xml:space="preserve">subparagraph,</w:t>
            </w:r>
          </w:p>
          <w:p>
            <w:pPr>
              <w:pStyle w:val="1"/>
              <w:jc w:val="both"/>
            </w:pPr>
            <w:r>
              <w:rPr>
                <w:sz w:val="14"/>
              </w:rPr>
              <w:t xml:space="preserve">point (f)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12   </w:t>
            </w:r>
          </w:p>
          <w:p>
            <w:pPr>
              <w:pStyle w:val="1"/>
              <w:jc w:val="both"/>
            </w:pPr>
            <w:r>
              <w:rPr>
                <w:sz w:val="14"/>
              </w:rPr>
              <w:t xml:space="preserve">(1), first   </w:t>
            </w:r>
          </w:p>
          <w:p>
            <w:pPr>
              <w:pStyle w:val="1"/>
              <w:jc w:val="both"/>
            </w:pPr>
            <w:r>
              <w:rPr>
                <w:sz w:val="14"/>
              </w:rPr>
              <w:t xml:space="preserve">subparagraph,</w:t>
            </w:r>
          </w:p>
          <w:p>
            <w:pPr>
              <w:pStyle w:val="1"/>
              <w:jc w:val="both"/>
            </w:pPr>
            <w:r>
              <w:rPr>
                <w:sz w:val="14"/>
              </w:rPr>
              <w:t xml:space="preserve">point (g)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w:t>
            </w:r>
          </w:p>
          <w:p>
            <w:pPr>
              <w:pStyle w:val="1"/>
              <w:jc w:val="both"/>
            </w:pPr>
            <w:r>
              <w:rPr>
                <w:sz w:val="14"/>
              </w:rPr>
              <w:t xml:space="preserve">(1), first   </w:t>
            </w:r>
          </w:p>
          <w:p>
            <w:pPr>
              <w:pStyle w:val="1"/>
              <w:jc w:val="both"/>
            </w:pPr>
            <w:r>
              <w:rPr>
                <w:sz w:val="14"/>
              </w:rPr>
              <w:t xml:space="preserve">subparagraph,</w:t>
            </w:r>
          </w:p>
          <w:p>
            <w:pPr>
              <w:pStyle w:val="1"/>
              <w:jc w:val="both"/>
            </w:pPr>
            <w:r>
              <w:rPr>
                <w:sz w:val="14"/>
              </w:rPr>
              <w:t xml:space="preserve">point (g)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12   </w:t>
            </w:r>
          </w:p>
          <w:p>
            <w:pPr>
              <w:pStyle w:val="1"/>
              <w:jc w:val="both"/>
            </w:pPr>
            <w:r>
              <w:rPr>
                <w:sz w:val="14"/>
              </w:rPr>
              <w:t xml:space="preserve">(1), first   </w:t>
            </w:r>
          </w:p>
          <w:p>
            <w:pPr>
              <w:pStyle w:val="1"/>
              <w:jc w:val="both"/>
            </w:pPr>
            <w:r>
              <w:rPr>
                <w:sz w:val="14"/>
              </w:rPr>
              <w:t xml:space="preserve">subparagraph,</w:t>
            </w:r>
          </w:p>
          <w:p>
            <w:pPr>
              <w:pStyle w:val="1"/>
              <w:jc w:val="both"/>
            </w:pPr>
            <w:r>
              <w:rPr>
                <w:sz w:val="14"/>
              </w:rPr>
              <w:t xml:space="preserve">point (h)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w:t>
            </w:r>
          </w:p>
          <w:p>
            <w:pPr>
              <w:pStyle w:val="1"/>
              <w:jc w:val="both"/>
            </w:pPr>
            <w:r>
              <w:rPr>
                <w:sz w:val="14"/>
              </w:rPr>
              <w:t xml:space="preserve">(1), first   </w:t>
            </w:r>
          </w:p>
          <w:p>
            <w:pPr>
              <w:pStyle w:val="1"/>
              <w:jc w:val="both"/>
            </w:pPr>
            <w:r>
              <w:rPr>
                <w:sz w:val="14"/>
              </w:rPr>
              <w:t xml:space="preserve">subparagraph,</w:t>
            </w:r>
          </w:p>
          <w:p>
            <w:pPr>
              <w:pStyle w:val="1"/>
              <w:jc w:val="both"/>
            </w:pPr>
            <w:r>
              <w:rPr>
                <w:sz w:val="14"/>
              </w:rPr>
              <w:t xml:space="preserve">point (h)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12   </w:t>
            </w:r>
          </w:p>
          <w:p>
            <w:pPr>
              <w:pStyle w:val="1"/>
              <w:jc w:val="both"/>
            </w:pPr>
            <w:r>
              <w:rPr>
                <w:sz w:val="14"/>
              </w:rPr>
              <w:t xml:space="preserve">(1), first   </w:t>
            </w:r>
          </w:p>
          <w:p>
            <w:pPr>
              <w:pStyle w:val="1"/>
              <w:jc w:val="both"/>
            </w:pPr>
            <w:r>
              <w:rPr>
                <w:sz w:val="14"/>
              </w:rPr>
              <w:t xml:space="preserve">subparagraph,</w:t>
            </w:r>
          </w:p>
          <w:p>
            <w:pPr>
              <w:pStyle w:val="1"/>
              <w:jc w:val="both"/>
            </w:pPr>
            <w:r>
              <w:rPr>
                <w:sz w:val="14"/>
              </w:rPr>
              <w:t xml:space="preserve">point (i)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w:t>
            </w:r>
          </w:p>
          <w:p>
            <w:pPr>
              <w:pStyle w:val="1"/>
              <w:jc w:val="both"/>
            </w:pPr>
            <w:r>
              <w:rPr>
                <w:sz w:val="14"/>
              </w:rPr>
              <w:t xml:space="preserve">(1), first   </w:t>
            </w:r>
          </w:p>
          <w:p>
            <w:pPr>
              <w:pStyle w:val="1"/>
              <w:jc w:val="both"/>
            </w:pPr>
            <w:r>
              <w:rPr>
                <w:sz w:val="14"/>
              </w:rPr>
              <w:t xml:space="preserve">subparagraph,</w:t>
            </w:r>
          </w:p>
          <w:p>
            <w:pPr>
              <w:pStyle w:val="1"/>
              <w:jc w:val="both"/>
            </w:pPr>
            <w:r>
              <w:rPr>
                <w:sz w:val="14"/>
              </w:rPr>
              <w:t xml:space="preserve">point (i)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12   </w:t>
            </w:r>
          </w:p>
          <w:p>
            <w:pPr>
              <w:pStyle w:val="1"/>
              <w:jc w:val="both"/>
            </w:pPr>
            <w:r>
              <w:rPr>
                <w:sz w:val="14"/>
              </w:rPr>
              <w:t xml:space="preserve">(1), first   </w:t>
            </w:r>
          </w:p>
          <w:p>
            <w:pPr>
              <w:pStyle w:val="1"/>
              <w:jc w:val="both"/>
            </w:pPr>
            <w:r>
              <w:rPr>
                <w:sz w:val="14"/>
              </w:rPr>
              <w:t xml:space="preserve">subparagraph,</w:t>
            </w:r>
          </w:p>
          <w:p>
            <w:pPr>
              <w:pStyle w:val="1"/>
              <w:jc w:val="both"/>
            </w:pPr>
            <w:r>
              <w:rPr>
                <w:sz w:val="14"/>
              </w:rPr>
              <w:t xml:space="preserve">point (j)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w:t>
            </w:r>
          </w:p>
          <w:p>
            <w:pPr>
              <w:pStyle w:val="1"/>
              <w:jc w:val="both"/>
            </w:pPr>
            <w:r>
              <w:rPr>
                <w:sz w:val="14"/>
              </w:rPr>
              <w:t xml:space="preserve">(1), first   </w:t>
            </w:r>
          </w:p>
          <w:p>
            <w:pPr>
              <w:pStyle w:val="1"/>
              <w:jc w:val="both"/>
            </w:pPr>
            <w:r>
              <w:rPr>
                <w:sz w:val="14"/>
              </w:rPr>
              <w:t xml:space="preserve">subparagraph,</w:t>
            </w:r>
          </w:p>
          <w:p>
            <w:pPr>
              <w:pStyle w:val="1"/>
              <w:jc w:val="both"/>
            </w:pPr>
            <w:r>
              <w:rPr>
                <w:sz w:val="14"/>
              </w:rPr>
              <w:t xml:space="preserve">point (j)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12   </w:t>
            </w:r>
          </w:p>
          <w:p>
            <w:pPr>
              <w:pStyle w:val="1"/>
              <w:jc w:val="both"/>
            </w:pPr>
            <w:r>
              <w:rPr>
                <w:sz w:val="14"/>
              </w:rPr>
              <w:t xml:space="preserve">(1), first   </w:t>
            </w:r>
          </w:p>
          <w:p>
            <w:pPr>
              <w:pStyle w:val="1"/>
              <w:jc w:val="both"/>
            </w:pPr>
            <w:r>
              <w:rPr>
                <w:sz w:val="14"/>
              </w:rPr>
              <w:t xml:space="preserve">subparagraph,</w:t>
            </w:r>
          </w:p>
          <w:p>
            <w:pPr>
              <w:pStyle w:val="1"/>
              <w:jc w:val="both"/>
            </w:pPr>
            <w:r>
              <w:rPr>
                <w:sz w:val="14"/>
              </w:rPr>
              <w:t xml:space="preserve">point (k)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w:t>
            </w:r>
          </w:p>
          <w:p>
            <w:pPr>
              <w:pStyle w:val="1"/>
              <w:jc w:val="both"/>
            </w:pPr>
            <w:r>
              <w:rPr>
                <w:sz w:val="14"/>
              </w:rPr>
              <w:t xml:space="preserve">(1), second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12   </w:t>
            </w:r>
          </w:p>
          <w:p>
            <w:pPr>
              <w:pStyle w:val="1"/>
              <w:jc w:val="both"/>
            </w:pPr>
            <w:r>
              <w:rPr>
                <w:sz w:val="14"/>
              </w:rPr>
              <w:t xml:space="preserve">(1), second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(2)</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12   </w:t>
            </w:r>
          </w:p>
          <w:p>
            <w:pPr>
              <w:pStyle w:val="1"/>
              <w:jc w:val="both"/>
            </w:pPr>
            <w:r>
              <w:rPr>
                <w:sz w:val="14"/>
              </w:rPr>
              <w:t xml:space="preserve">(2)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7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 (2)</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   </w:t>
            </w:r>
          </w:p>
          <w:p>
            <w:pPr>
              <w:pStyle w:val="1"/>
              <w:jc w:val="both"/>
            </w:pPr>
            <w:r>
              <w:rPr>
                <w:sz w:val="14"/>
              </w:rPr>
              <w:t xml:space="preserve">first        </w:t>
            </w:r>
          </w:p>
          <w:p>
            <w:pPr>
              <w:pStyle w:val="1"/>
              <w:jc w:val="both"/>
            </w:pPr>
            <w:r>
              <w:rPr>
                <w:sz w:val="14"/>
              </w:rPr>
              <w:t xml:space="preserve">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 (3)</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 (1)</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   </w:t>
            </w:r>
          </w:p>
          <w:p>
            <w:pPr>
              <w:pStyle w:val="1"/>
              <w:jc w:val="both"/>
            </w:pPr>
            <w:r>
              <w:rPr>
                <w:sz w:val="14"/>
              </w:rPr>
              <w:t xml:space="preserve">second       </w:t>
            </w:r>
          </w:p>
          <w:p>
            <w:pPr>
              <w:pStyle w:val="1"/>
              <w:jc w:val="both"/>
            </w:pPr>
            <w:r>
              <w:rPr>
                <w:sz w:val="14"/>
              </w:rPr>
              <w:t xml:space="preserve">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w:t>
            </w:r>
          </w:p>
          <w:p>
            <w:pPr>
              <w:pStyle w:val="1"/>
              <w:jc w:val="both"/>
            </w:pPr>
            <w:r>
              <w:rPr>
                <w:sz w:val="14"/>
              </w:rPr>
              <w:t xml:space="preserve">(1), first   </w:t>
            </w:r>
          </w:p>
          <w:p>
            <w:pPr>
              <w:pStyle w:val="1"/>
              <w:jc w:val="both"/>
            </w:pPr>
            <w:r>
              <w:rPr>
                <w:sz w:val="14"/>
              </w:rPr>
              <w:t xml:space="preserve">part of      </w:t>
            </w:r>
          </w:p>
          <w:p>
            <w:pPr>
              <w:pStyle w:val="1"/>
              <w:jc w:val="both"/>
            </w:pPr>
            <w:r>
              <w:rPr>
                <w:sz w:val="14"/>
              </w:rPr>
              <w:t xml:space="preserve">sentence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14   </w:t>
            </w:r>
          </w:p>
          <w:p>
            <w:pPr>
              <w:pStyle w:val="1"/>
              <w:jc w:val="both"/>
            </w:pPr>
            <w:r>
              <w:rPr>
                <w:sz w:val="14"/>
              </w:rPr>
              <w:t xml:space="preserve">(1), first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w:t>
            </w:r>
          </w:p>
          <w:p>
            <w:pPr>
              <w:pStyle w:val="1"/>
              <w:jc w:val="both"/>
            </w:pPr>
            <w:r>
              <w:rPr>
                <w:sz w:val="14"/>
              </w:rPr>
              <w:t xml:space="preserve">(1), second  </w:t>
            </w:r>
          </w:p>
          <w:p>
            <w:pPr>
              <w:pStyle w:val="1"/>
              <w:jc w:val="both"/>
            </w:pPr>
            <w:r>
              <w:rPr>
                <w:sz w:val="14"/>
              </w:rPr>
              <w:t xml:space="preserve">part of      </w:t>
            </w:r>
          </w:p>
          <w:p>
            <w:pPr>
              <w:pStyle w:val="1"/>
              <w:jc w:val="both"/>
            </w:pPr>
            <w:r>
              <w:rPr>
                <w:sz w:val="14"/>
              </w:rPr>
              <w:t xml:space="preserve">sentence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(2)</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 (3)</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w:t>
            </w:r>
          </w:p>
          <w:p>
            <w:pPr>
              <w:pStyle w:val="1"/>
              <w:jc w:val="both"/>
            </w:pPr>
            <w:r>
              <w:rPr>
                <w:sz w:val="14"/>
              </w:rPr>
              <w:t xml:space="preserve">(3), first   </w:t>
            </w:r>
          </w:p>
          <w:p>
            <w:pPr>
              <w:pStyle w:val="1"/>
              <w:jc w:val="both"/>
            </w:pPr>
            <w:r>
              <w:rPr>
                <w:sz w:val="14"/>
              </w:rPr>
              <w:t xml:space="preserve">subparagraph,</w:t>
            </w:r>
          </w:p>
          <w:p>
            <w:pPr>
              <w:pStyle w:val="1"/>
              <w:jc w:val="both"/>
            </w:pPr>
            <w:r>
              <w:rPr>
                <w:sz w:val="14"/>
              </w:rPr>
              <w:t xml:space="preserve">first and    </w:t>
            </w:r>
          </w:p>
          <w:p>
            <w:pPr>
              <w:pStyle w:val="1"/>
              <w:jc w:val="both"/>
            </w:pPr>
            <w:r>
              <w:rPr>
                <w:sz w:val="14"/>
              </w:rPr>
              <w:t xml:space="preserve">second       </w:t>
            </w:r>
          </w:p>
          <w:p>
            <w:pPr>
              <w:pStyle w:val="1"/>
              <w:jc w:val="both"/>
            </w:pPr>
            <w:r>
              <w:rPr>
                <w:sz w:val="14"/>
              </w:rPr>
              <w:t xml:space="preserve">sentence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14   </w:t>
            </w:r>
          </w:p>
          <w:p>
            <w:pPr>
              <w:pStyle w:val="1"/>
              <w:jc w:val="both"/>
            </w:pPr>
            <w:r>
              <w:rPr>
                <w:sz w:val="14"/>
              </w:rPr>
              <w:t xml:space="preserve">(1), second  </w:t>
            </w:r>
          </w:p>
          <w:p>
            <w:pPr>
              <w:pStyle w:val="1"/>
              <w:jc w:val="both"/>
            </w:pPr>
            <w:r>
              <w:rPr>
                <w:sz w:val="14"/>
              </w:rPr>
              <w:t xml:space="preserve">subparagraph,</w:t>
            </w:r>
          </w:p>
          <w:p>
            <w:pPr>
              <w:pStyle w:val="1"/>
              <w:jc w:val="both"/>
            </w:pPr>
            <w:r>
              <w:rPr>
                <w:sz w:val="14"/>
              </w:rPr>
              <w:t xml:space="preserve">introductory </w:t>
            </w:r>
          </w:p>
          <w:p>
            <w:pPr>
              <w:pStyle w:val="1"/>
              <w:jc w:val="both"/>
            </w:pPr>
            <w:r>
              <w:rPr>
                <w:sz w:val="14"/>
              </w:rPr>
              <w:t xml:space="preserve">wording and  </w:t>
            </w:r>
          </w:p>
          <w:p>
            <w:pPr>
              <w:pStyle w:val="1"/>
              <w:jc w:val="both"/>
            </w:pPr>
            <w:r>
              <w:rPr>
                <w:sz w:val="14"/>
              </w:rPr>
              <w:t xml:space="preserve">points (a)   </w:t>
            </w:r>
          </w:p>
          <w:p>
            <w:pPr>
              <w:pStyle w:val="1"/>
              <w:jc w:val="both"/>
            </w:pPr>
            <w:r>
              <w:rPr>
                <w:sz w:val="14"/>
              </w:rPr>
              <w:t xml:space="preserve">and (b)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w:t>
            </w:r>
          </w:p>
          <w:p>
            <w:pPr>
              <w:pStyle w:val="1"/>
              <w:jc w:val="both"/>
            </w:pPr>
            <w:r>
              <w:rPr>
                <w:sz w:val="14"/>
              </w:rPr>
              <w:t xml:space="preserve">(3), first   </w:t>
            </w:r>
          </w:p>
          <w:p>
            <w:pPr>
              <w:pStyle w:val="1"/>
              <w:jc w:val="both"/>
            </w:pPr>
            <w:r>
              <w:rPr>
                <w:sz w:val="14"/>
              </w:rPr>
              <w:t xml:space="preserve">subparagraph,</w:t>
            </w:r>
          </w:p>
          <w:p>
            <w:pPr>
              <w:pStyle w:val="1"/>
              <w:jc w:val="both"/>
            </w:pPr>
            <w:r>
              <w:rPr>
                <w:sz w:val="14"/>
              </w:rPr>
              <w:t xml:space="preserve">third        </w:t>
            </w:r>
          </w:p>
          <w:p>
            <w:pPr>
              <w:pStyle w:val="1"/>
              <w:jc w:val="both"/>
            </w:pPr>
            <w:r>
              <w:rPr>
                <w:sz w:val="14"/>
              </w:rPr>
              <w:t xml:space="preserve">sentence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14   </w:t>
            </w:r>
          </w:p>
          <w:p>
            <w:pPr>
              <w:pStyle w:val="1"/>
              <w:jc w:val="both"/>
            </w:pPr>
            <w:r>
              <w:rPr>
                <w:sz w:val="14"/>
              </w:rPr>
              <w:t xml:space="preserve">(2)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14   </w:t>
            </w:r>
          </w:p>
          <w:p>
            <w:pPr>
              <w:pStyle w:val="1"/>
              <w:jc w:val="both"/>
            </w:pPr>
            <w:r>
              <w:rPr>
                <w:sz w:val="14"/>
              </w:rPr>
              <w:t xml:space="preserve">(3), (4), and</w:t>
            </w:r>
          </w:p>
          <w:p>
            <w:pPr>
              <w:pStyle w:val="1"/>
              <w:jc w:val="both"/>
            </w:pPr>
            <w:r>
              <w:rPr>
                <w:sz w:val="14"/>
              </w:rPr>
              <w:t xml:space="preserve">(7)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14   </w:t>
            </w:r>
          </w:p>
          <w:p>
            <w:pPr>
              <w:pStyle w:val="1"/>
              <w:jc w:val="both"/>
            </w:pPr>
            <w:r>
              <w:rPr>
                <w:sz w:val="14"/>
              </w:rPr>
              <w:t xml:space="preserve">(5),         </w:t>
            </w:r>
          </w:p>
          <w:p>
            <w:pPr>
              <w:pStyle w:val="1"/>
              <w:jc w:val="both"/>
            </w:pPr>
            <w:r>
              <w:rPr>
                <w:sz w:val="14"/>
              </w:rPr>
              <w:t xml:space="preserve">introductory </w:t>
            </w:r>
          </w:p>
          <w:p>
            <w:pPr>
              <w:pStyle w:val="1"/>
              <w:jc w:val="both"/>
            </w:pPr>
            <w:r>
              <w:rPr>
                <w:sz w:val="14"/>
              </w:rPr>
              <w:t xml:space="preserve">wording and  </w:t>
            </w:r>
          </w:p>
          <w:p>
            <w:pPr>
              <w:pStyle w:val="1"/>
              <w:jc w:val="both"/>
            </w:pPr>
            <w:r>
              <w:rPr>
                <w:sz w:val="14"/>
              </w:rPr>
              <w:t xml:space="preserve">point (b) of </w:t>
            </w:r>
          </w:p>
          <w:p>
            <w:pPr>
              <w:pStyle w:val="1"/>
              <w:jc w:val="both"/>
            </w:pPr>
            <w:r>
              <w:rPr>
                <w:sz w:val="14"/>
              </w:rPr>
              <w:t xml:space="preserve">first        </w:t>
            </w:r>
          </w:p>
          <w:p>
            <w:pPr>
              <w:pStyle w:val="1"/>
              <w:jc w:val="both"/>
            </w:pPr>
            <w:r>
              <w:rPr>
                <w:sz w:val="14"/>
              </w:rPr>
              <w:t xml:space="preserve">subparagraph </w:t>
            </w:r>
          </w:p>
          <w:p>
            <w:pPr>
              <w:pStyle w:val="1"/>
              <w:jc w:val="both"/>
            </w:pPr>
            <w:r>
              <w:rPr>
                <w:sz w:val="14"/>
              </w:rPr>
              <w:t xml:space="preserve">and Article  </w:t>
            </w:r>
          </w:p>
          <w:p>
            <w:pPr>
              <w:pStyle w:val="1"/>
              <w:jc w:val="both"/>
            </w:pPr>
            <w:r>
              <w:rPr>
                <w:sz w:val="14"/>
              </w:rPr>
              <w:t xml:space="preserve">14 (5),      </w:t>
            </w:r>
          </w:p>
          <w:p>
            <w:pPr>
              <w:pStyle w:val="1"/>
              <w:jc w:val="both"/>
            </w:pPr>
            <w:r>
              <w:rPr>
                <w:sz w:val="14"/>
              </w:rPr>
              <w:t xml:space="preserve">second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w:t>
            </w:r>
          </w:p>
          <w:p>
            <w:pPr>
              <w:pStyle w:val="1"/>
              <w:jc w:val="both"/>
            </w:pPr>
            <w:r>
              <w:rPr>
                <w:sz w:val="14"/>
              </w:rPr>
              <w:t xml:space="preserve">(3), second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w:t>
            </w:r>
          </w:p>
          <w:p>
            <w:pPr>
              <w:pStyle w:val="1"/>
              <w:jc w:val="both"/>
            </w:pPr>
            <w:r>
              <w:rPr>
                <w:sz w:val="14"/>
              </w:rPr>
              <w:t xml:space="preserve">(3), third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(1)</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w:t>
            </w:r>
          </w:p>
          <w:p>
            <w:pPr>
              <w:pStyle w:val="1"/>
              <w:jc w:val="both"/>
            </w:pPr>
            <w:r>
              <w:rPr>
                <w:sz w:val="14"/>
              </w:rPr>
              <w:t xml:space="preserve">(3), fourth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(2)</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w:t>
            </w:r>
          </w:p>
          <w:p>
            <w:pPr>
              <w:pStyle w:val="1"/>
              <w:jc w:val="both"/>
            </w:pPr>
            <w:r>
              <w:rPr>
                <w:sz w:val="14"/>
              </w:rPr>
              <w:t xml:space="preserve">(3), fifth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(3)</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w:t>
            </w:r>
          </w:p>
          <w:p>
            <w:pPr>
              <w:pStyle w:val="1"/>
              <w:jc w:val="both"/>
            </w:pPr>
            <w:r>
              <w:rPr>
                <w:sz w:val="14"/>
              </w:rPr>
              <w:t xml:space="preserve">(3), sixth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(4)</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10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w:t>
            </w:r>
          </w:p>
          <w:p>
            <w:pPr>
              <w:pStyle w:val="1"/>
              <w:jc w:val="both"/>
            </w:pPr>
            <w:r>
              <w:rPr>
                <w:sz w:val="14"/>
              </w:rPr>
              <w:t xml:space="preserve">(4), first   </w:t>
            </w:r>
          </w:p>
          <w:p>
            <w:pPr>
              <w:pStyle w:val="1"/>
              <w:jc w:val="both"/>
            </w:pPr>
            <w:r>
              <w:rPr>
                <w:sz w:val="14"/>
              </w:rPr>
              <w:t xml:space="preserve">part of first</w:t>
            </w:r>
          </w:p>
          <w:p>
            <w:pPr>
              <w:pStyle w:val="1"/>
              <w:jc w:val="both"/>
            </w:pPr>
            <w:r>
              <w:rPr>
                <w:sz w:val="14"/>
              </w:rPr>
              <w:t xml:space="preserve">sentence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15   </w:t>
            </w:r>
          </w:p>
          <w:p>
            <w:pPr>
              <w:pStyle w:val="1"/>
              <w:jc w:val="both"/>
            </w:pPr>
            <w:r>
              <w:rPr>
                <w:sz w:val="14"/>
              </w:rPr>
              <w:t xml:space="preserve">(2)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w:t>
            </w:r>
          </w:p>
          <w:p>
            <w:pPr>
              <w:pStyle w:val="1"/>
              <w:jc w:val="both"/>
            </w:pPr>
            <w:r>
              <w:rPr>
                <w:sz w:val="14"/>
              </w:rPr>
              <w:t xml:space="preserve">(4), second  </w:t>
            </w:r>
          </w:p>
          <w:p>
            <w:pPr>
              <w:pStyle w:val="1"/>
              <w:jc w:val="both"/>
            </w:pPr>
            <w:r>
              <w:rPr>
                <w:sz w:val="14"/>
              </w:rPr>
              <w:t xml:space="preserve">part of first</w:t>
            </w:r>
          </w:p>
          <w:p>
            <w:pPr>
              <w:pStyle w:val="1"/>
              <w:jc w:val="both"/>
            </w:pPr>
            <w:r>
              <w:rPr>
                <w:sz w:val="14"/>
              </w:rPr>
              <w:t xml:space="preserve">sentence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15   </w:t>
            </w:r>
          </w:p>
          <w:p>
            <w:pPr>
              <w:pStyle w:val="1"/>
              <w:jc w:val="both"/>
            </w:pPr>
            <w:r>
              <w:rPr>
                <w:sz w:val="14"/>
              </w:rPr>
              <w:t xml:space="preserve">(4), first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15   </w:t>
            </w:r>
          </w:p>
          <w:p>
            <w:pPr>
              <w:pStyle w:val="1"/>
              <w:jc w:val="both"/>
            </w:pPr>
            <w:r>
              <w:rPr>
                <w:sz w:val="14"/>
              </w:rPr>
              <w:t xml:space="preserve">(4), second  </w:t>
            </w:r>
          </w:p>
          <w:p>
            <w:pPr>
              <w:pStyle w:val="1"/>
              <w:jc w:val="both"/>
            </w:pPr>
            <w:r>
              <w:rPr>
                <w:sz w:val="14"/>
              </w:rPr>
              <w:t xml:space="preserve">to fifth     </w:t>
            </w:r>
          </w:p>
          <w:p>
            <w:pPr>
              <w:pStyle w:val="1"/>
              <w:jc w:val="both"/>
            </w:pPr>
            <w:r>
              <w:rPr>
                <w:sz w:val="14"/>
              </w:rPr>
              <w:t xml:space="preserve">subparagraphs</w:t>
            </w:r>
          </w:p>
          <w:p>
            <w:pPr>
              <w:pStyle w:val="1"/>
              <w:jc w:val="both"/>
            </w:pPr>
            <w:r>
              <w:rPr>
                <w:sz w:val="14"/>
              </w:rPr>
              <w:t xml:space="preserve">and Article  </w:t>
            </w:r>
          </w:p>
          <w:p>
            <w:pPr>
              <w:pStyle w:val="1"/>
              <w:jc w:val="both"/>
            </w:pPr>
            <w:r>
              <w:rPr>
                <w:sz w:val="14"/>
              </w:rPr>
              <w:t xml:space="preserve">15 (5)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w:t>
            </w:r>
          </w:p>
          <w:p>
            <w:pPr>
              <w:pStyle w:val="1"/>
              <w:jc w:val="both"/>
            </w:pPr>
            <w:r>
              <w:rPr>
                <w:sz w:val="14"/>
              </w:rPr>
              <w:t xml:space="preserve">(4), second  </w:t>
            </w:r>
          </w:p>
          <w:p>
            <w:pPr>
              <w:pStyle w:val="1"/>
              <w:jc w:val="both"/>
            </w:pPr>
            <w:r>
              <w:rPr>
                <w:sz w:val="14"/>
              </w:rPr>
              <w:t xml:space="preserve">sentence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14   </w:t>
            </w:r>
          </w:p>
          <w:p>
            <w:pPr>
              <w:pStyle w:val="1"/>
              <w:jc w:val="both"/>
            </w:pPr>
            <w:r>
              <w:rPr>
                <w:sz w:val="14"/>
              </w:rPr>
              <w:t xml:space="preserve">(1), second  </w:t>
            </w:r>
          </w:p>
          <w:p>
            <w:pPr>
              <w:pStyle w:val="1"/>
              <w:jc w:val="both"/>
            </w:pPr>
            <w:r>
              <w:rPr>
                <w:sz w:val="14"/>
              </w:rPr>
              <w:t xml:space="preserve">subparagraph,</w:t>
            </w:r>
          </w:p>
          <w:p>
            <w:pPr>
              <w:pStyle w:val="1"/>
              <w:jc w:val="both"/>
            </w:pPr>
            <w:r>
              <w:rPr>
                <w:sz w:val="14"/>
              </w:rPr>
              <w:t xml:space="preserve">point (g)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14   </w:t>
            </w:r>
          </w:p>
          <w:p>
            <w:pPr>
              <w:pStyle w:val="1"/>
              <w:jc w:val="both"/>
            </w:pPr>
            <w:r>
              <w:rPr>
                <w:sz w:val="14"/>
              </w:rPr>
              <w:t xml:space="preserve">(1), second  </w:t>
            </w:r>
          </w:p>
          <w:p>
            <w:pPr>
              <w:pStyle w:val="1"/>
              <w:jc w:val="both"/>
            </w:pPr>
            <w:r>
              <w:rPr>
                <w:sz w:val="14"/>
              </w:rPr>
              <w:t xml:space="preserve">subparagraph,</w:t>
            </w:r>
          </w:p>
          <w:p>
            <w:pPr>
              <w:pStyle w:val="1"/>
              <w:jc w:val="both"/>
            </w:pPr>
            <w:r>
              <w:rPr>
                <w:sz w:val="14"/>
              </w:rPr>
              <w:t xml:space="preserve">point (h)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15   </w:t>
            </w:r>
          </w:p>
          <w:p>
            <w:pPr>
              <w:pStyle w:val="1"/>
              <w:jc w:val="both"/>
            </w:pPr>
            <w:r>
              <w:rPr>
                <w:sz w:val="14"/>
              </w:rPr>
              <w:t xml:space="preserve">(3)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16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w:t>
            </w:r>
          </w:p>
          <w:p>
            <w:pPr>
              <w:pStyle w:val="1"/>
              <w:jc w:val="both"/>
            </w:pPr>
            <w:r>
              <w:rPr>
                <w:sz w:val="14"/>
              </w:rPr>
              <w:t xml:space="preserve">(5), first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14   </w:t>
            </w:r>
          </w:p>
          <w:p>
            <w:pPr>
              <w:pStyle w:val="1"/>
              <w:jc w:val="both"/>
            </w:pPr>
            <w:r>
              <w:rPr>
                <w:sz w:val="14"/>
              </w:rPr>
              <w:t xml:space="preserve">(1), second  </w:t>
            </w:r>
          </w:p>
          <w:p>
            <w:pPr>
              <w:pStyle w:val="1"/>
              <w:jc w:val="both"/>
            </w:pPr>
            <w:r>
              <w:rPr>
                <w:sz w:val="14"/>
              </w:rPr>
              <w:t xml:space="preserve">subparagraph,</w:t>
            </w:r>
          </w:p>
          <w:p>
            <w:pPr>
              <w:pStyle w:val="1"/>
              <w:jc w:val="both"/>
            </w:pPr>
            <w:r>
              <w:rPr>
                <w:sz w:val="14"/>
              </w:rPr>
              <w:t xml:space="preserve">point (c) (i)</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14   </w:t>
            </w:r>
          </w:p>
          <w:p>
            <w:pPr>
              <w:pStyle w:val="1"/>
              <w:jc w:val="both"/>
            </w:pPr>
            <w:r>
              <w:rPr>
                <w:sz w:val="14"/>
              </w:rPr>
              <w:t xml:space="preserve">(1), second  </w:t>
            </w:r>
          </w:p>
          <w:p>
            <w:pPr>
              <w:pStyle w:val="1"/>
              <w:jc w:val="both"/>
            </w:pPr>
            <w:r>
              <w:rPr>
                <w:sz w:val="14"/>
              </w:rPr>
              <w:t xml:space="preserve">subparagraph,</w:t>
            </w:r>
          </w:p>
          <w:p>
            <w:pPr>
              <w:pStyle w:val="1"/>
              <w:jc w:val="both"/>
            </w:pPr>
            <w:r>
              <w:rPr>
                <w:sz w:val="14"/>
              </w:rPr>
              <w:t xml:space="preserve">point (c)    </w:t>
            </w:r>
          </w:p>
          <w:p>
            <w:pPr>
              <w:pStyle w:val="1"/>
              <w:jc w:val="both"/>
            </w:pPr>
            <w:r>
              <w:rPr>
                <w:sz w:val="14"/>
              </w:rPr>
              <w:t xml:space="preserve">(ii)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14   </w:t>
            </w:r>
          </w:p>
          <w:p>
            <w:pPr>
              <w:pStyle w:val="1"/>
              <w:jc w:val="both"/>
            </w:pPr>
            <w:r>
              <w:rPr>
                <w:sz w:val="14"/>
              </w:rPr>
              <w:t xml:space="preserve">(1), second  </w:t>
            </w:r>
          </w:p>
          <w:p>
            <w:pPr>
              <w:pStyle w:val="1"/>
              <w:jc w:val="both"/>
            </w:pPr>
            <w:r>
              <w:rPr>
                <w:sz w:val="14"/>
              </w:rPr>
              <w:t xml:space="preserve">subparagraph,</w:t>
            </w:r>
          </w:p>
          <w:p>
            <w:pPr>
              <w:pStyle w:val="1"/>
              <w:jc w:val="both"/>
            </w:pPr>
            <w:r>
              <w:rPr>
                <w:sz w:val="14"/>
              </w:rPr>
              <w:t xml:space="preserve">point (d)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w:t>
            </w:r>
          </w:p>
          <w:p>
            <w:pPr>
              <w:pStyle w:val="1"/>
              <w:jc w:val="both"/>
            </w:pPr>
            <w:r>
              <w:rPr>
                <w:sz w:val="14"/>
              </w:rPr>
              <w:t xml:space="preserve">(5), second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14   </w:t>
            </w:r>
          </w:p>
          <w:p>
            <w:pPr>
              <w:pStyle w:val="1"/>
              <w:jc w:val="both"/>
            </w:pPr>
            <w:r>
              <w:rPr>
                <w:sz w:val="14"/>
              </w:rPr>
              <w:t xml:space="preserve">(1), second  </w:t>
            </w:r>
          </w:p>
          <w:p>
            <w:pPr>
              <w:pStyle w:val="1"/>
              <w:jc w:val="both"/>
            </w:pPr>
            <w:r>
              <w:rPr>
                <w:sz w:val="14"/>
              </w:rPr>
              <w:t xml:space="preserve">subparagraph,</w:t>
            </w:r>
          </w:p>
          <w:p>
            <w:pPr>
              <w:pStyle w:val="1"/>
              <w:jc w:val="both"/>
            </w:pPr>
            <w:r>
              <w:rPr>
                <w:sz w:val="14"/>
              </w:rPr>
              <w:t xml:space="preserve">point (e)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w:t>
            </w:r>
          </w:p>
          <w:p>
            <w:pPr>
              <w:pStyle w:val="1"/>
              <w:jc w:val="both"/>
            </w:pPr>
            <w:r>
              <w:rPr>
                <w:sz w:val="14"/>
              </w:rPr>
              <w:t xml:space="preserve">(6), first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14   </w:t>
            </w:r>
          </w:p>
          <w:p>
            <w:pPr>
              <w:pStyle w:val="1"/>
              <w:jc w:val="both"/>
            </w:pPr>
            <w:r>
              <w:rPr>
                <w:sz w:val="14"/>
              </w:rPr>
              <w:t xml:space="preserve">(1), second  </w:t>
            </w:r>
          </w:p>
          <w:p>
            <w:pPr>
              <w:pStyle w:val="1"/>
              <w:jc w:val="both"/>
            </w:pPr>
            <w:r>
              <w:rPr>
                <w:sz w:val="14"/>
              </w:rPr>
              <w:t xml:space="preserve">subparagraph,</w:t>
            </w:r>
          </w:p>
          <w:p>
            <w:pPr>
              <w:pStyle w:val="1"/>
              <w:jc w:val="both"/>
            </w:pPr>
            <w:r>
              <w:rPr>
                <w:sz w:val="14"/>
              </w:rPr>
              <w:t xml:space="preserve">point (f)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w:t>
            </w:r>
          </w:p>
          <w:p>
            <w:pPr>
              <w:pStyle w:val="1"/>
              <w:jc w:val="both"/>
            </w:pPr>
            <w:r>
              <w:rPr>
                <w:sz w:val="14"/>
              </w:rPr>
              <w:t xml:space="preserve">(6), second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(7)</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(8)</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and</w:t>
            </w:r>
          </w:p>
          <w:p>
            <w:pPr>
              <w:pStyle w:val="1"/>
              <w:jc w:val="both"/>
            </w:pPr>
            <w:r>
              <w:rPr>
                <w:sz w:val="14"/>
              </w:rPr>
              <w:t xml:space="preserve">Article 17   </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17   </w:t>
            </w:r>
          </w:p>
          <w:p>
            <w:pPr>
              <w:pStyle w:val="1"/>
              <w:jc w:val="both"/>
            </w:pPr>
            <w:r>
              <w:rPr>
                <w:sz w:val="14"/>
              </w:rPr>
              <w:t xml:space="preserve">(2), (3) and </w:t>
            </w:r>
          </w:p>
          <w:p>
            <w:pPr>
              <w:pStyle w:val="1"/>
              <w:jc w:val="both"/>
            </w:pPr>
            <w:r>
              <w:rPr>
                <w:sz w:val="14"/>
              </w:rPr>
              <w:t xml:space="preserve">(4)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10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18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19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12   </w:t>
            </w:r>
          </w:p>
          <w:p>
            <w:pPr>
              <w:pStyle w:val="1"/>
              <w:jc w:val="both"/>
            </w:pPr>
            <w:r>
              <w:rPr>
                <w:sz w:val="14"/>
              </w:rPr>
              <w:t xml:space="preserve">(1)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20   </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12   </w:t>
            </w:r>
          </w:p>
          <w:p>
            <w:pPr>
              <w:pStyle w:val="1"/>
              <w:jc w:val="both"/>
            </w:pPr>
            <w:r>
              <w:rPr>
                <w:sz w:val="14"/>
              </w:rPr>
              <w:t xml:space="preserve">(2), first   </w:t>
            </w:r>
          </w:p>
          <w:p>
            <w:pPr>
              <w:pStyle w:val="1"/>
              <w:jc w:val="both"/>
            </w:pPr>
            <w:r>
              <w:rPr>
                <w:sz w:val="14"/>
              </w:rPr>
              <w:t xml:space="preserve">sentence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20   </w:t>
            </w:r>
          </w:p>
          <w:p>
            <w:pPr>
              <w:pStyle w:val="1"/>
              <w:jc w:val="both"/>
            </w:pPr>
            <w:r>
              <w:rPr>
                <w:sz w:val="14"/>
              </w:rPr>
              <w:t xml:space="preserve">(2), first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12   </w:t>
            </w:r>
          </w:p>
          <w:p>
            <w:pPr>
              <w:pStyle w:val="1"/>
              <w:jc w:val="both"/>
            </w:pPr>
            <w:r>
              <w:rPr>
                <w:sz w:val="14"/>
              </w:rPr>
              <w:t xml:space="preserve">(2), second  </w:t>
            </w:r>
          </w:p>
          <w:p>
            <w:pPr>
              <w:pStyle w:val="1"/>
              <w:jc w:val="both"/>
            </w:pPr>
            <w:r>
              <w:rPr>
                <w:sz w:val="14"/>
              </w:rPr>
              <w:t xml:space="preserve">sentence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20   </w:t>
            </w:r>
          </w:p>
          <w:p>
            <w:pPr>
              <w:pStyle w:val="1"/>
              <w:jc w:val="both"/>
            </w:pPr>
            <w:r>
              <w:rPr>
                <w:sz w:val="14"/>
              </w:rPr>
              <w:t xml:space="preserve">(2), second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12   </w:t>
            </w:r>
          </w:p>
          <w:p>
            <w:pPr>
              <w:pStyle w:val="1"/>
              <w:jc w:val="both"/>
            </w:pPr>
            <w:r>
              <w:rPr>
                <w:sz w:val="14"/>
              </w:rPr>
              <w:t xml:space="preserve">(2), third   </w:t>
            </w:r>
          </w:p>
          <w:p>
            <w:pPr>
              <w:pStyle w:val="1"/>
              <w:jc w:val="both"/>
            </w:pPr>
            <w:r>
              <w:rPr>
                <w:sz w:val="14"/>
              </w:rPr>
              <w:t xml:space="preserve">sentence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13   </w:t>
            </w:r>
          </w:p>
          <w:p>
            <w:pPr>
              <w:pStyle w:val="1"/>
              <w:jc w:val="both"/>
            </w:pPr>
            <w:r>
              <w:rPr>
                <w:sz w:val="14"/>
              </w:rPr>
              <w:t xml:space="preserve">(1)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21   </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21   </w:t>
            </w:r>
          </w:p>
          <w:p>
            <w:pPr>
              <w:pStyle w:val="1"/>
              <w:jc w:val="both"/>
            </w:pPr>
            <w:r>
              <w:rPr>
                <w:sz w:val="14"/>
              </w:rPr>
              <w:t xml:space="preserve">(2), (3) and </w:t>
            </w:r>
          </w:p>
          <w:p>
            <w:pPr>
              <w:pStyle w:val="1"/>
              <w:jc w:val="both"/>
            </w:pPr>
            <w:r>
              <w:rPr>
                <w:sz w:val="14"/>
              </w:rPr>
              <w:t xml:space="preserve">(4)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13   </w:t>
            </w:r>
          </w:p>
          <w:p>
            <w:pPr>
              <w:pStyle w:val="1"/>
              <w:jc w:val="both"/>
            </w:pPr>
            <w:r>
              <w:rPr>
                <w:sz w:val="14"/>
              </w:rPr>
              <w:t xml:space="preserve">(2),         </w:t>
            </w:r>
          </w:p>
          <w:p>
            <w:pPr>
              <w:pStyle w:val="1"/>
              <w:jc w:val="both"/>
            </w:pPr>
            <w:r>
              <w:rPr>
                <w:sz w:val="14"/>
              </w:rPr>
              <w:t xml:space="preserve">introductory </w:t>
            </w:r>
          </w:p>
          <w:p>
            <w:pPr>
              <w:pStyle w:val="1"/>
              <w:jc w:val="both"/>
            </w:pPr>
            <w:r>
              <w:rPr>
                <w:sz w:val="14"/>
              </w:rPr>
              <w:t xml:space="preserve">wording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21   </w:t>
            </w:r>
          </w:p>
          <w:p>
            <w:pPr>
              <w:pStyle w:val="1"/>
              <w:jc w:val="both"/>
            </w:pPr>
            <w:r>
              <w:rPr>
                <w:sz w:val="14"/>
              </w:rPr>
              <w:t xml:space="preserve">(5),         </w:t>
            </w:r>
          </w:p>
          <w:p>
            <w:pPr>
              <w:pStyle w:val="1"/>
              <w:jc w:val="both"/>
            </w:pPr>
            <w:r>
              <w:rPr>
                <w:sz w:val="14"/>
              </w:rPr>
              <w:t xml:space="preserve">introductory </w:t>
            </w:r>
          </w:p>
          <w:p>
            <w:pPr>
              <w:pStyle w:val="1"/>
              <w:jc w:val="both"/>
            </w:pPr>
            <w:r>
              <w:rPr>
                <w:sz w:val="14"/>
              </w:rPr>
              <w:t xml:space="preserve">wording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13   </w:t>
            </w:r>
          </w:p>
          <w:p>
            <w:pPr>
              <w:pStyle w:val="1"/>
              <w:jc w:val="both"/>
            </w:pPr>
            <w:r>
              <w:rPr>
                <w:sz w:val="14"/>
              </w:rPr>
              <w:t xml:space="preserve">(2) (a)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21   </w:t>
            </w:r>
          </w:p>
          <w:p>
            <w:pPr>
              <w:pStyle w:val="1"/>
              <w:jc w:val="both"/>
            </w:pPr>
            <w:r>
              <w:rPr>
                <w:sz w:val="14"/>
              </w:rPr>
              <w:t xml:space="preserve">(5), point   </w:t>
            </w:r>
          </w:p>
          <w:p>
            <w:pPr>
              <w:pStyle w:val="1"/>
              <w:jc w:val="both"/>
            </w:pPr>
            <w:r>
              <w:rPr>
                <w:sz w:val="14"/>
              </w:rPr>
              <w:t xml:space="preserve">(a)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13   </w:t>
            </w:r>
          </w:p>
          <w:p>
            <w:pPr>
              <w:pStyle w:val="1"/>
              <w:jc w:val="both"/>
            </w:pPr>
            <w:r>
              <w:rPr>
                <w:sz w:val="14"/>
              </w:rPr>
              <w:t xml:space="preserve">(2) (b)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13   </w:t>
            </w:r>
          </w:p>
          <w:p>
            <w:pPr>
              <w:pStyle w:val="1"/>
              <w:jc w:val="both"/>
            </w:pPr>
            <w:r>
              <w:rPr>
                <w:sz w:val="14"/>
              </w:rPr>
              <w:t xml:space="preserve">(2) (c)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21   </w:t>
            </w:r>
          </w:p>
          <w:p>
            <w:pPr>
              <w:pStyle w:val="1"/>
              <w:jc w:val="both"/>
            </w:pPr>
            <w:r>
              <w:rPr>
                <w:sz w:val="14"/>
              </w:rPr>
              <w:t xml:space="preserve">(5), point   </w:t>
            </w:r>
          </w:p>
          <w:p>
            <w:pPr>
              <w:pStyle w:val="1"/>
              <w:jc w:val="both"/>
            </w:pPr>
            <w:r>
              <w:rPr>
                <w:sz w:val="14"/>
              </w:rPr>
              <w:t xml:space="preserve">(b)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13   </w:t>
            </w:r>
          </w:p>
          <w:p>
            <w:pPr>
              <w:pStyle w:val="1"/>
              <w:jc w:val="both"/>
            </w:pPr>
            <w:r>
              <w:rPr>
                <w:sz w:val="14"/>
              </w:rPr>
              <w:t xml:space="preserve">(2) (d)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21   </w:t>
            </w:r>
          </w:p>
          <w:p>
            <w:pPr>
              <w:pStyle w:val="1"/>
              <w:jc w:val="both"/>
            </w:pPr>
            <w:r>
              <w:rPr>
                <w:sz w:val="14"/>
              </w:rPr>
              <w:t xml:space="preserve">(5), point   </w:t>
            </w:r>
          </w:p>
          <w:p>
            <w:pPr>
              <w:pStyle w:val="1"/>
              <w:jc w:val="both"/>
            </w:pPr>
            <w:r>
              <w:rPr>
                <w:sz w:val="14"/>
              </w:rPr>
              <w:t xml:space="preserve">(c)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22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23   </w:t>
            </w:r>
          </w:p>
          <w:p>
            <w:pPr>
              <w:pStyle w:val="1"/>
              <w:jc w:val="both"/>
            </w:pPr>
            <w:r>
              <w:rPr>
                <w:sz w:val="14"/>
              </w:rPr>
              <w:t xml:space="preserve">(1), first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14,  </w:t>
            </w:r>
          </w:p>
          <w:p>
            <w:pPr>
              <w:pStyle w:val="1"/>
              <w:jc w:val="both"/>
            </w:pPr>
            <w:r>
              <w:rPr>
                <w:sz w:val="14"/>
              </w:rPr>
              <w:t xml:space="preserve">introductory </w:t>
            </w:r>
          </w:p>
          <w:p>
            <w:pPr>
              <w:pStyle w:val="1"/>
              <w:jc w:val="both"/>
            </w:pPr>
            <w:r>
              <w:rPr>
                <w:sz w:val="14"/>
              </w:rPr>
              <w:t xml:space="preserve">wording and  </w:t>
            </w:r>
          </w:p>
          <w:p>
            <w:pPr>
              <w:pStyle w:val="1"/>
              <w:jc w:val="both"/>
            </w:pPr>
            <w:r>
              <w:rPr>
                <w:sz w:val="14"/>
              </w:rPr>
              <w:t xml:space="preserve">point (a)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 (1)</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14,  </w:t>
            </w:r>
          </w:p>
          <w:p>
            <w:pPr>
              <w:pStyle w:val="1"/>
              <w:jc w:val="both"/>
            </w:pPr>
            <w:r>
              <w:rPr>
                <w:sz w:val="14"/>
              </w:rPr>
              <w:t xml:space="preserve">point (b)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7,   </w:t>
            </w:r>
          </w:p>
          <w:p>
            <w:pPr>
              <w:pStyle w:val="1"/>
              <w:jc w:val="both"/>
            </w:pPr>
            <w:r>
              <w:rPr>
                <w:sz w:val="14"/>
              </w:rPr>
              <w:t xml:space="preserve">point (a) and</w:t>
            </w:r>
          </w:p>
          <w:p>
            <w:pPr>
              <w:pStyle w:val="1"/>
              <w:jc w:val="both"/>
            </w:pPr>
            <w:r>
              <w:rPr>
                <w:sz w:val="14"/>
              </w:rPr>
              <w:t xml:space="preserve">Article 14   </w:t>
            </w:r>
          </w:p>
          <w:p>
            <w:pPr>
              <w:pStyle w:val="1"/>
              <w:jc w:val="both"/>
            </w:pPr>
            <w:r>
              <w:rPr>
                <w:sz w:val="14"/>
              </w:rPr>
              <w:t xml:space="preserve">(1), point   </w:t>
            </w:r>
          </w:p>
          <w:p>
            <w:pPr>
              <w:pStyle w:val="1"/>
              <w:jc w:val="both"/>
            </w:pPr>
            <w:r>
              <w:rPr>
                <w:sz w:val="14"/>
              </w:rPr>
              <w:t xml:space="preserve">(d) (i)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7,   </w:t>
            </w:r>
          </w:p>
          <w:p>
            <w:pPr>
              <w:pStyle w:val="1"/>
              <w:jc w:val="both"/>
            </w:pPr>
            <w:r>
              <w:rPr>
                <w:sz w:val="14"/>
              </w:rPr>
              <w:t xml:space="preserve">introductory </w:t>
            </w:r>
          </w:p>
          <w:p>
            <w:pPr>
              <w:pStyle w:val="1"/>
              <w:jc w:val="both"/>
            </w:pPr>
            <w:r>
              <w:rPr>
                <w:sz w:val="14"/>
              </w:rPr>
              <w:t xml:space="preserve">wording and  </w:t>
            </w:r>
          </w:p>
          <w:p>
            <w:pPr>
              <w:pStyle w:val="1"/>
              <w:jc w:val="both"/>
            </w:pPr>
            <w:r>
              <w:rPr>
                <w:sz w:val="14"/>
              </w:rPr>
              <w:t xml:space="preserve">points (b)   </w:t>
            </w:r>
          </w:p>
          <w:p>
            <w:pPr>
              <w:pStyle w:val="1"/>
              <w:jc w:val="both"/>
            </w:pPr>
            <w:r>
              <w:rPr>
                <w:sz w:val="14"/>
              </w:rPr>
              <w:t xml:space="preserve">and (c)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14   </w:t>
            </w:r>
          </w:p>
          <w:p>
            <w:pPr>
              <w:pStyle w:val="1"/>
              <w:jc w:val="both"/>
            </w:pPr>
            <w:r>
              <w:rPr>
                <w:sz w:val="14"/>
              </w:rPr>
              <w:t xml:space="preserve">(1), point   </w:t>
            </w:r>
          </w:p>
          <w:p>
            <w:pPr>
              <w:pStyle w:val="1"/>
              <w:jc w:val="both"/>
            </w:pPr>
            <w:r>
              <w:rPr>
                <w:sz w:val="14"/>
              </w:rPr>
              <w:t xml:space="preserve">(d) (ii)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14,  </w:t>
            </w:r>
          </w:p>
          <w:p>
            <w:pPr>
              <w:pStyle w:val="1"/>
              <w:jc w:val="both"/>
            </w:pPr>
            <w:r>
              <w:rPr>
                <w:sz w:val="14"/>
              </w:rPr>
              <w:t xml:space="preserve">point (c)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23   </w:t>
            </w:r>
          </w:p>
          <w:p>
            <w:pPr>
              <w:pStyle w:val="1"/>
              <w:jc w:val="both"/>
            </w:pPr>
            <w:r>
              <w:rPr>
                <w:sz w:val="14"/>
              </w:rPr>
              <w:t xml:space="preserve">(1), second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23   </w:t>
            </w:r>
          </w:p>
          <w:p>
            <w:pPr>
              <w:pStyle w:val="1"/>
              <w:jc w:val="both"/>
            </w:pPr>
            <w:r>
              <w:rPr>
                <w:sz w:val="14"/>
              </w:rPr>
              <w:t xml:space="preserve">(2) to (6)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15   </w:t>
            </w:r>
          </w:p>
          <w:p>
            <w:pPr>
              <w:pStyle w:val="1"/>
              <w:jc w:val="both"/>
            </w:pPr>
            <w:r>
              <w:rPr>
                <w:sz w:val="14"/>
              </w:rPr>
              <w:t xml:space="preserve">(1), first   </w:t>
            </w:r>
          </w:p>
          <w:p>
            <w:pPr>
              <w:pStyle w:val="1"/>
              <w:jc w:val="both"/>
            </w:pPr>
            <w:r>
              <w:rPr>
                <w:sz w:val="14"/>
              </w:rPr>
              <w:t xml:space="preserve">subparagraph,</w:t>
            </w:r>
          </w:p>
          <w:p>
            <w:pPr>
              <w:pStyle w:val="1"/>
              <w:jc w:val="both"/>
            </w:pPr>
            <w:r>
              <w:rPr>
                <w:sz w:val="14"/>
              </w:rPr>
              <w:t xml:space="preserve">introductory </w:t>
            </w:r>
          </w:p>
          <w:p>
            <w:pPr>
              <w:pStyle w:val="1"/>
              <w:jc w:val="both"/>
            </w:pPr>
            <w:r>
              <w:rPr>
                <w:sz w:val="14"/>
              </w:rPr>
              <w:t xml:space="preserve">wording and  </w:t>
            </w:r>
          </w:p>
          <w:p>
            <w:pPr>
              <w:pStyle w:val="1"/>
              <w:jc w:val="both"/>
            </w:pPr>
            <w:r>
              <w:rPr>
                <w:sz w:val="14"/>
              </w:rPr>
              <w:t xml:space="preserve">points (a)   </w:t>
            </w:r>
          </w:p>
          <w:p>
            <w:pPr>
              <w:pStyle w:val="1"/>
              <w:jc w:val="both"/>
            </w:pPr>
            <w:r>
              <w:rPr>
                <w:sz w:val="14"/>
              </w:rPr>
              <w:t xml:space="preserve">and (b)      </w:t>
            </w:r>
          </w:p>
        </w:tc>
        <w:tc>
          <w:tcPr>
            <w:tcW w:w="1215" w:type="dxa"/>
            <w:tcBorders>
              <w:top w:val="nil"/>
            </w:tcBorders>
          </w:tcPr>
          <w:p>
            <w:pPr>
              <w:pStyle w:val="1"/>
              <w:jc w:val="both"/>
            </w:pPr>
            <w:r>
              <w:rPr>
                <w:sz w:val="14"/>
              </w:rPr>
              <w:t xml:space="preserve">Article 12   </w:t>
            </w:r>
          </w:p>
          <w:p>
            <w:pPr>
              <w:pStyle w:val="1"/>
              <w:jc w:val="both"/>
            </w:pPr>
            <w:r>
              <w:rPr>
                <w:sz w:val="14"/>
              </w:rPr>
              <w:t xml:space="preserve">(1), first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24   </w:t>
            </w:r>
          </w:p>
          <w:p>
            <w:pPr>
              <w:pStyle w:val="1"/>
              <w:jc w:val="both"/>
            </w:pPr>
            <w:r>
              <w:rPr>
                <w:sz w:val="14"/>
              </w:rPr>
              <w:t xml:space="preserve">(1), first   </w:t>
            </w:r>
          </w:p>
          <w:p>
            <w:pPr>
              <w:pStyle w:val="1"/>
              <w:jc w:val="both"/>
            </w:pPr>
            <w:r>
              <w:rPr>
                <w:sz w:val="14"/>
              </w:rPr>
              <w:t xml:space="preserve">subparagraph,</w:t>
            </w:r>
          </w:p>
          <w:p>
            <w:pPr>
              <w:pStyle w:val="1"/>
              <w:jc w:val="both"/>
            </w:pPr>
            <w:r>
              <w:rPr>
                <w:sz w:val="14"/>
              </w:rPr>
              <w:t xml:space="preserve">introductory </w:t>
            </w:r>
          </w:p>
          <w:p>
            <w:pPr>
              <w:pStyle w:val="1"/>
              <w:jc w:val="both"/>
            </w:pPr>
            <w:r>
              <w:rPr>
                <w:sz w:val="14"/>
              </w:rPr>
              <w:t xml:space="preserve">wording and  </w:t>
            </w:r>
          </w:p>
          <w:p>
            <w:pPr>
              <w:pStyle w:val="1"/>
              <w:jc w:val="both"/>
            </w:pPr>
            <w:r>
              <w:rPr>
                <w:sz w:val="14"/>
              </w:rPr>
              <w:t xml:space="preserve">points (a)   </w:t>
            </w:r>
          </w:p>
          <w:p>
            <w:pPr>
              <w:pStyle w:val="1"/>
              <w:jc w:val="both"/>
            </w:pPr>
            <w:r>
              <w:rPr>
                <w:sz w:val="14"/>
              </w:rPr>
              <w:t xml:space="preserve">and (b)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15   </w:t>
            </w:r>
          </w:p>
          <w:p>
            <w:pPr>
              <w:pStyle w:val="1"/>
              <w:jc w:val="both"/>
            </w:pPr>
            <w:r>
              <w:rPr>
                <w:sz w:val="14"/>
              </w:rPr>
              <w:t xml:space="preserve">(1), first   </w:t>
            </w:r>
          </w:p>
          <w:p>
            <w:pPr>
              <w:pStyle w:val="1"/>
              <w:jc w:val="both"/>
            </w:pPr>
            <w:r>
              <w:rPr>
                <w:sz w:val="14"/>
              </w:rPr>
              <w:t xml:space="preserve">subparagraph,</w:t>
            </w:r>
          </w:p>
          <w:p>
            <w:pPr>
              <w:pStyle w:val="1"/>
              <w:jc w:val="both"/>
            </w:pPr>
            <w:r>
              <w:rPr>
                <w:sz w:val="14"/>
              </w:rPr>
              <w:t xml:space="preserve">point (c)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24   </w:t>
            </w:r>
          </w:p>
          <w:p>
            <w:pPr>
              <w:pStyle w:val="1"/>
              <w:jc w:val="both"/>
            </w:pPr>
            <w:r>
              <w:rPr>
                <w:sz w:val="14"/>
              </w:rPr>
              <w:t xml:space="preserve">(1), first   </w:t>
            </w:r>
          </w:p>
          <w:p>
            <w:pPr>
              <w:pStyle w:val="1"/>
              <w:jc w:val="both"/>
            </w:pPr>
            <w:r>
              <w:rPr>
                <w:sz w:val="14"/>
              </w:rPr>
              <w:t xml:space="preserve">subparagraph,</w:t>
            </w:r>
          </w:p>
          <w:p>
            <w:pPr>
              <w:pStyle w:val="1"/>
              <w:jc w:val="both"/>
            </w:pPr>
            <w:r>
              <w:rPr>
                <w:sz w:val="14"/>
              </w:rPr>
              <w:t xml:space="preserve">point (c)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15   </w:t>
            </w:r>
          </w:p>
          <w:p>
            <w:pPr>
              <w:pStyle w:val="1"/>
              <w:jc w:val="both"/>
            </w:pPr>
            <w:r>
              <w:rPr>
                <w:sz w:val="14"/>
              </w:rPr>
              <w:t xml:space="preserve">(1), second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24   </w:t>
            </w:r>
          </w:p>
          <w:p>
            <w:pPr>
              <w:pStyle w:val="1"/>
              <w:jc w:val="both"/>
            </w:pPr>
            <w:r>
              <w:rPr>
                <w:sz w:val="14"/>
              </w:rPr>
              <w:t xml:space="preserve">(1), second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15   </w:t>
            </w:r>
          </w:p>
          <w:p>
            <w:pPr>
              <w:pStyle w:val="1"/>
              <w:jc w:val="both"/>
            </w:pPr>
            <w:r>
              <w:rPr>
                <w:sz w:val="14"/>
              </w:rPr>
              <w:t xml:space="preserve">(2)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24   </w:t>
            </w:r>
          </w:p>
          <w:p>
            <w:pPr>
              <w:pStyle w:val="1"/>
              <w:jc w:val="both"/>
            </w:pPr>
            <w:r>
              <w:rPr>
                <w:sz w:val="14"/>
              </w:rPr>
              <w:t xml:space="preserve">(3) (b)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15   </w:t>
            </w:r>
          </w:p>
          <w:p>
            <w:pPr>
              <w:pStyle w:val="1"/>
              <w:jc w:val="both"/>
            </w:pPr>
            <w:r>
              <w:rPr>
                <w:sz w:val="14"/>
              </w:rPr>
              <w:t xml:space="preserve">(3)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24   </w:t>
            </w:r>
          </w:p>
          <w:p>
            <w:pPr>
              <w:pStyle w:val="1"/>
              <w:jc w:val="both"/>
            </w:pPr>
            <w:r>
              <w:rPr>
                <w:sz w:val="14"/>
              </w:rPr>
              <w:t xml:space="preserve">(4)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15   </w:t>
            </w:r>
          </w:p>
          <w:p>
            <w:pPr>
              <w:pStyle w:val="1"/>
              <w:jc w:val="both"/>
            </w:pPr>
            <w:r>
              <w:rPr>
                <w:sz w:val="14"/>
              </w:rPr>
              <w:t xml:space="preserve">(4)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24   </w:t>
            </w:r>
          </w:p>
          <w:p>
            <w:pPr>
              <w:pStyle w:val="1"/>
              <w:jc w:val="both"/>
            </w:pPr>
            <w:r>
              <w:rPr>
                <w:sz w:val="14"/>
              </w:rPr>
              <w:t xml:space="preserve">(2),         </w:t>
            </w:r>
          </w:p>
          <w:p>
            <w:pPr>
              <w:pStyle w:val="1"/>
              <w:jc w:val="both"/>
            </w:pPr>
            <w:r>
              <w:rPr>
                <w:sz w:val="14"/>
              </w:rPr>
              <w:t xml:space="preserve">introductory </w:t>
            </w:r>
          </w:p>
          <w:p>
            <w:pPr>
              <w:pStyle w:val="1"/>
              <w:jc w:val="both"/>
            </w:pPr>
            <w:r>
              <w:rPr>
                <w:sz w:val="14"/>
              </w:rPr>
              <w:t xml:space="preserve">wording and  </w:t>
            </w:r>
          </w:p>
          <w:p>
            <w:pPr>
              <w:pStyle w:val="1"/>
              <w:jc w:val="both"/>
            </w:pPr>
            <w:r>
              <w:rPr>
                <w:sz w:val="14"/>
              </w:rPr>
              <w:t xml:space="preserve">points (a)   </w:t>
            </w:r>
          </w:p>
          <w:p>
            <w:pPr>
              <w:pStyle w:val="1"/>
              <w:jc w:val="both"/>
            </w:pPr>
            <w:r>
              <w:rPr>
                <w:sz w:val="14"/>
              </w:rPr>
              <w:t xml:space="preserve">and (b)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24   </w:t>
            </w:r>
          </w:p>
          <w:p>
            <w:pPr>
              <w:pStyle w:val="1"/>
              <w:jc w:val="both"/>
            </w:pPr>
            <w:r>
              <w:rPr>
                <w:sz w:val="14"/>
              </w:rPr>
              <w:t xml:space="preserve">(2), points  </w:t>
            </w:r>
          </w:p>
          <w:p>
            <w:pPr>
              <w:pStyle w:val="1"/>
              <w:jc w:val="both"/>
            </w:pPr>
            <w:r>
              <w:rPr>
                <w:sz w:val="14"/>
              </w:rPr>
              <w:t xml:space="preserve">(c) to (f)   </w:t>
            </w:r>
          </w:p>
          <w:p>
            <w:pPr>
              <w:pStyle w:val="1"/>
              <w:jc w:val="both"/>
            </w:pPr>
            <w:r>
              <w:rPr>
                <w:sz w:val="14"/>
              </w:rPr>
              <w:t xml:space="preserve">and Article  </w:t>
            </w:r>
          </w:p>
          <w:p>
            <w:pPr>
              <w:pStyle w:val="1"/>
              <w:jc w:val="both"/>
            </w:pPr>
            <w:r>
              <w:rPr>
                <w:sz w:val="14"/>
              </w:rPr>
              <w:t xml:space="preserve">24 (3),      </w:t>
            </w:r>
          </w:p>
          <w:p>
            <w:pPr>
              <w:pStyle w:val="1"/>
              <w:jc w:val="both"/>
            </w:pPr>
            <w:r>
              <w:rPr>
                <w:sz w:val="14"/>
              </w:rPr>
              <w:t xml:space="preserve">introductory </w:t>
            </w:r>
          </w:p>
          <w:p>
            <w:pPr>
              <w:pStyle w:val="1"/>
              <w:jc w:val="both"/>
            </w:pPr>
            <w:r>
              <w:rPr>
                <w:sz w:val="14"/>
              </w:rPr>
              <w:t xml:space="preserve">wording and  </w:t>
            </w:r>
          </w:p>
          <w:p>
            <w:pPr>
              <w:pStyle w:val="1"/>
              <w:jc w:val="both"/>
            </w:pPr>
            <w:r>
              <w:rPr>
                <w:sz w:val="14"/>
              </w:rPr>
              <w:t xml:space="preserve">point (a)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16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25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17   </w:t>
            </w:r>
          </w:p>
          <w:p>
            <w:pPr>
              <w:pStyle w:val="1"/>
              <w:jc w:val="both"/>
            </w:pPr>
            <w:r>
              <w:rPr>
                <w:sz w:val="14"/>
              </w:rPr>
              <w:t xml:space="preserve">(1), second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17   </w:t>
            </w:r>
          </w:p>
          <w:p>
            <w:pPr>
              <w:pStyle w:val="1"/>
              <w:jc w:val="both"/>
            </w:pPr>
            <w:r>
              <w:rPr>
                <w:sz w:val="14"/>
              </w:rPr>
              <w:t xml:space="preserve">(2), first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13   </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13   </w:t>
            </w:r>
          </w:p>
          <w:p>
            <w:pPr>
              <w:pStyle w:val="1"/>
              <w:jc w:val="both"/>
            </w:pPr>
            <w:r>
              <w:rPr>
                <w:sz w:val="14"/>
              </w:rPr>
              <w:t xml:space="preserve">(2) to (7)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17   </w:t>
            </w:r>
          </w:p>
          <w:p>
            <w:pPr>
              <w:pStyle w:val="1"/>
              <w:jc w:val="both"/>
            </w:pPr>
            <w:r>
              <w:rPr>
                <w:sz w:val="14"/>
              </w:rPr>
              <w:t xml:space="preserve">(2), second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17   </w:t>
            </w:r>
          </w:p>
          <w:p>
            <w:pPr>
              <w:pStyle w:val="1"/>
              <w:jc w:val="both"/>
            </w:pPr>
            <w:r>
              <w:rPr>
                <w:sz w:val="14"/>
              </w:rPr>
              <w:t xml:space="preserve">(3), first   </w:t>
            </w:r>
          </w:p>
          <w:p>
            <w:pPr>
              <w:pStyle w:val="1"/>
              <w:jc w:val="both"/>
            </w:pPr>
            <w:r>
              <w:rPr>
                <w:sz w:val="14"/>
              </w:rPr>
              <w:t xml:space="preserve">subparagraph,</w:t>
            </w:r>
          </w:p>
          <w:p>
            <w:pPr>
              <w:pStyle w:val="1"/>
              <w:jc w:val="both"/>
            </w:pPr>
            <w:r>
              <w:rPr>
                <w:sz w:val="14"/>
              </w:rPr>
              <w:t xml:space="preserve">second and   </w:t>
            </w:r>
          </w:p>
          <w:p>
            <w:pPr>
              <w:pStyle w:val="1"/>
              <w:jc w:val="both"/>
            </w:pPr>
            <w:r>
              <w:rPr>
                <w:sz w:val="14"/>
              </w:rPr>
              <w:t xml:space="preserve">third        </w:t>
            </w:r>
          </w:p>
          <w:p>
            <w:pPr>
              <w:pStyle w:val="1"/>
              <w:jc w:val="both"/>
            </w:pPr>
            <w:r>
              <w:rPr>
                <w:sz w:val="14"/>
              </w:rPr>
              <w:t xml:space="preserve">sentence     </w:t>
            </w:r>
          </w:p>
        </w:tc>
        <w:tc>
          <w:tcPr>
            <w:tcW w:w="1215" w:type="dxa"/>
            <w:tcBorders>
              <w:top w:val="nil"/>
            </w:tcBorders>
          </w:tcPr>
          <w:p>
            <w:pPr>
              <w:pStyle w:val="1"/>
              <w:jc w:val="both"/>
            </w:pPr>
            <w:r>
              <w:rPr>
                <w:sz w:val="14"/>
              </w:rPr>
              <w:t xml:space="preserve">Article 11   </w:t>
            </w:r>
          </w:p>
          <w:p>
            <w:pPr>
              <w:pStyle w:val="1"/>
              <w:jc w:val="both"/>
            </w:pPr>
            <w:r>
              <w:rPr>
                <w:sz w:val="14"/>
              </w:rPr>
              <w:t xml:space="preserve">(1), second  </w:t>
            </w:r>
          </w:p>
          <w:p>
            <w:pPr>
              <w:pStyle w:val="1"/>
              <w:jc w:val="both"/>
            </w:pPr>
            <w:r>
              <w:rPr>
                <w:sz w:val="14"/>
              </w:rPr>
              <w:t xml:space="preserve">sentence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72   </w:t>
            </w:r>
          </w:p>
          <w:p>
            <w:pPr>
              <w:pStyle w:val="1"/>
              <w:jc w:val="both"/>
            </w:pPr>
            <w:r>
              <w:rPr>
                <w:sz w:val="14"/>
              </w:rPr>
              <w:t xml:space="preserve">(2)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17   </w:t>
            </w:r>
          </w:p>
          <w:p>
            <w:pPr>
              <w:pStyle w:val="1"/>
              <w:jc w:val="both"/>
            </w:pPr>
            <w:r>
              <w:rPr>
                <w:sz w:val="14"/>
              </w:rPr>
              <w:t xml:space="preserve">(3), first   </w:t>
            </w:r>
          </w:p>
          <w:p>
            <w:pPr>
              <w:pStyle w:val="1"/>
              <w:jc w:val="both"/>
            </w:pPr>
            <w:r>
              <w:rPr>
                <w:sz w:val="14"/>
              </w:rPr>
              <w:t xml:space="preserve">subparagraph,</w:t>
            </w:r>
          </w:p>
          <w:p>
            <w:pPr>
              <w:pStyle w:val="1"/>
              <w:jc w:val="both"/>
            </w:pPr>
            <w:r>
              <w:rPr>
                <w:sz w:val="14"/>
              </w:rPr>
              <w:t xml:space="preserve">fourth       </w:t>
            </w:r>
          </w:p>
          <w:p>
            <w:pPr>
              <w:pStyle w:val="1"/>
              <w:jc w:val="both"/>
            </w:pPr>
            <w:r>
              <w:rPr>
                <w:sz w:val="14"/>
              </w:rPr>
              <w:t xml:space="preserve">sentence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72   </w:t>
            </w:r>
          </w:p>
          <w:p>
            <w:pPr>
              <w:pStyle w:val="1"/>
              <w:jc w:val="both"/>
            </w:pPr>
            <w:r>
              <w:rPr>
                <w:sz w:val="14"/>
              </w:rPr>
              <w:t xml:space="preserve">(3) and (4)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17   </w:t>
            </w:r>
          </w:p>
          <w:p>
            <w:pPr>
              <w:pStyle w:val="1"/>
              <w:jc w:val="both"/>
            </w:pPr>
            <w:r>
              <w:rPr>
                <w:sz w:val="14"/>
              </w:rPr>
              <w:t xml:space="preserve">(3), second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17   </w:t>
            </w:r>
          </w:p>
          <w:p>
            <w:pPr>
              <w:pStyle w:val="1"/>
              <w:jc w:val="both"/>
            </w:pPr>
            <w:r>
              <w:rPr>
                <w:sz w:val="14"/>
              </w:rPr>
              <w:t xml:space="preserve">(3), third   </w:t>
            </w:r>
          </w:p>
          <w:p>
            <w:pPr>
              <w:pStyle w:val="1"/>
              <w:jc w:val="both"/>
            </w:pPr>
            <w:r>
              <w:rPr>
                <w:sz w:val="14"/>
              </w:rPr>
              <w:t xml:space="preserve">subparagraph </w:t>
            </w:r>
          </w:p>
        </w:tc>
        <w:tc>
          <w:tcPr>
            <w:tcW w:w="1215" w:type="dxa"/>
            <w:tcBorders>
              <w:top w:val="nil"/>
            </w:tcBorders>
          </w:tcPr>
          <w:p>
            <w:pPr>
              <w:pStyle w:val="1"/>
              <w:jc w:val="both"/>
            </w:pPr>
            <w:r>
              <w:rPr>
                <w:sz w:val="14"/>
              </w:rPr>
              <w:t xml:space="preserve">Article 11   </w:t>
            </w:r>
          </w:p>
          <w:p>
            <w:pPr>
              <w:pStyle w:val="1"/>
              <w:jc w:val="both"/>
            </w:pPr>
            <w:r>
              <w:rPr>
                <w:sz w:val="14"/>
              </w:rPr>
              <w:t xml:space="preserve">(3)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73   </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73   </w:t>
            </w:r>
          </w:p>
          <w:p>
            <w:pPr>
              <w:pStyle w:val="1"/>
              <w:jc w:val="both"/>
            </w:pPr>
            <w:r>
              <w:rPr>
                <w:sz w:val="14"/>
              </w:rPr>
              <w:t xml:space="preserve">(2)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17   </w:t>
            </w:r>
          </w:p>
          <w:p>
            <w:pPr>
              <w:pStyle w:val="1"/>
              <w:jc w:val="both"/>
            </w:pPr>
            <w:r>
              <w:rPr>
                <w:sz w:val="14"/>
              </w:rPr>
              <w:t xml:space="preserve">(4)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74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27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18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tc>
        <w:tc>
          <w:tcPr>
            <w:tcW w:w="1215" w:type="dxa"/>
            <w:tcBorders>
              <w:top w:val="nil"/>
            </w:tcBorders>
          </w:tcPr>
          <w:p>
            <w:pPr>
              <w:pStyle w:val="1"/>
              <w:jc w:val="both"/>
            </w:pPr>
            <w:r>
              <w:rPr>
                <w:sz w:val="14"/>
              </w:rPr>
              <w:t xml:space="preserve">Article 26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19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20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21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80   </w:t>
            </w:r>
          </w:p>
          <w:p>
            <w:pPr>
              <w:pStyle w:val="1"/>
              <w:jc w:val="both"/>
            </w:pPr>
            <w:r>
              <w:rPr>
                <w:sz w:val="14"/>
              </w:rPr>
              <w:t xml:space="preserve">(2)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22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18   </w:t>
            </w:r>
          </w:p>
        </w:tc>
        <w:tc>
          <w:tcPr>
            <w:tcW w:w="1215" w:type="dxa"/>
            <w:tcBorders>
              <w:top w:val="nil"/>
            </w:tcBorders>
          </w:tcPr>
          <w:p>
            <w:pPr>
              <w:pStyle w:val="1"/>
              <w:jc w:val="both"/>
            </w:pPr>
            <w:r>
              <w:rPr>
                <w:sz w:val="14"/>
              </w:rPr>
              <w:t xml:space="preserve">Article 17   </w:t>
            </w:r>
          </w:p>
        </w:tc>
        <w:tc>
          <w:tcPr>
            <w:tcW w:w="1215" w:type="dxa"/>
            <w:tcBorders>
              <w:top w:val="nil"/>
            </w:tcBorders>
          </w:tcPr>
          <w:p>
            <w:pPr>
              <w:pStyle w:val="1"/>
              <w:jc w:val="both"/>
            </w:pPr>
            <w:r>
              <w:rPr>
                <w:sz w:val="14"/>
              </w:rPr>
              <w:t xml:space="preserve">Article 81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82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23   </w:t>
            </w:r>
          </w:p>
        </w:tc>
        <w:tc>
          <w:tcPr>
            <w:tcW w:w="1215" w:type="dxa"/>
            <w:tcBorders>
              <w:top w:val="nil"/>
            </w:tcBorders>
          </w:tcPr>
          <w:p>
            <w:pPr>
              <w:pStyle w:val="1"/>
              <w:jc w:val="both"/>
            </w:pPr>
            <w:r>
              <w:rPr>
                <w:sz w:val="14"/>
              </w:rPr>
              <w:t xml:space="preserve">Article 16   </w:t>
            </w:r>
          </w:p>
        </w:tc>
        <w:tc>
          <w:tcPr>
            <w:tcW w:w="1215" w:type="dxa"/>
            <w:tcBorders>
              <w:top w:val="nil"/>
            </w:tcBorders>
          </w:tcPr>
          <w:p>
            <w:pPr>
              <w:pStyle w:val="1"/>
              <w:jc w:val="both"/>
            </w:pPr>
            <w:r>
              <w:rPr>
                <w:sz w:val="14"/>
              </w:rPr>
              <w:t xml:space="preserve">Article 22   </w:t>
            </w:r>
          </w:p>
        </w:tc>
        <w:tc>
          <w:tcPr>
            <w:tcW w:w="1215" w:type="dxa"/>
            <w:tcBorders>
              <w:top w:val="nil"/>
            </w:tcBorders>
          </w:tcPr>
          <w:p>
            <w:pPr>
              <w:pStyle w:val="1"/>
              <w:jc w:val="both"/>
            </w:pPr>
            <w:r>
              <w:rPr>
                <w:sz w:val="14"/>
              </w:rPr>
              <w:t xml:space="preserve">Article 19   </w:t>
            </w:r>
          </w:p>
        </w:tc>
        <w:tc>
          <w:tcPr>
            <w:tcW w:w="1215" w:type="dxa"/>
            <w:tcBorders>
              <w:top w:val="nil"/>
            </w:tcBorders>
          </w:tcPr>
          <w:p>
            <w:pPr>
              <w:pStyle w:val="1"/>
              <w:jc w:val="both"/>
            </w:pPr>
            <w:r>
              <w:rPr>
                <w:sz w:val="14"/>
              </w:rPr>
              <w:t xml:space="preserve">Article 83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2 (1)</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paragraph 1  </w:t>
            </w:r>
          </w:p>
          <w:p>
            <w:pPr>
              <w:pStyle w:val="1"/>
              <w:jc w:val="both"/>
            </w:pPr>
            <w:r>
              <w:rPr>
                <w:sz w:val="14"/>
              </w:rPr>
              <w:t xml:space="preserve">of           </w:t>
            </w:r>
          </w:p>
          <w:p>
            <w:pPr>
              <w:pStyle w:val="1"/>
              <w:jc w:val="both"/>
            </w:pPr>
            <w:r>
              <w:rPr>
                <w:sz w:val="14"/>
              </w:rPr>
              <w:t xml:space="preserve">introductory </w:t>
            </w:r>
          </w:p>
          <w:p>
            <w:pPr>
              <w:pStyle w:val="1"/>
              <w:jc w:val="both"/>
            </w:pPr>
            <w:r>
              <w:rPr>
                <w:sz w:val="14"/>
              </w:rPr>
              <w:t xml:space="preserve">wording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(2)</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paragraph 2  </w:t>
            </w:r>
          </w:p>
          <w:p>
            <w:pPr>
              <w:pStyle w:val="1"/>
              <w:jc w:val="both"/>
            </w:pPr>
            <w:r>
              <w:rPr>
                <w:sz w:val="14"/>
              </w:rPr>
              <w:t xml:space="preserve">of           </w:t>
            </w:r>
          </w:p>
          <w:p>
            <w:pPr>
              <w:pStyle w:val="1"/>
              <w:jc w:val="both"/>
            </w:pPr>
            <w:r>
              <w:rPr>
                <w:sz w:val="14"/>
              </w:rPr>
              <w:t xml:space="preserve">introductory </w:t>
            </w:r>
          </w:p>
          <w:p>
            <w:pPr>
              <w:pStyle w:val="1"/>
              <w:jc w:val="both"/>
            </w:pPr>
            <w:r>
              <w:rPr>
                <w:sz w:val="14"/>
              </w:rPr>
              <w:t xml:space="preserve">wording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first        </w:t>
            </w:r>
          </w:p>
          <w:p>
            <w:pPr>
              <w:pStyle w:val="1"/>
              <w:jc w:val="both"/>
            </w:pPr>
            <w:r>
              <w:rPr>
                <w:sz w:val="14"/>
              </w:rPr>
              <w:t xml:space="preserve">subparagraph </w:t>
            </w:r>
          </w:p>
          <w:p>
            <w:pPr>
              <w:pStyle w:val="1"/>
              <w:jc w:val="both"/>
            </w:pPr>
            <w:r>
              <w:rPr>
                <w:sz w:val="14"/>
              </w:rPr>
              <w:t xml:space="preserve">of           </w:t>
            </w:r>
          </w:p>
          <w:p>
            <w:pPr>
              <w:pStyle w:val="1"/>
              <w:jc w:val="both"/>
            </w:pPr>
            <w:r>
              <w:rPr>
                <w:sz w:val="14"/>
              </w:rPr>
              <w:t xml:space="preserve">introductory </w:t>
            </w:r>
          </w:p>
          <w:p>
            <w:pPr>
              <w:pStyle w:val="1"/>
              <w:jc w:val="both"/>
            </w:pPr>
            <w:r>
              <w:rPr>
                <w:sz w:val="14"/>
              </w:rPr>
              <w:t xml:space="preserve">wording,     </w:t>
            </w:r>
          </w:p>
          <w:p>
            <w:pPr>
              <w:pStyle w:val="1"/>
              <w:jc w:val="both"/>
            </w:pPr>
            <w:r>
              <w:rPr>
                <w:sz w:val="14"/>
              </w:rPr>
              <w:t xml:space="preserve">first        </w:t>
            </w:r>
          </w:p>
          <w:p>
            <w:pPr>
              <w:pStyle w:val="1"/>
              <w:jc w:val="both"/>
            </w:pPr>
            <w:r>
              <w:rPr>
                <w:sz w:val="14"/>
              </w:rPr>
              <w:t xml:space="preserve">sentence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Annex I,     </w:t>
            </w:r>
          </w:p>
          <w:p>
            <w:pPr>
              <w:pStyle w:val="1"/>
              <w:jc w:val="both"/>
            </w:pPr>
            <w:r>
              <w:rPr>
                <w:sz w:val="14"/>
              </w:rPr>
              <w:t xml:space="preserve">first        </w:t>
            </w:r>
          </w:p>
          <w:p>
            <w:pPr>
              <w:pStyle w:val="1"/>
              <w:jc w:val="both"/>
            </w:pPr>
            <w:r>
              <w:rPr>
                <w:sz w:val="14"/>
              </w:rPr>
              <w:t xml:space="preserve">subparagraph </w:t>
            </w:r>
          </w:p>
          <w:p>
            <w:pPr>
              <w:pStyle w:val="1"/>
              <w:jc w:val="both"/>
            </w:pPr>
            <w:r>
              <w:rPr>
                <w:sz w:val="14"/>
              </w:rPr>
              <w:t xml:space="preserve">of           </w:t>
            </w:r>
          </w:p>
          <w:p>
            <w:pPr>
              <w:pStyle w:val="1"/>
              <w:jc w:val="both"/>
            </w:pPr>
            <w:r>
              <w:rPr>
                <w:sz w:val="14"/>
              </w:rPr>
              <w:t xml:space="preserve">introductory </w:t>
            </w:r>
          </w:p>
          <w:p>
            <w:pPr>
              <w:pStyle w:val="1"/>
              <w:jc w:val="both"/>
            </w:pPr>
            <w:r>
              <w:rPr>
                <w:sz w:val="14"/>
              </w:rPr>
              <w:t xml:space="preserve">wording,     </w:t>
            </w:r>
          </w:p>
          <w:p>
            <w:pPr>
              <w:pStyle w:val="1"/>
              <w:jc w:val="both"/>
            </w:pPr>
            <w:r>
              <w:rPr>
                <w:sz w:val="14"/>
              </w:rPr>
              <w:t xml:space="preserve">second       </w:t>
            </w:r>
          </w:p>
          <w:p>
            <w:pPr>
              <w:pStyle w:val="1"/>
              <w:jc w:val="both"/>
            </w:pPr>
            <w:r>
              <w:rPr>
                <w:sz w:val="14"/>
              </w:rPr>
              <w:t xml:space="preserve">sentence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Annex I,     </w:t>
            </w:r>
          </w:p>
          <w:p>
            <w:pPr>
              <w:pStyle w:val="1"/>
              <w:jc w:val="both"/>
            </w:pPr>
            <w:r>
              <w:rPr>
                <w:sz w:val="14"/>
              </w:rPr>
              <w:t xml:space="preserve">second       </w:t>
            </w:r>
          </w:p>
          <w:p>
            <w:pPr>
              <w:pStyle w:val="1"/>
              <w:jc w:val="both"/>
            </w:pPr>
            <w:r>
              <w:rPr>
                <w:sz w:val="14"/>
              </w:rPr>
              <w:t xml:space="preserve">subparagraph </w:t>
            </w:r>
          </w:p>
          <w:p>
            <w:pPr>
              <w:pStyle w:val="1"/>
              <w:jc w:val="both"/>
            </w:pPr>
            <w:r>
              <w:rPr>
                <w:sz w:val="14"/>
              </w:rPr>
              <w:t xml:space="preserve">of           </w:t>
            </w:r>
          </w:p>
          <w:p>
            <w:pPr>
              <w:pStyle w:val="1"/>
              <w:jc w:val="both"/>
            </w:pPr>
            <w:r>
              <w:rPr>
                <w:sz w:val="14"/>
              </w:rPr>
              <w:t xml:space="preserve">introductory </w:t>
            </w:r>
          </w:p>
          <w:p>
            <w:pPr>
              <w:pStyle w:val="1"/>
              <w:jc w:val="both"/>
            </w:pPr>
            <w:r>
              <w:rPr>
                <w:sz w:val="14"/>
              </w:rPr>
              <w:t xml:space="preserve">wording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points 1.1 to</w:t>
            </w:r>
          </w:p>
          <w:p>
            <w:pPr>
              <w:pStyle w:val="1"/>
              <w:jc w:val="both"/>
            </w:pPr>
            <w:r>
              <w:rPr>
                <w:sz w:val="14"/>
              </w:rPr>
              <w:t xml:space="preserve">1.3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points 1.1 to</w:t>
            </w:r>
          </w:p>
          <w:p>
            <w:pPr>
              <w:pStyle w:val="1"/>
              <w:jc w:val="both"/>
            </w:pPr>
            <w:r>
              <w:rPr>
                <w:sz w:val="14"/>
              </w:rPr>
              <w:t xml:space="preserve">1.3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point 1.4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point 1.4 (a)</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Annex I,     </w:t>
            </w:r>
          </w:p>
          <w:p>
            <w:pPr>
              <w:pStyle w:val="1"/>
              <w:jc w:val="both"/>
            </w:pPr>
            <w:r>
              <w:rPr>
                <w:sz w:val="14"/>
              </w:rPr>
              <w:t xml:space="preserve">point 1.4 (b)</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point 2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point 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point 3.1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point 3.1 (a)</w:t>
            </w:r>
          </w:p>
          <w:p>
            <w:pPr>
              <w:pStyle w:val="1"/>
              <w:jc w:val="both"/>
            </w:pPr>
            <w:r>
              <w:rPr>
                <w:sz w:val="14"/>
              </w:rPr>
              <w:t xml:space="preserve">and (b)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Annex I,     </w:t>
            </w:r>
          </w:p>
          <w:p>
            <w:pPr>
              <w:pStyle w:val="1"/>
              <w:jc w:val="both"/>
            </w:pPr>
            <w:r>
              <w:rPr>
                <w:sz w:val="14"/>
              </w:rPr>
              <w:t xml:space="preserve">point 3.1 (c)</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points 3.2 to</w:t>
            </w:r>
          </w:p>
          <w:p>
            <w:pPr>
              <w:pStyle w:val="1"/>
              <w:jc w:val="both"/>
            </w:pPr>
            <w:r>
              <w:rPr>
                <w:sz w:val="14"/>
              </w:rPr>
              <w:t xml:space="preserve">3.5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points 3.2 to</w:t>
            </w:r>
          </w:p>
          <w:p>
            <w:pPr>
              <w:pStyle w:val="1"/>
              <w:jc w:val="both"/>
            </w:pPr>
            <w:r>
              <w:rPr>
                <w:sz w:val="14"/>
              </w:rPr>
              <w:t xml:space="preserve">3.5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point 4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point 4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point 5,     </w:t>
            </w:r>
          </w:p>
          <w:p>
            <w:pPr>
              <w:pStyle w:val="1"/>
              <w:jc w:val="both"/>
            </w:pPr>
            <w:r>
              <w:rPr>
                <w:sz w:val="14"/>
              </w:rPr>
              <w:t xml:space="preserve">introductory </w:t>
            </w:r>
          </w:p>
          <w:p>
            <w:pPr>
              <w:pStyle w:val="1"/>
              <w:jc w:val="both"/>
            </w:pPr>
            <w:r>
              <w:rPr>
                <w:sz w:val="14"/>
              </w:rPr>
              <w:t xml:space="preserve">wording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point 5.1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points 5.1   </w:t>
            </w:r>
          </w:p>
          <w:p>
            <w:pPr>
              <w:pStyle w:val="1"/>
              <w:jc w:val="both"/>
            </w:pPr>
            <w:r>
              <w:rPr>
                <w:sz w:val="14"/>
              </w:rPr>
              <w:t xml:space="preserve">(b), (f),    </w:t>
            </w:r>
          </w:p>
          <w:p>
            <w:pPr>
              <w:pStyle w:val="1"/>
              <w:jc w:val="both"/>
            </w:pPr>
            <w:r>
              <w:rPr>
                <w:sz w:val="14"/>
              </w:rPr>
              <w:t xml:space="preserve">(g), (i), (j)</w:t>
            </w:r>
          </w:p>
          <w:p>
            <w:pPr>
              <w:pStyle w:val="1"/>
              <w:jc w:val="both"/>
            </w:pPr>
            <w:r>
              <w:rPr>
                <w:sz w:val="14"/>
              </w:rPr>
              <w:t xml:space="preserve">and 5.2 (b)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Annex I,     </w:t>
            </w:r>
          </w:p>
          <w:p>
            <w:pPr>
              <w:pStyle w:val="1"/>
              <w:jc w:val="both"/>
            </w:pPr>
            <w:r>
              <w:rPr>
                <w:sz w:val="14"/>
              </w:rPr>
              <w:t xml:space="preserve">points 5.1   </w:t>
            </w:r>
          </w:p>
          <w:p>
            <w:pPr>
              <w:pStyle w:val="1"/>
              <w:jc w:val="both"/>
            </w:pPr>
            <w:r>
              <w:rPr>
                <w:sz w:val="14"/>
              </w:rPr>
              <w:t xml:space="preserve">(a), (c),    </w:t>
            </w:r>
          </w:p>
          <w:p>
            <w:pPr>
              <w:pStyle w:val="1"/>
              <w:jc w:val="both"/>
            </w:pPr>
            <w:r>
              <w:rPr>
                <w:sz w:val="14"/>
              </w:rPr>
              <w:t xml:space="preserve">(d), (e),    </w:t>
            </w:r>
          </w:p>
          <w:p>
            <w:pPr>
              <w:pStyle w:val="1"/>
              <w:jc w:val="both"/>
            </w:pPr>
            <w:r>
              <w:rPr>
                <w:sz w:val="14"/>
              </w:rPr>
              <w:t xml:space="preserve">(h), (k)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point 5.2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point 5.2 (a)</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point 5.3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point 5.3 (a)</w:t>
            </w:r>
          </w:p>
          <w:p>
            <w:pPr>
              <w:pStyle w:val="1"/>
              <w:jc w:val="both"/>
            </w:pPr>
            <w:r>
              <w:rPr>
                <w:sz w:val="14"/>
              </w:rPr>
              <w:t xml:space="preserve">(i) and (ii)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Annex I,     </w:t>
            </w:r>
          </w:p>
          <w:p>
            <w:pPr>
              <w:pStyle w:val="1"/>
              <w:jc w:val="both"/>
            </w:pPr>
            <w:r>
              <w:rPr>
                <w:sz w:val="14"/>
              </w:rPr>
              <w:t xml:space="preserve">point 5.3 (a)</w:t>
            </w:r>
          </w:p>
          <w:p>
            <w:pPr>
              <w:pStyle w:val="1"/>
              <w:jc w:val="both"/>
            </w:pPr>
            <w:r>
              <w:rPr>
                <w:sz w:val="14"/>
              </w:rPr>
              <w:t xml:space="preserve">(iii) to (v) </w:t>
            </w:r>
          </w:p>
          <w:p>
            <w:pPr>
              <w:pStyle w:val="1"/>
              <w:jc w:val="both"/>
            </w:pPr>
            <w:r>
              <w:rPr>
                <w:sz w:val="14"/>
              </w:rPr>
              <w:t xml:space="preserve">and 5.3 (b)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point 5.4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point 5.4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Annex I,     </w:t>
            </w:r>
          </w:p>
          <w:p>
            <w:pPr>
              <w:pStyle w:val="1"/>
              <w:jc w:val="both"/>
            </w:pPr>
            <w:r>
              <w:rPr>
                <w:sz w:val="14"/>
              </w:rPr>
              <w:t xml:space="preserve">points 5.5   </w:t>
            </w:r>
          </w:p>
          <w:p>
            <w:pPr>
              <w:pStyle w:val="1"/>
              <w:jc w:val="both"/>
            </w:pPr>
            <w:r>
              <w:rPr>
                <w:sz w:val="14"/>
              </w:rPr>
              <w:t xml:space="preserve">and 5.6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points 6.1   </w:t>
            </w:r>
          </w:p>
          <w:p>
            <w:pPr>
              <w:pStyle w:val="1"/>
              <w:jc w:val="both"/>
            </w:pPr>
            <w:r>
              <w:rPr>
                <w:sz w:val="14"/>
              </w:rPr>
              <w:t xml:space="preserve">(a) and (b)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points 6.1   </w:t>
            </w:r>
          </w:p>
          <w:p>
            <w:pPr>
              <w:pStyle w:val="1"/>
              <w:jc w:val="both"/>
            </w:pPr>
            <w:r>
              <w:rPr>
                <w:sz w:val="14"/>
              </w:rPr>
              <w:t xml:space="preserve">(a) and (b)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Annex I,     </w:t>
            </w:r>
          </w:p>
          <w:p>
            <w:pPr>
              <w:pStyle w:val="1"/>
              <w:jc w:val="both"/>
            </w:pPr>
            <w:r>
              <w:rPr>
                <w:sz w:val="14"/>
              </w:rPr>
              <w:t xml:space="preserve">point 6.1 (c)</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points 6.2 - </w:t>
            </w:r>
          </w:p>
          <w:p>
            <w:pPr>
              <w:pStyle w:val="1"/>
              <w:jc w:val="both"/>
            </w:pPr>
            <w:r>
              <w:rPr>
                <w:sz w:val="14"/>
              </w:rPr>
              <w:t xml:space="preserve">6.4 (b)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points 6.2 - </w:t>
            </w:r>
          </w:p>
          <w:p>
            <w:pPr>
              <w:pStyle w:val="1"/>
              <w:jc w:val="both"/>
            </w:pPr>
            <w:r>
              <w:rPr>
                <w:sz w:val="14"/>
              </w:rPr>
              <w:t xml:space="preserve">6.4 (b) (ii)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Annex I,     </w:t>
            </w:r>
          </w:p>
          <w:p>
            <w:pPr>
              <w:pStyle w:val="1"/>
              <w:jc w:val="both"/>
            </w:pPr>
            <w:r>
              <w:rPr>
                <w:sz w:val="14"/>
              </w:rPr>
              <w:t xml:space="preserve">point 6.4 (b)</w:t>
            </w:r>
          </w:p>
          <w:p>
            <w:pPr>
              <w:pStyle w:val="1"/>
              <w:jc w:val="both"/>
            </w:pPr>
            <w:r>
              <w:rPr>
                <w:sz w:val="14"/>
              </w:rPr>
              <w:t xml:space="preserve">(iii)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points 6.4   </w:t>
            </w:r>
          </w:p>
          <w:p>
            <w:pPr>
              <w:pStyle w:val="1"/>
              <w:jc w:val="both"/>
            </w:pPr>
            <w:r>
              <w:rPr>
                <w:sz w:val="14"/>
              </w:rPr>
              <w:t xml:space="preserve">(c) - 6.9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points 6.4   </w:t>
            </w:r>
          </w:p>
          <w:p>
            <w:pPr>
              <w:pStyle w:val="1"/>
              <w:jc w:val="both"/>
            </w:pPr>
            <w:r>
              <w:rPr>
                <w:sz w:val="14"/>
              </w:rPr>
              <w:t xml:space="preserve">(c) - 6.9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Annex I,     </w:t>
            </w:r>
          </w:p>
          <w:p>
            <w:pPr>
              <w:pStyle w:val="1"/>
              <w:jc w:val="both"/>
            </w:pPr>
            <w:r>
              <w:rPr>
                <w:sz w:val="14"/>
              </w:rPr>
              <w:t xml:space="preserve">points 6.10  </w:t>
            </w:r>
          </w:p>
          <w:p>
            <w:pPr>
              <w:pStyle w:val="1"/>
              <w:jc w:val="both"/>
            </w:pPr>
            <w:r>
              <w:rPr>
                <w:sz w:val="14"/>
              </w:rPr>
              <w:t xml:space="preserve">and 6.11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II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III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II,    </w:t>
            </w:r>
          </w:p>
          <w:p>
            <w:pPr>
              <w:pStyle w:val="1"/>
              <w:jc w:val="both"/>
            </w:pPr>
            <w:r>
              <w:rPr>
                <w:sz w:val="14"/>
              </w:rPr>
              <w:t xml:space="preserve">"Air", and   </w:t>
            </w:r>
          </w:p>
          <w:p>
            <w:pPr>
              <w:pStyle w:val="1"/>
              <w:jc w:val="both"/>
            </w:pPr>
            <w:r>
              <w:rPr>
                <w:sz w:val="14"/>
              </w:rPr>
              <w:t xml:space="preserve">"Water",     </w:t>
            </w:r>
          </w:p>
          <w:p>
            <w:pPr>
              <w:pStyle w:val="1"/>
              <w:jc w:val="both"/>
            </w:pPr>
            <w:r>
              <w:rPr>
                <w:sz w:val="14"/>
              </w:rPr>
              <w:t xml:space="preserve">points 1 to  </w:t>
            </w:r>
          </w:p>
          <w:p>
            <w:pPr>
              <w:pStyle w:val="1"/>
              <w:jc w:val="both"/>
            </w:pPr>
            <w:r>
              <w:rPr>
                <w:sz w:val="14"/>
              </w:rPr>
              <w:t xml:space="preserve">12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Annex II,    </w:t>
            </w:r>
          </w:p>
          <w:p>
            <w:pPr>
              <w:pStyle w:val="1"/>
              <w:jc w:val="both"/>
            </w:pPr>
            <w:r>
              <w:rPr>
                <w:sz w:val="14"/>
              </w:rPr>
              <w:t xml:space="preserve">"Water",     </w:t>
            </w:r>
          </w:p>
          <w:p>
            <w:pPr>
              <w:pStyle w:val="1"/>
              <w:jc w:val="both"/>
            </w:pPr>
            <w:r>
              <w:rPr>
                <w:sz w:val="14"/>
              </w:rPr>
              <w:t xml:space="preserve">point 13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IV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III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IV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56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(2)</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57   </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(3)</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(4)</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63   </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(8)</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    </w:t>
            </w:r>
          </w:p>
          <w:p>
            <w:pPr>
              <w:pStyle w:val="1"/>
              <w:jc w:val="both"/>
            </w:pPr>
            <w:r>
              <w:rPr>
                <w:sz w:val="14"/>
              </w:rPr>
              <w:t xml:space="preserve">(1), third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(10)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57   </w:t>
            </w:r>
          </w:p>
          <w:p>
            <w:pPr>
              <w:pStyle w:val="1"/>
              <w:jc w:val="both"/>
            </w:pPr>
            <w:r>
              <w:rPr>
                <w:sz w:val="14"/>
              </w:rPr>
              <w:t xml:space="preserve">(3)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(11)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57   </w:t>
            </w:r>
          </w:p>
          <w:p>
            <w:pPr>
              <w:pStyle w:val="1"/>
              <w:jc w:val="both"/>
            </w:pPr>
            <w:r>
              <w:rPr>
                <w:sz w:val="14"/>
              </w:rPr>
              <w:t xml:space="preserve">(2)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(12)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57   </w:t>
            </w:r>
          </w:p>
          <w:p>
            <w:pPr>
              <w:pStyle w:val="1"/>
              <w:jc w:val="both"/>
            </w:pPr>
            <w:r>
              <w:rPr>
                <w:sz w:val="14"/>
              </w:rPr>
              <w:t xml:space="preserve">(4)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(15)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57   </w:t>
            </w:r>
          </w:p>
          <w:p>
            <w:pPr>
              <w:pStyle w:val="1"/>
              <w:jc w:val="both"/>
            </w:pPr>
            <w:r>
              <w:rPr>
                <w:sz w:val="14"/>
              </w:rPr>
              <w:t xml:space="preserve">(5)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(16)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(44)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(17)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(45)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(18)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(46)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(19)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(20)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(47)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(21)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57   </w:t>
            </w:r>
          </w:p>
          <w:p>
            <w:pPr>
              <w:pStyle w:val="1"/>
              <w:jc w:val="both"/>
            </w:pPr>
            <w:r>
              <w:rPr>
                <w:sz w:val="14"/>
              </w:rPr>
              <w:t xml:space="preserve">(6)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(22)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57   </w:t>
            </w:r>
          </w:p>
          <w:p>
            <w:pPr>
              <w:pStyle w:val="1"/>
              <w:jc w:val="both"/>
            </w:pPr>
            <w:r>
              <w:rPr>
                <w:sz w:val="14"/>
              </w:rPr>
              <w:t xml:space="preserve">(7)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(23)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57   </w:t>
            </w:r>
          </w:p>
          <w:p>
            <w:pPr>
              <w:pStyle w:val="1"/>
              <w:jc w:val="both"/>
            </w:pPr>
            <w:r>
              <w:rPr>
                <w:sz w:val="14"/>
              </w:rPr>
              <w:t xml:space="preserve">(8)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(24)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57   </w:t>
            </w:r>
          </w:p>
          <w:p>
            <w:pPr>
              <w:pStyle w:val="1"/>
              <w:jc w:val="both"/>
            </w:pPr>
            <w:r>
              <w:rPr>
                <w:sz w:val="14"/>
              </w:rPr>
              <w:t xml:space="preserve">(9)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(25)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57   </w:t>
            </w:r>
          </w:p>
          <w:p>
            <w:pPr>
              <w:pStyle w:val="1"/>
              <w:jc w:val="both"/>
            </w:pPr>
            <w:r>
              <w:rPr>
                <w:sz w:val="14"/>
              </w:rPr>
              <w:t xml:space="preserve">(10)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(26)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57   </w:t>
            </w:r>
          </w:p>
          <w:p>
            <w:pPr>
              <w:pStyle w:val="1"/>
              <w:jc w:val="both"/>
            </w:pPr>
            <w:r>
              <w:rPr>
                <w:sz w:val="14"/>
              </w:rPr>
              <w:t xml:space="preserve">(11)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(27)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(28)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63   </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(29)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(30)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57   </w:t>
            </w:r>
          </w:p>
          <w:p>
            <w:pPr>
              <w:pStyle w:val="1"/>
              <w:jc w:val="both"/>
            </w:pPr>
            <w:r>
              <w:rPr>
                <w:sz w:val="14"/>
              </w:rPr>
              <w:t xml:space="preserve">(12)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(31)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   </w:t>
            </w:r>
          </w:p>
          <w:p>
            <w:pPr>
              <w:pStyle w:val="1"/>
              <w:jc w:val="both"/>
            </w:pPr>
            <w:r>
              <w:rPr>
                <w:sz w:val="14"/>
              </w:rPr>
              <w:t xml:space="preserve">Part 2, first</w:t>
            </w:r>
          </w:p>
          <w:p>
            <w:pPr>
              <w:pStyle w:val="1"/>
              <w:jc w:val="both"/>
            </w:pPr>
            <w:r>
              <w:rPr>
                <w:sz w:val="14"/>
              </w:rPr>
              <w:t xml:space="preserve">sentence     </w:t>
            </w:r>
          </w:p>
          <w:p>
            <w:pPr>
              <w:pStyle w:val="1"/>
              <w:jc w:val="both"/>
            </w:pPr>
            <w:r>
              <w:rPr>
                <w:sz w:val="14"/>
              </w:rPr>
              <w:t xml:space="preserve">Annex VIII,  </w:t>
            </w:r>
          </w:p>
          <w:p>
            <w:pPr>
              <w:pStyle w:val="1"/>
              <w:jc w:val="both"/>
            </w:pPr>
            <w:r>
              <w:rPr>
                <w:sz w:val="14"/>
              </w:rPr>
              <w:t xml:space="preserve">Part 2, point</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(32)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(33)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57   </w:t>
            </w:r>
          </w:p>
          <w:p>
            <w:pPr>
              <w:pStyle w:val="1"/>
              <w:jc w:val="both"/>
            </w:pPr>
            <w:r>
              <w:rPr>
                <w:sz w:val="14"/>
              </w:rPr>
              <w:t xml:space="preserve">(13)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(2)</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    </w:t>
            </w:r>
          </w:p>
          <w:p>
            <w:pPr>
              <w:pStyle w:val="1"/>
              <w:jc w:val="both"/>
            </w:pPr>
            <w:r>
              <w:rPr>
                <w:sz w:val="14"/>
              </w:rPr>
              <w:t xml:space="preserve">(1), second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    </w:t>
            </w:r>
          </w:p>
          <w:p>
            <w:pPr>
              <w:pStyle w:val="1"/>
              <w:jc w:val="both"/>
            </w:pPr>
            <w:r>
              <w:rPr>
                <w:sz w:val="14"/>
              </w:rPr>
              <w:t xml:space="preserve">(1), (2) and </w:t>
            </w:r>
          </w:p>
          <w:p>
            <w:pPr>
              <w:pStyle w:val="1"/>
              <w:jc w:val="both"/>
            </w:pPr>
            <w:r>
              <w:rPr>
                <w:sz w:val="14"/>
              </w:rPr>
              <w:t xml:space="preserve">(3)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    </w:t>
            </w:r>
          </w:p>
          <w:p>
            <w:pPr>
              <w:pStyle w:val="1"/>
              <w:jc w:val="both"/>
            </w:pPr>
            <w:r>
              <w:rPr>
                <w:sz w:val="14"/>
              </w:rPr>
              <w:t xml:space="preserve">(1), first   </w:t>
            </w:r>
          </w:p>
          <w:p>
            <w:pPr>
              <w:pStyle w:val="1"/>
              <w:jc w:val="both"/>
            </w:pPr>
            <w:r>
              <w:rPr>
                <w:sz w:val="14"/>
              </w:rPr>
              <w:t xml:space="preserve">and second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 (4)</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63   </w:t>
            </w:r>
          </w:p>
          <w:p>
            <w:pPr>
              <w:pStyle w:val="1"/>
              <w:jc w:val="both"/>
            </w:pPr>
            <w:r>
              <w:rPr>
                <w:sz w:val="14"/>
              </w:rPr>
              <w:t xml:space="preserve">(2)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 (1)</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59   </w:t>
            </w:r>
          </w:p>
          <w:p>
            <w:pPr>
              <w:pStyle w:val="1"/>
              <w:jc w:val="both"/>
            </w:pPr>
            <w:r>
              <w:rPr>
                <w:sz w:val="14"/>
              </w:rPr>
              <w:t xml:space="preserve">(1), first   </w:t>
            </w:r>
          </w:p>
          <w:p>
            <w:pPr>
              <w:pStyle w:val="1"/>
              <w:jc w:val="both"/>
            </w:pPr>
            <w:r>
              <w:rPr>
                <w:sz w:val="14"/>
              </w:rPr>
              <w:t xml:space="preserve">subparagraph,</w:t>
            </w:r>
          </w:p>
          <w:p>
            <w:pPr>
              <w:pStyle w:val="1"/>
              <w:jc w:val="both"/>
            </w:pPr>
            <w:r>
              <w:rPr>
                <w:sz w:val="14"/>
              </w:rPr>
              <w:t xml:space="preserve">introductory </w:t>
            </w:r>
          </w:p>
          <w:p>
            <w:pPr>
              <w:pStyle w:val="1"/>
              <w:jc w:val="both"/>
            </w:pPr>
            <w:r>
              <w:rPr>
                <w:sz w:val="14"/>
              </w:rPr>
              <w:t xml:space="preserve">wording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 (2)</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59   </w:t>
            </w:r>
          </w:p>
          <w:p>
            <w:pPr>
              <w:pStyle w:val="1"/>
              <w:jc w:val="both"/>
            </w:pPr>
            <w:r>
              <w:rPr>
                <w:sz w:val="14"/>
              </w:rPr>
              <w:t xml:space="preserve">(1) first    </w:t>
            </w:r>
          </w:p>
          <w:p>
            <w:pPr>
              <w:pStyle w:val="1"/>
              <w:jc w:val="both"/>
            </w:pPr>
            <w:r>
              <w:rPr>
                <w:sz w:val="14"/>
              </w:rPr>
              <w:t xml:space="preserve">subparagraph,</w:t>
            </w:r>
          </w:p>
          <w:p>
            <w:pPr>
              <w:pStyle w:val="1"/>
              <w:jc w:val="both"/>
            </w:pPr>
            <w:r>
              <w:rPr>
                <w:sz w:val="14"/>
              </w:rPr>
              <w:t xml:space="preserve">points (a)   </w:t>
            </w:r>
          </w:p>
          <w:p>
            <w:pPr>
              <w:pStyle w:val="1"/>
              <w:jc w:val="both"/>
            </w:pPr>
            <w:r>
              <w:rPr>
                <w:sz w:val="14"/>
              </w:rPr>
              <w:t xml:space="preserve">and (b)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    </w:t>
            </w:r>
          </w:p>
          <w:p>
            <w:pPr>
              <w:pStyle w:val="1"/>
              <w:jc w:val="both"/>
            </w:pPr>
            <w:r>
              <w:rPr>
                <w:sz w:val="14"/>
              </w:rPr>
              <w:t xml:space="preserve">(3), first   </w:t>
            </w:r>
          </w:p>
          <w:p>
            <w:pPr>
              <w:pStyle w:val="1"/>
              <w:jc w:val="both"/>
            </w:pPr>
            <w:r>
              <w:rPr>
                <w:sz w:val="14"/>
              </w:rPr>
              <w:t xml:space="preserve">subparagraph,</w:t>
            </w:r>
          </w:p>
          <w:p>
            <w:pPr>
              <w:pStyle w:val="1"/>
              <w:jc w:val="both"/>
            </w:pPr>
            <w:r>
              <w:rPr>
                <w:sz w:val="14"/>
              </w:rPr>
              <w:t xml:space="preserve">point (a)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59   </w:t>
            </w:r>
          </w:p>
          <w:p>
            <w:pPr>
              <w:pStyle w:val="1"/>
              <w:jc w:val="both"/>
            </w:pPr>
            <w:r>
              <w:rPr>
                <w:sz w:val="14"/>
              </w:rPr>
              <w:t xml:space="preserve">(2)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    </w:t>
            </w:r>
          </w:p>
          <w:p>
            <w:pPr>
              <w:pStyle w:val="1"/>
              <w:jc w:val="both"/>
            </w:pPr>
            <w:r>
              <w:rPr>
                <w:sz w:val="14"/>
              </w:rPr>
              <w:t xml:space="preserve">(3), first   </w:t>
            </w:r>
          </w:p>
          <w:p>
            <w:pPr>
              <w:pStyle w:val="1"/>
              <w:jc w:val="both"/>
            </w:pPr>
            <w:r>
              <w:rPr>
                <w:sz w:val="14"/>
              </w:rPr>
              <w:t xml:space="preserve">subparagraph,</w:t>
            </w:r>
          </w:p>
          <w:p>
            <w:pPr>
              <w:pStyle w:val="1"/>
              <w:jc w:val="both"/>
            </w:pPr>
            <w:r>
              <w:rPr>
                <w:sz w:val="14"/>
              </w:rPr>
              <w:t xml:space="preserve">point (b)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59   </w:t>
            </w:r>
          </w:p>
          <w:p>
            <w:pPr>
              <w:pStyle w:val="1"/>
              <w:jc w:val="both"/>
            </w:pPr>
            <w:r>
              <w:rPr>
                <w:sz w:val="14"/>
              </w:rPr>
              <w:t xml:space="preserve">(3)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    </w:t>
            </w:r>
          </w:p>
          <w:p>
            <w:pPr>
              <w:pStyle w:val="1"/>
              <w:jc w:val="both"/>
            </w:pPr>
            <w:r>
              <w:rPr>
                <w:sz w:val="14"/>
              </w:rPr>
              <w:t xml:space="preserve">(3), second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59   </w:t>
            </w:r>
          </w:p>
          <w:p>
            <w:pPr>
              <w:pStyle w:val="1"/>
              <w:jc w:val="both"/>
            </w:pPr>
            <w:r>
              <w:rPr>
                <w:sz w:val="14"/>
              </w:rPr>
              <w:t xml:space="preserve">(4)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59   </w:t>
            </w:r>
          </w:p>
          <w:p>
            <w:pPr>
              <w:pStyle w:val="1"/>
              <w:jc w:val="both"/>
            </w:pPr>
            <w:r>
              <w:rPr>
                <w:sz w:val="14"/>
              </w:rPr>
              <w:t xml:space="preserve">(5)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 (4)</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 (5)</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59   </w:t>
            </w:r>
          </w:p>
          <w:p>
            <w:pPr>
              <w:pStyle w:val="1"/>
              <w:jc w:val="both"/>
            </w:pPr>
            <w:r>
              <w:rPr>
                <w:sz w:val="14"/>
              </w:rPr>
              <w:t xml:space="preserve">(6)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 (6)</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58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 (7)</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   </w:t>
            </w:r>
          </w:p>
          <w:p>
            <w:pPr>
              <w:pStyle w:val="1"/>
              <w:jc w:val="both"/>
            </w:pPr>
            <w:r>
              <w:rPr>
                <w:sz w:val="14"/>
              </w:rPr>
              <w:t xml:space="preserve">Part 4, point</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 (8)</w:t>
            </w:r>
          </w:p>
          <w:p>
            <w:pPr>
              <w:pStyle w:val="1"/>
              <w:jc w:val="both"/>
            </w:pPr>
            <w:r>
              <w:rPr>
                <w:sz w:val="14"/>
              </w:rPr>
              <w:t xml:space="preserve">first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   </w:t>
            </w:r>
          </w:p>
          <w:p>
            <w:pPr>
              <w:pStyle w:val="1"/>
              <w:jc w:val="both"/>
            </w:pPr>
            <w:r>
              <w:rPr>
                <w:sz w:val="14"/>
              </w:rPr>
              <w:t xml:space="preserve">Part 4, point</w:t>
            </w:r>
          </w:p>
          <w:p>
            <w:pPr>
              <w:pStyle w:val="1"/>
              <w:jc w:val="both"/>
            </w:pPr>
            <w:r>
              <w:rPr>
                <w:sz w:val="14"/>
              </w:rPr>
              <w:t xml:space="preserve">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 (8)</w:t>
            </w:r>
          </w:p>
          <w:p>
            <w:pPr>
              <w:pStyle w:val="1"/>
              <w:jc w:val="both"/>
            </w:pPr>
            <w:r>
              <w:rPr>
                <w:sz w:val="14"/>
              </w:rPr>
              <w:t xml:space="preserve">second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 (9)</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    </w:t>
            </w:r>
          </w:p>
          <w:p>
            <w:pPr>
              <w:pStyle w:val="1"/>
              <w:jc w:val="both"/>
            </w:pPr>
            <w:r>
              <w:rPr>
                <w:sz w:val="14"/>
              </w:rPr>
              <w:t xml:space="preserve">(10)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59   </w:t>
            </w:r>
          </w:p>
          <w:p>
            <w:pPr>
              <w:pStyle w:val="1"/>
              <w:jc w:val="both"/>
            </w:pPr>
            <w:r>
              <w:rPr>
                <w:sz w:val="14"/>
              </w:rPr>
              <w:t xml:space="preserve">(7)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    </w:t>
            </w:r>
          </w:p>
          <w:p>
            <w:pPr>
              <w:pStyle w:val="1"/>
              <w:jc w:val="both"/>
            </w:pPr>
            <w:r>
              <w:rPr>
                <w:sz w:val="14"/>
              </w:rPr>
              <w:t xml:space="preserve">(11), (12)   </w:t>
            </w:r>
          </w:p>
          <w:p>
            <w:pPr>
              <w:pStyle w:val="1"/>
              <w:jc w:val="both"/>
            </w:pPr>
            <w:r>
              <w:rPr>
                <w:sz w:val="14"/>
              </w:rPr>
              <w:t xml:space="preserve">and (13)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7    </w:t>
            </w:r>
          </w:p>
          <w:p>
            <w:pPr>
              <w:pStyle w:val="1"/>
              <w:jc w:val="both"/>
            </w:pPr>
            <w:r>
              <w:rPr>
                <w:sz w:val="14"/>
              </w:rPr>
              <w:t xml:space="preserve">(1),         </w:t>
            </w:r>
          </w:p>
          <w:p>
            <w:pPr>
              <w:pStyle w:val="1"/>
              <w:jc w:val="both"/>
            </w:pPr>
            <w:r>
              <w:rPr>
                <w:sz w:val="14"/>
              </w:rPr>
              <w:t xml:space="preserve">introductory </w:t>
            </w:r>
          </w:p>
          <w:p>
            <w:pPr>
              <w:pStyle w:val="1"/>
              <w:jc w:val="both"/>
            </w:pPr>
            <w:r>
              <w:rPr>
                <w:sz w:val="14"/>
              </w:rPr>
              <w:t xml:space="preserve">wording and  </w:t>
            </w:r>
          </w:p>
          <w:p>
            <w:pPr>
              <w:pStyle w:val="1"/>
              <w:jc w:val="both"/>
            </w:pPr>
            <w:r>
              <w:rPr>
                <w:sz w:val="14"/>
              </w:rPr>
              <w:t xml:space="preserve">first,       </w:t>
            </w:r>
          </w:p>
          <w:p>
            <w:pPr>
              <w:pStyle w:val="1"/>
              <w:jc w:val="both"/>
            </w:pPr>
            <w:r>
              <w:rPr>
                <w:sz w:val="14"/>
              </w:rPr>
              <w:t xml:space="preserve">second, third</w:t>
            </w:r>
          </w:p>
          <w:p>
            <w:pPr>
              <w:pStyle w:val="1"/>
              <w:jc w:val="both"/>
            </w:pPr>
            <w:r>
              <w:rPr>
                <w:sz w:val="14"/>
              </w:rPr>
              <w:t xml:space="preserve">and fourth   </w:t>
            </w:r>
          </w:p>
          <w:p>
            <w:pPr>
              <w:pStyle w:val="1"/>
              <w:jc w:val="both"/>
            </w:pPr>
            <w:r>
              <w:rPr>
                <w:sz w:val="14"/>
              </w:rPr>
              <w:t xml:space="preserve">indent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64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7    </w:t>
            </w:r>
          </w:p>
          <w:p>
            <w:pPr>
              <w:pStyle w:val="1"/>
              <w:jc w:val="both"/>
            </w:pPr>
            <w:r>
              <w:rPr>
                <w:sz w:val="14"/>
              </w:rPr>
              <w:t xml:space="preserve">(1), closing </w:t>
            </w:r>
          </w:p>
          <w:p>
            <w:pPr>
              <w:pStyle w:val="1"/>
              <w:jc w:val="both"/>
            </w:pPr>
            <w:r>
              <w:rPr>
                <w:sz w:val="14"/>
              </w:rPr>
              <w:t xml:space="preserve">wording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7 (2)</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 (1)</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14   </w:t>
            </w:r>
          </w:p>
          <w:p>
            <w:pPr>
              <w:pStyle w:val="1"/>
              <w:jc w:val="both"/>
            </w:pPr>
            <w:r>
              <w:rPr>
                <w:sz w:val="14"/>
              </w:rPr>
              <w:t xml:space="preserve">(1), point   </w:t>
            </w:r>
          </w:p>
          <w:p>
            <w:pPr>
              <w:pStyle w:val="1"/>
              <w:jc w:val="both"/>
            </w:pPr>
            <w:r>
              <w:rPr>
                <w:sz w:val="14"/>
              </w:rPr>
              <w:t xml:space="preserve">(d), Article </w:t>
            </w:r>
          </w:p>
          <w:p>
            <w:pPr>
              <w:pStyle w:val="1"/>
              <w:jc w:val="both"/>
            </w:pPr>
            <w:r>
              <w:rPr>
                <w:sz w:val="14"/>
              </w:rPr>
              <w:t xml:space="preserve">60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61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 (2)</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   </w:t>
            </w:r>
          </w:p>
          <w:p>
            <w:pPr>
              <w:pStyle w:val="1"/>
              <w:jc w:val="both"/>
            </w:pPr>
            <w:r>
              <w:rPr>
                <w:sz w:val="14"/>
              </w:rPr>
              <w:t xml:space="preserve">Part 6, point</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 (3)</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   </w:t>
            </w:r>
          </w:p>
          <w:p>
            <w:pPr>
              <w:pStyle w:val="1"/>
              <w:jc w:val="both"/>
            </w:pPr>
            <w:r>
              <w:rPr>
                <w:sz w:val="14"/>
              </w:rPr>
              <w:t xml:space="preserve">Part 6, point</w:t>
            </w:r>
          </w:p>
          <w:p>
            <w:pPr>
              <w:pStyle w:val="1"/>
              <w:jc w:val="both"/>
            </w:pPr>
            <w:r>
              <w:rPr>
                <w:sz w:val="14"/>
              </w:rPr>
              <w:t xml:space="preserve">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 (4)</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    </w:t>
            </w:r>
          </w:p>
          <w:p>
            <w:pPr>
              <w:pStyle w:val="1"/>
              <w:jc w:val="both"/>
            </w:pPr>
            <w:r>
              <w:rPr>
                <w:sz w:val="14"/>
              </w:rPr>
              <w:t xml:space="preserve">Part 6, point</w:t>
            </w:r>
          </w:p>
          <w:p>
            <w:pPr>
              <w:pStyle w:val="1"/>
              <w:jc w:val="both"/>
            </w:pPr>
            <w:r>
              <w:rPr>
                <w:sz w:val="14"/>
              </w:rPr>
              <w:t xml:space="preserve">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 (5)</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w:t>
            </w:r>
          </w:p>
          <w:p>
            <w:pPr>
              <w:pStyle w:val="1"/>
              <w:jc w:val="both"/>
            </w:pPr>
            <w:r>
              <w:rPr>
                <w:sz w:val="14"/>
              </w:rPr>
              <w:t xml:space="preserve">(1), first   </w:t>
            </w:r>
          </w:p>
          <w:p>
            <w:pPr>
              <w:pStyle w:val="1"/>
              <w:jc w:val="both"/>
            </w:pPr>
            <w:r>
              <w:rPr>
                <w:sz w:val="14"/>
              </w:rPr>
              <w:t xml:space="preserve">subparagraph,</w:t>
            </w:r>
          </w:p>
          <w:p>
            <w:pPr>
              <w:pStyle w:val="1"/>
              <w:jc w:val="both"/>
            </w:pPr>
            <w:r>
              <w:rPr>
                <w:sz w:val="14"/>
              </w:rPr>
              <w:t xml:space="preserve">introductory </w:t>
            </w:r>
          </w:p>
          <w:p>
            <w:pPr>
              <w:pStyle w:val="1"/>
              <w:jc w:val="both"/>
            </w:pPr>
            <w:r>
              <w:rPr>
                <w:sz w:val="14"/>
              </w:rPr>
              <w:t xml:space="preserve">wording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62,  </w:t>
            </w:r>
          </w:p>
          <w:p>
            <w:pPr>
              <w:pStyle w:val="1"/>
              <w:jc w:val="both"/>
            </w:pPr>
            <w:r>
              <w:rPr>
                <w:sz w:val="14"/>
              </w:rPr>
              <w:t xml:space="preserve">first        </w:t>
            </w:r>
          </w:p>
          <w:p>
            <w:pPr>
              <w:pStyle w:val="1"/>
              <w:jc w:val="both"/>
            </w:pPr>
            <w:r>
              <w:rPr>
                <w:sz w:val="14"/>
              </w:rPr>
              <w:t xml:space="preserve">subparagraph,</w:t>
            </w:r>
          </w:p>
          <w:p>
            <w:pPr>
              <w:pStyle w:val="1"/>
              <w:jc w:val="both"/>
            </w:pPr>
            <w:r>
              <w:rPr>
                <w:sz w:val="14"/>
              </w:rPr>
              <w:t xml:space="preserve">introductory </w:t>
            </w:r>
          </w:p>
          <w:p>
            <w:pPr>
              <w:pStyle w:val="1"/>
              <w:jc w:val="both"/>
            </w:pPr>
            <w:r>
              <w:rPr>
                <w:sz w:val="14"/>
              </w:rPr>
              <w:t xml:space="preserve">wording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w:t>
            </w:r>
          </w:p>
          <w:p>
            <w:pPr>
              <w:pStyle w:val="1"/>
              <w:jc w:val="both"/>
            </w:pPr>
            <w:r>
              <w:rPr>
                <w:sz w:val="14"/>
              </w:rPr>
              <w:t xml:space="preserve">(1), first   </w:t>
            </w:r>
          </w:p>
          <w:p>
            <w:pPr>
              <w:pStyle w:val="1"/>
              <w:jc w:val="both"/>
            </w:pPr>
            <w:r>
              <w:rPr>
                <w:sz w:val="14"/>
              </w:rPr>
              <w:t xml:space="preserve">subparagraph,</w:t>
            </w:r>
          </w:p>
          <w:p>
            <w:pPr>
              <w:pStyle w:val="1"/>
              <w:jc w:val="both"/>
            </w:pPr>
            <w:r>
              <w:rPr>
                <w:sz w:val="14"/>
              </w:rPr>
              <w:t xml:space="preserve">first, second</w:t>
            </w:r>
          </w:p>
          <w:p>
            <w:pPr>
              <w:pStyle w:val="1"/>
              <w:jc w:val="both"/>
            </w:pPr>
            <w:r>
              <w:rPr>
                <w:sz w:val="14"/>
              </w:rPr>
              <w:t xml:space="preserve">and third    </w:t>
            </w:r>
          </w:p>
          <w:p>
            <w:pPr>
              <w:pStyle w:val="1"/>
              <w:jc w:val="both"/>
            </w:pPr>
            <w:r>
              <w:rPr>
                <w:sz w:val="14"/>
              </w:rPr>
              <w:t xml:space="preserve">indent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62,  </w:t>
            </w:r>
          </w:p>
          <w:p>
            <w:pPr>
              <w:pStyle w:val="1"/>
              <w:jc w:val="both"/>
            </w:pPr>
            <w:r>
              <w:rPr>
                <w:sz w:val="14"/>
              </w:rPr>
              <w:t xml:space="preserve">first        </w:t>
            </w:r>
          </w:p>
          <w:p>
            <w:pPr>
              <w:pStyle w:val="1"/>
              <w:jc w:val="both"/>
            </w:pPr>
            <w:r>
              <w:rPr>
                <w:sz w:val="14"/>
              </w:rPr>
              <w:t xml:space="preserve">subparagraph,</w:t>
            </w:r>
          </w:p>
          <w:p>
            <w:pPr>
              <w:pStyle w:val="1"/>
              <w:jc w:val="both"/>
            </w:pPr>
            <w:r>
              <w:rPr>
                <w:sz w:val="14"/>
              </w:rPr>
              <w:t xml:space="preserve">points (a),  </w:t>
            </w:r>
          </w:p>
          <w:p>
            <w:pPr>
              <w:pStyle w:val="1"/>
              <w:jc w:val="both"/>
            </w:pPr>
            <w:r>
              <w:rPr>
                <w:sz w:val="14"/>
              </w:rPr>
              <w:t xml:space="preserve">(b) and (c)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w:t>
            </w:r>
          </w:p>
          <w:p>
            <w:pPr>
              <w:pStyle w:val="1"/>
              <w:jc w:val="both"/>
            </w:pPr>
            <w:r>
              <w:rPr>
                <w:sz w:val="14"/>
              </w:rPr>
              <w:t xml:space="preserve">(1), second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62,  </w:t>
            </w:r>
          </w:p>
          <w:p>
            <w:pPr>
              <w:pStyle w:val="1"/>
              <w:jc w:val="both"/>
            </w:pPr>
            <w:r>
              <w:rPr>
                <w:sz w:val="14"/>
              </w:rPr>
              <w:t xml:space="preserve">second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w:t>
            </w:r>
          </w:p>
          <w:p>
            <w:pPr>
              <w:pStyle w:val="1"/>
              <w:jc w:val="both"/>
            </w:pPr>
            <w:r>
              <w:rPr>
                <w:sz w:val="14"/>
              </w:rPr>
              <w:t xml:space="preserve">(1), third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   </w:t>
            </w:r>
          </w:p>
          <w:p>
            <w:pPr>
              <w:pStyle w:val="1"/>
              <w:jc w:val="both"/>
            </w:pPr>
            <w:r>
              <w:rPr>
                <w:sz w:val="14"/>
              </w:rPr>
              <w:t xml:space="preserve">Part 8, point</w:t>
            </w:r>
          </w:p>
          <w:p>
            <w:pPr>
              <w:pStyle w:val="1"/>
              <w:jc w:val="both"/>
            </w:pPr>
            <w:r>
              <w:rPr>
                <w:sz w:val="14"/>
              </w:rPr>
              <w:t xml:space="preserve">4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(2)</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63   </w:t>
            </w:r>
          </w:p>
          <w:p>
            <w:pPr>
              <w:pStyle w:val="1"/>
              <w:jc w:val="both"/>
            </w:pPr>
            <w:r>
              <w:rPr>
                <w:sz w:val="14"/>
              </w:rPr>
              <w:t xml:space="preserve">(3)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(3)</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   </w:t>
            </w:r>
          </w:p>
          <w:p>
            <w:pPr>
              <w:pStyle w:val="1"/>
              <w:jc w:val="both"/>
            </w:pPr>
            <w:r>
              <w:rPr>
                <w:sz w:val="14"/>
              </w:rPr>
              <w:t xml:space="preserve">Part 8, point</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(4)</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   </w:t>
            </w:r>
          </w:p>
          <w:p>
            <w:pPr>
              <w:pStyle w:val="1"/>
              <w:jc w:val="both"/>
            </w:pPr>
            <w:r>
              <w:rPr>
                <w:sz w:val="14"/>
              </w:rPr>
              <w:t xml:space="preserve">Part 8, point</w:t>
            </w:r>
          </w:p>
          <w:p>
            <w:pPr>
              <w:pStyle w:val="1"/>
              <w:jc w:val="both"/>
            </w:pPr>
            <w:r>
              <w:rPr>
                <w:sz w:val="14"/>
              </w:rPr>
              <w:t xml:space="preserve">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(5)</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   </w:t>
            </w:r>
          </w:p>
          <w:p>
            <w:pPr>
              <w:pStyle w:val="1"/>
              <w:jc w:val="both"/>
            </w:pPr>
            <w:r>
              <w:rPr>
                <w:sz w:val="14"/>
              </w:rPr>
              <w:t xml:space="preserve">Part 8, point</w:t>
            </w:r>
          </w:p>
          <w:p>
            <w:pPr>
              <w:pStyle w:val="1"/>
              <w:jc w:val="both"/>
            </w:pPr>
            <w:r>
              <w:rPr>
                <w:sz w:val="14"/>
              </w:rPr>
              <w:t xml:space="preserve">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10   </w:t>
            </w:r>
          </w:p>
        </w:tc>
        <w:tc>
          <w:tcPr>
            <w:tcW w:w="1215" w:type="dxa"/>
            <w:tcBorders>
              <w:top w:val="nil"/>
            </w:tcBorders>
          </w:tcPr>
          <w:p>
            <w:pPr>
              <w:pStyle w:val="1"/>
              <w:jc w:val="both"/>
            </w:pPr>
            <w:r>
              <w:rPr>
                <w:sz w:val="14"/>
              </w:rPr>
              <w:t xml:space="preserve">Article 4 (9)</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 (2)</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(1), third to</w:t>
            </w:r>
          </w:p>
          <w:p>
            <w:pPr>
              <w:pStyle w:val="1"/>
              <w:jc w:val="both"/>
            </w:pPr>
            <w:r>
              <w:rPr>
                <w:sz w:val="14"/>
              </w:rPr>
              <w:t xml:space="preserve">sixth        </w:t>
            </w:r>
          </w:p>
          <w:p>
            <w:pPr>
              <w:pStyle w:val="1"/>
              <w:jc w:val="both"/>
            </w:pPr>
            <w:r>
              <w:rPr>
                <w:sz w:val="14"/>
              </w:rPr>
              <w:t xml:space="preserve">sentences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12   </w:t>
            </w:r>
          </w:p>
          <w:p>
            <w:pPr>
              <w:pStyle w:val="1"/>
              <w:jc w:val="both"/>
            </w:pPr>
            <w:r>
              <w:rPr>
                <w:sz w:val="14"/>
              </w:rPr>
              <w:t xml:space="preserve">(1), second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65   </w:t>
            </w:r>
          </w:p>
          <w:p>
            <w:pPr>
              <w:pStyle w:val="1"/>
              <w:jc w:val="both"/>
            </w:pPr>
            <w:r>
              <w:rPr>
                <w:sz w:val="14"/>
              </w:rPr>
              <w:t xml:space="preserve">(1), first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12   </w:t>
            </w:r>
          </w:p>
          <w:p>
            <w:pPr>
              <w:pStyle w:val="1"/>
              <w:jc w:val="both"/>
            </w:pPr>
            <w:r>
              <w:rPr>
                <w:sz w:val="14"/>
              </w:rPr>
              <w:t xml:space="preserve">(1), third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65   </w:t>
            </w:r>
          </w:p>
          <w:p>
            <w:pPr>
              <w:pStyle w:val="1"/>
              <w:jc w:val="both"/>
            </w:pPr>
            <w:r>
              <w:rPr>
                <w:sz w:val="14"/>
              </w:rPr>
              <w:t xml:space="preserve">(1), second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12   </w:t>
            </w:r>
          </w:p>
          <w:p>
            <w:pPr>
              <w:pStyle w:val="1"/>
              <w:jc w:val="both"/>
            </w:pPr>
            <w:r>
              <w:rPr>
                <w:sz w:val="14"/>
              </w:rPr>
              <w:t xml:space="preserve">(2)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65   </w:t>
            </w:r>
          </w:p>
          <w:p>
            <w:pPr>
              <w:pStyle w:val="1"/>
              <w:jc w:val="both"/>
            </w:pPr>
            <w:r>
              <w:rPr>
                <w:sz w:val="14"/>
              </w:rPr>
              <w:t xml:space="preserve">(2)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12   </w:t>
            </w:r>
          </w:p>
          <w:p>
            <w:pPr>
              <w:pStyle w:val="1"/>
              <w:jc w:val="both"/>
            </w:pPr>
            <w:r>
              <w:rPr>
                <w:sz w:val="14"/>
              </w:rPr>
              <w:t xml:space="preserve">(3)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65   </w:t>
            </w:r>
          </w:p>
          <w:p>
            <w:pPr>
              <w:pStyle w:val="1"/>
              <w:jc w:val="both"/>
            </w:pPr>
            <w:r>
              <w:rPr>
                <w:sz w:val="14"/>
              </w:rPr>
              <w:t xml:space="preserve">(3)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13   </w:t>
            </w:r>
          </w:p>
          <w:p>
            <w:pPr>
              <w:pStyle w:val="1"/>
              <w:jc w:val="both"/>
            </w:pPr>
            <w:r>
              <w:rPr>
                <w:sz w:val="14"/>
              </w:rPr>
              <w:t xml:space="preserve">(2) and (3)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14   </w:t>
            </w:r>
          </w:p>
        </w:tc>
        <w:tc>
          <w:tcPr>
            <w:tcW w:w="1215" w:type="dxa"/>
            <w:tcBorders>
              <w:top w:val="nil"/>
            </w:tcBorders>
          </w:tcPr>
          <w:p>
            <w:pPr>
              <w:pStyle w:val="1"/>
              <w:jc w:val="both"/>
            </w:pPr>
            <w:r>
              <w:rPr>
                <w:sz w:val="14"/>
              </w:rPr>
              <w:t xml:space="preserve">Article 19   </w:t>
            </w:r>
          </w:p>
        </w:tc>
        <w:tc>
          <w:tcPr>
            <w:tcW w:w="1215" w:type="dxa"/>
            <w:tcBorders>
              <w:top w:val="nil"/>
            </w:tcBorders>
          </w:tcPr>
          <w:p>
            <w:pPr>
              <w:pStyle w:val="1"/>
              <w:jc w:val="both"/>
            </w:pPr>
            <w:r>
              <w:rPr>
                <w:sz w:val="14"/>
              </w:rPr>
              <w:t xml:space="preserve">Article 16   </w:t>
            </w:r>
          </w:p>
        </w:tc>
        <w:tc>
          <w:tcPr>
            <w:tcW w:w="1215" w:type="dxa"/>
            <w:tcBorders>
              <w:top w:val="nil"/>
            </w:tcBorders>
          </w:tcPr>
          <w:p>
            <w:pPr>
              <w:pStyle w:val="1"/>
              <w:jc w:val="both"/>
            </w:pPr>
            <w:r>
              <w:rPr>
                <w:sz w:val="14"/>
              </w:rPr>
              <w:t xml:space="preserve">Article 79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first and    </w:t>
            </w:r>
          </w:p>
          <w:p>
            <w:pPr>
              <w:pStyle w:val="1"/>
              <w:jc w:val="both"/>
            </w:pPr>
            <w:r>
              <w:rPr>
                <w:sz w:val="14"/>
              </w:rPr>
              <w:t xml:space="preserve">second       </w:t>
            </w:r>
          </w:p>
          <w:p>
            <w:pPr>
              <w:pStyle w:val="1"/>
              <w:jc w:val="both"/>
            </w:pPr>
            <w:r>
              <w:rPr>
                <w:sz w:val="14"/>
              </w:rPr>
              <w:t xml:space="preserve">sentence of  </w:t>
            </w:r>
          </w:p>
          <w:p>
            <w:pPr>
              <w:pStyle w:val="1"/>
              <w:jc w:val="both"/>
            </w:pPr>
            <w:r>
              <w:rPr>
                <w:sz w:val="14"/>
              </w:rPr>
              <w:t xml:space="preserve">introductory </w:t>
            </w:r>
          </w:p>
          <w:p>
            <w:pPr>
              <w:pStyle w:val="1"/>
              <w:jc w:val="both"/>
            </w:pPr>
            <w:r>
              <w:rPr>
                <w:sz w:val="14"/>
              </w:rPr>
              <w:t xml:space="preserve">wording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56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p>
            <w:pPr>
              <w:pStyle w:val="1"/>
              <w:jc w:val="both"/>
            </w:pPr>
            <w:r>
              <w:rPr>
                <w:sz w:val="14"/>
              </w:rPr>
              <w:t xml:space="preserve">third        </w:t>
            </w:r>
          </w:p>
          <w:p>
            <w:pPr>
              <w:pStyle w:val="1"/>
              <w:jc w:val="both"/>
            </w:pPr>
            <w:r>
              <w:rPr>
                <w:sz w:val="14"/>
              </w:rPr>
              <w:t xml:space="preserve">sentence of  </w:t>
            </w:r>
          </w:p>
          <w:p>
            <w:pPr>
              <w:pStyle w:val="1"/>
              <w:jc w:val="both"/>
            </w:pPr>
            <w:r>
              <w:rPr>
                <w:sz w:val="14"/>
              </w:rPr>
              <w:t xml:space="preserve">introductory </w:t>
            </w:r>
          </w:p>
          <w:p>
            <w:pPr>
              <w:pStyle w:val="1"/>
              <w:jc w:val="both"/>
            </w:pPr>
            <w:r>
              <w:rPr>
                <w:sz w:val="14"/>
              </w:rPr>
              <w:t xml:space="preserve">wording and  </w:t>
            </w:r>
          </w:p>
          <w:p>
            <w:pPr>
              <w:pStyle w:val="1"/>
              <w:jc w:val="both"/>
            </w:pPr>
            <w:r>
              <w:rPr>
                <w:sz w:val="14"/>
              </w:rPr>
              <w:t xml:space="preserve">list of      </w:t>
            </w:r>
          </w:p>
          <w:p>
            <w:pPr>
              <w:pStyle w:val="1"/>
              <w:jc w:val="both"/>
            </w:pPr>
            <w:r>
              <w:rPr>
                <w:sz w:val="14"/>
              </w:rPr>
              <w:t xml:space="preserve">activities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   </w:t>
            </w:r>
          </w:p>
          <w:p>
            <w:pPr>
              <w:pStyle w:val="1"/>
              <w:jc w:val="both"/>
            </w:pPr>
            <w:r>
              <w:rPr>
                <w:sz w:val="14"/>
              </w:rPr>
              <w:t xml:space="preserve">Part 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II A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   </w:t>
            </w:r>
          </w:p>
          <w:p>
            <w:pPr>
              <w:pStyle w:val="1"/>
              <w:jc w:val="both"/>
            </w:pPr>
            <w:r>
              <w:rPr>
                <w:sz w:val="14"/>
              </w:rPr>
              <w:t xml:space="preserve">Parts 2 and 3</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II A,  </w:t>
            </w:r>
          </w:p>
          <w:p>
            <w:pPr>
              <w:pStyle w:val="1"/>
              <w:jc w:val="both"/>
            </w:pPr>
            <w:r>
              <w:rPr>
                <w:sz w:val="14"/>
              </w:rPr>
              <w:t xml:space="preserve">Part II,     </w:t>
            </w:r>
          </w:p>
          <w:p>
            <w:pPr>
              <w:pStyle w:val="1"/>
              <w:jc w:val="both"/>
            </w:pPr>
            <w:r>
              <w:rPr>
                <w:sz w:val="14"/>
              </w:rPr>
              <w:t xml:space="preserve">last sentence</w:t>
            </w:r>
          </w:p>
          <w:p>
            <w:pPr>
              <w:pStyle w:val="1"/>
              <w:jc w:val="both"/>
            </w:pPr>
            <w:r>
              <w:rPr>
                <w:sz w:val="14"/>
              </w:rPr>
              <w:t xml:space="preserve">of paragraph </w:t>
            </w:r>
          </w:p>
          <w:p>
            <w:pPr>
              <w:pStyle w:val="1"/>
              <w:jc w:val="both"/>
            </w:pPr>
            <w:r>
              <w:rPr>
                <w:sz w:val="14"/>
              </w:rPr>
              <w:t xml:space="preserve">6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II B,  </w:t>
            </w:r>
          </w:p>
          <w:p>
            <w:pPr>
              <w:pStyle w:val="1"/>
              <w:jc w:val="both"/>
            </w:pPr>
            <w:r>
              <w:rPr>
                <w:sz w:val="14"/>
              </w:rPr>
              <w:t xml:space="preserve">point 1,     </w:t>
            </w:r>
          </w:p>
          <w:p>
            <w:pPr>
              <w:pStyle w:val="1"/>
              <w:jc w:val="both"/>
            </w:pPr>
            <w:r>
              <w:rPr>
                <w:sz w:val="14"/>
              </w:rPr>
              <w:t xml:space="preserve">first and    </w:t>
            </w:r>
          </w:p>
          <w:p>
            <w:pPr>
              <w:pStyle w:val="1"/>
              <w:jc w:val="both"/>
            </w:pPr>
            <w:r>
              <w:rPr>
                <w:sz w:val="14"/>
              </w:rPr>
              <w:t xml:space="preserve">second       </w:t>
            </w:r>
          </w:p>
          <w:p>
            <w:pPr>
              <w:pStyle w:val="1"/>
              <w:jc w:val="both"/>
            </w:pPr>
            <w:r>
              <w:rPr>
                <w:sz w:val="14"/>
              </w:rPr>
              <w:t xml:space="preserve">sentences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59   </w:t>
            </w:r>
          </w:p>
          <w:p>
            <w:pPr>
              <w:pStyle w:val="1"/>
              <w:jc w:val="both"/>
            </w:pPr>
            <w:r>
              <w:rPr>
                <w:sz w:val="14"/>
              </w:rPr>
              <w:t xml:space="preserve">(1), first   </w:t>
            </w:r>
          </w:p>
          <w:p>
            <w:pPr>
              <w:pStyle w:val="1"/>
              <w:jc w:val="both"/>
            </w:pPr>
            <w:r>
              <w:rPr>
                <w:sz w:val="14"/>
              </w:rPr>
              <w:t xml:space="preserve">subparagraph,</w:t>
            </w:r>
          </w:p>
          <w:p>
            <w:pPr>
              <w:pStyle w:val="1"/>
              <w:jc w:val="both"/>
            </w:pPr>
            <w:r>
              <w:rPr>
                <w:sz w:val="14"/>
              </w:rPr>
              <w:t xml:space="preserve">point (b)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II B,  </w:t>
            </w:r>
          </w:p>
          <w:p>
            <w:pPr>
              <w:pStyle w:val="1"/>
              <w:jc w:val="both"/>
            </w:pPr>
            <w:r>
              <w:rPr>
                <w:sz w:val="14"/>
              </w:rPr>
              <w:t xml:space="preserve">point 1,     </w:t>
            </w:r>
          </w:p>
          <w:p>
            <w:pPr>
              <w:pStyle w:val="1"/>
              <w:jc w:val="both"/>
            </w:pPr>
            <w:r>
              <w:rPr>
                <w:sz w:val="14"/>
              </w:rPr>
              <w:t xml:space="preserve">third        </w:t>
            </w:r>
          </w:p>
          <w:p>
            <w:pPr>
              <w:pStyle w:val="1"/>
              <w:jc w:val="both"/>
            </w:pPr>
            <w:r>
              <w:rPr>
                <w:sz w:val="14"/>
              </w:rPr>
              <w:t xml:space="preserve">sentence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59   </w:t>
            </w:r>
          </w:p>
          <w:p>
            <w:pPr>
              <w:pStyle w:val="1"/>
              <w:jc w:val="both"/>
            </w:pPr>
            <w:r>
              <w:rPr>
                <w:sz w:val="14"/>
              </w:rPr>
              <w:t xml:space="preserve">(1), second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II B,  </w:t>
            </w:r>
          </w:p>
          <w:p>
            <w:pPr>
              <w:pStyle w:val="1"/>
              <w:jc w:val="both"/>
            </w:pPr>
            <w:r>
              <w:rPr>
                <w:sz w:val="14"/>
              </w:rPr>
              <w:t xml:space="preserve">point 2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   </w:t>
            </w:r>
          </w:p>
          <w:p>
            <w:pPr>
              <w:pStyle w:val="1"/>
              <w:jc w:val="both"/>
            </w:pPr>
            <w:r>
              <w:rPr>
                <w:sz w:val="14"/>
              </w:rPr>
              <w:t xml:space="preserve">Part 5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II B,  </w:t>
            </w:r>
          </w:p>
          <w:p>
            <w:pPr>
              <w:pStyle w:val="1"/>
              <w:jc w:val="both"/>
            </w:pPr>
            <w:r>
              <w:rPr>
                <w:sz w:val="14"/>
              </w:rPr>
              <w:t xml:space="preserve">point 2,     </w:t>
            </w:r>
          </w:p>
          <w:p>
            <w:pPr>
              <w:pStyle w:val="1"/>
              <w:jc w:val="both"/>
            </w:pPr>
            <w:r>
              <w:rPr>
                <w:sz w:val="14"/>
              </w:rPr>
              <w:t xml:space="preserve">second       </w:t>
            </w:r>
          </w:p>
          <w:p>
            <w:pPr>
              <w:pStyle w:val="1"/>
              <w:jc w:val="both"/>
            </w:pPr>
            <w:r>
              <w:rPr>
                <w:sz w:val="14"/>
              </w:rPr>
              <w:t xml:space="preserve">subparagraph </w:t>
            </w:r>
          </w:p>
          <w:p>
            <w:pPr>
              <w:pStyle w:val="1"/>
              <w:jc w:val="both"/>
            </w:pPr>
            <w:r>
              <w:rPr>
                <w:sz w:val="14"/>
              </w:rPr>
              <w:t xml:space="preserve">(i) and table</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III,   </w:t>
            </w:r>
          </w:p>
          <w:p>
            <w:pPr>
              <w:pStyle w:val="1"/>
              <w:jc w:val="both"/>
            </w:pPr>
            <w:r>
              <w:rPr>
                <w:sz w:val="14"/>
              </w:rPr>
              <w:t xml:space="preserve">point 1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III,   </w:t>
            </w:r>
          </w:p>
          <w:p>
            <w:pPr>
              <w:pStyle w:val="1"/>
              <w:jc w:val="both"/>
            </w:pPr>
            <w:r>
              <w:rPr>
                <w:sz w:val="14"/>
              </w:rPr>
              <w:t xml:space="preserve">point 2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   </w:t>
            </w:r>
          </w:p>
          <w:p>
            <w:pPr>
              <w:pStyle w:val="1"/>
              <w:jc w:val="both"/>
            </w:pPr>
            <w:r>
              <w:rPr>
                <w:sz w:val="14"/>
              </w:rPr>
              <w:t xml:space="preserve">Part 7, point</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III,   </w:t>
            </w:r>
          </w:p>
          <w:p>
            <w:pPr>
              <w:pStyle w:val="1"/>
              <w:jc w:val="both"/>
            </w:pPr>
            <w:r>
              <w:rPr>
                <w:sz w:val="14"/>
              </w:rPr>
              <w:t xml:space="preserve">point 3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   </w:t>
            </w:r>
          </w:p>
          <w:p>
            <w:pPr>
              <w:pStyle w:val="1"/>
              <w:jc w:val="both"/>
            </w:pPr>
            <w:r>
              <w:rPr>
                <w:sz w:val="14"/>
              </w:rPr>
              <w:t xml:space="preserve">Part 7, point</w:t>
            </w:r>
          </w:p>
          <w:p>
            <w:pPr>
              <w:pStyle w:val="1"/>
              <w:jc w:val="both"/>
            </w:pPr>
            <w:r>
              <w:rPr>
                <w:sz w:val="14"/>
              </w:rPr>
              <w:t xml:space="preserve">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III,   </w:t>
            </w:r>
          </w:p>
          <w:p>
            <w:pPr>
              <w:pStyle w:val="1"/>
              <w:jc w:val="both"/>
            </w:pPr>
            <w:r>
              <w:rPr>
                <w:sz w:val="14"/>
              </w:rPr>
              <w:t xml:space="preserve">point 4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   </w:t>
            </w:r>
          </w:p>
          <w:p>
            <w:pPr>
              <w:pStyle w:val="1"/>
              <w:jc w:val="both"/>
            </w:pPr>
            <w:r>
              <w:rPr>
                <w:sz w:val="14"/>
              </w:rPr>
              <w:t xml:space="preserve">Part 7, point</w:t>
            </w:r>
          </w:p>
          <w:p>
            <w:pPr>
              <w:pStyle w:val="1"/>
              <w:jc w:val="both"/>
            </w:pPr>
            <w:r>
              <w:rPr>
                <w:sz w:val="14"/>
              </w:rPr>
              <w:t xml:space="preserve">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   </w:t>
            </w:r>
          </w:p>
          <w:p>
            <w:pPr>
              <w:pStyle w:val="1"/>
              <w:jc w:val="both"/>
            </w:pPr>
            <w:r>
              <w:rPr>
                <w:sz w:val="14"/>
              </w:rPr>
              <w:t xml:space="preserve">first        </w:t>
            </w:r>
          </w:p>
          <w:p>
            <w:pPr>
              <w:pStyle w:val="1"/>
              <w:jc w:val="both"/>
            </w:pPr>
            <w:r>
              <w:rPr>
                <w:sz w:val="14"/>
              </w:rPr>
              <w:t xml:space="preserve">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   </w:t>
            </w:r>
          </w:p>
          <w:p>
            <w:pPr>
              <w:pStyle w:val="1"/>
              <w:jc w:val="both"/>
            </w:pPr>
            <w:r>
              <w:rPr>
                <w:sz w:val="14"/>
              </w:rPr>
              <w:t xml:space="preserve">second       </w:t>
            </w:r>
          </w:p>
          <w:p>
            <w:pPr>
              <w:pStyle w:val="1"/>
              <w:jc w:val="both"/>
            </w:pPr>
            <w:r>
              <w:rPr>
                <w:sz w:val="14"/>
              </w:rPr>
              <w:t xml:space="preserve">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(1)</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42   </w:t>
            </w:r>
          </w:p>
          <w:p>
            <w:pPr>
              <w:pStyle w:val="1"/>
              <w:jc w:val="both"/>
            </w:pPr>
            <w:r>
              <w:rPr>
                <w:sz w:val="14"/>
              </w:rPr>
              <w:t xml:space="preserve">(1), first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42   </w:t>
            </w:r>
          </w:p>
          <w:p>
            <w:pPr>
              <w:pStyle w:val="1"/>
              <w:jc w:val="both"/>
            </w:pPr>
            <w:r>
              <w:rPr>
                <w:sz w:val="14"/>
              </w:rPr>
              <w:t xml:space="preserve">(1), second  </w:t>
            </w:r>
          </w:p>
          <w:p>
            <w:pPr>
              <w:pStyle w:val="1"/>
              <w:jc w:val="both"/>
            </w:pPr>
            <w:r>
              <w:rPr>
                <w:sz w:val="14"/>
              </w:rPr>
              <w:t xml:space="preserve">to fifth     </w:t>
            </w:r>
          </w:p>
          <w:p>
            <w:pPr>
              <w:pStyle w:val="1"/>
              <w:jc w:val="both"/>
            </w:pPr>
            <w:r>
              <w:rPr>
                <w:sz w:val="14"/>
              </w:rPr>
              <w:t xml:space="preserve">subparagraphs</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(2),         </w:t>
            </w:r>
          </w:p>
          <w:p>
            <w:pPr>
              <w:pStyle w:val="1"/>
              <w:jc w:val="both"/>
            </w:pPr>
            <w:r>
              <w:rPr>
                <w:sz w:val="14"/>
              </w:rPr>
              <w:t xml:space="preserve">introductory </w:t>
            </w:r>
          </w:p>
          <w:p>
            <w:pPr>
              <w:pStyle w:val="1"/>
              <w:jc w:val="both"/>
            </w:pPr>
            <w:r>
              <w:rPr>
                <w:sz w:val="14"/>
              </w:rPr>
              <w:t xml:space="preserve">wording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42   </w:t>
            </w:r>
          </w:p>
          <w:p>
            <w:pPr>
              <w:pStyle w:val="1"/>
              <w:jc w:val="both"/>
            </w:pPr>
            <w:r>
              <w:rPr>
                <w:sz w:val="14"/>
              </w:rPr>
              <w:t xml:space="preserve">(2),         </w:t>
            </w:r>
          </w:p>
          <w:p>
            <w:pPr>
              <w:pStyle w:val="1"/>
              <w:jc w:val="both"/>
            </w:pPr>
            <w:r>
              <w:rPr>
                <w:sz w:val="14"/>
              </w:rPr>
              <w:t xml:space="preserve">introductory </w:t>
            </w:r>
          </w:p>
          <w:p>
            <w:pPr>
              <w:pStyle w:val="1"/>
              <w:jc w:val="both"/>
            </w:pPr>
            <w:r>
              <w:rPr>
                <w:sz w:val="14"/>
              </w:rPr>
              <w:t xml:space="preserve">wording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(2) (a),     </w:t>
            </w:r>
          </w:p>
          <w:p>
            <w:pPr>
              <w:pStyle w:val="1"/>
              <w:jc w:val="both"/>
            </w:pPr>
            <w:r>
              <w:rPr>
                <w:sz w:val="14"/>
              </w:rPr>
              <w:t xml:space="preserve">introductory </w:t>
            </w:r>
          </w:p>
          <w:p>
            <w:pPr>
              <w:pStyle w:val="1"/>
              <w:jc w:val="both"/>
            </w:pPr>
            <w:r>
              <w:rPr>
                <w:sz w:val="14"/>
              </w:rPr>
              <w:t xml:space="preserve">wording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42   </w:t>
            </w:r>
          </w:p>
          <w:p>
            <w:pPr>
              <w:pStyle w:val="1"/>
              <w:jc w:val="both"/>
            </w:pPr>
            <w:r>
              <w:rPr>
                <w:sz w:val="14"/>
              </w:rPr>
              <w:t xml:space="preserve">(2) (a),     </w:t>
            </w:r>
          </w:p>
          <w:p>
            <w:pPr>
              <w:pStyle w:val="1"/>
              <w:jc w:val="both"/>
            </w:pPr>
            <w:r>
              <w:rPr>
                <w:sz w:val="14"/>
              </w:rPr>
              <w:t xml:space="preserve">introductory </w:t>
            </w:r>
          </w:p>
          <w:p>
            <w:pPr>
              <w:pStyle w:val="1"/>
              <w:jc w:val="both"/>
            </w:pPr>
            <w:r>
              <w:rPr>
                <w:sz w:val="14"/>
              </w:rPr>
              <w:t xml:space="preserve">wording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(2)</w:t>
            </w:r>
          </w:p>
          <w:p>
            <w:pPr>
              <w:pStyle w:val="1"/>
              <w:jc w:val="both"/>
            </w:pPr>
            <w:r>
              <w:rPr>
                <w:sz w:val="14"/>
              </w:rPr>
              <w:t xml:space="preserve">(a), points  </w:t>
            </w:r>
          </w:p>
          <w:p>
            <w:pPr>
              <w:pStyle w:val="1"/>
              <w:jc w:val="both"/>
            </w:pPr>
            <w:r>
              <w:rPr>
                <w:sz w:val="14"/>
              </w:rPr>
              <w:t xml:space="preserve">(i) to (v)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42   </w:t>
            </w:r>
          </w:p>
          <w:p>
            <w:pPr>
              <w:pStyle w:val="1"/>
              <w:jc w:val="both"/>
            </w:pPr>
            <w:r>
              <w:rPr>
                <w:sz w:val="14"/>
              </w:rPr>
              <w:t xml:space="preserve">(2) (a),     </w:t>
            </w:r>
          </w:p>
          <w:p>
            <w:pPr>
              <w:pStyle w:val="1"/>
              <w:jc w:val="both"/>
            </w:pPr>
            <w:r>
              <w:rPr>
                <w:sz w:val="14"/>
              </w:rPr>
              <w:t xml:space="preserve">point (i)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(2)</w:t>
            </w:r>
          </w:p>
          <w:p>
            <w:pPr>
              <w:pStyle w:val="1"/>
              <w:jc w:val="both"/>
            </w:pPr>
            <w:r>
              <w:rPr>
                <w:sz w:val="14"/>
              </w:rPr>
              <w:t xml:space="preserve">(a), point   </w:t>
            </w:r>
          </w:p>
          <w:p>
            <w:pPr>
              <w:pStyle w:val="1"/>
              <w:jc w:val="both"/>
            </w:pPr>
            <w:r>
              <w:rPr>
                <w:sz w:val="14"/>
              </w:rPr>
              <w:t xml:space="preserve">(vi)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42   </w:t>
            </w:r>
          </w:p>
          <w:p>
            <w:pPr>
              <w:pStyle w:val="1"/>
              <w:jc w:val="both"/>
            </w:pPr>
            <w:r>
              <w:rPr>
                <w:sz w:val="14"/>
              </w:rPr>
              <w:t xml:space="preserve">(2) (a),     </w:t>
            </w:r>
          </w:p>
          <w:p>
            <w:pPr>
              <w:pStyle w:val="1"/>
              <w:jc w:val="both"/>
            </w:pPr>
            <w:r>
              <w:rPr>
                <w:sz w:val="14"/>
              </w:rPr>
              <w:t xml:space="preserve">point (ii)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(2)</w:t>
            </w:r>
          </w:p>
          <w:p>
            <w:pPr>
              <w:pStyle w:val="1"/>
              <w:jc w:val="both"/>
            </w:pPr>
            <w:r>
              <w:rPr>
                <w:sz w:val="14"/>
              </w:rPr>
              <w:t xml:space="preserve">(a), point   </w:t>
            </w:r>
          </w:p>
          <w:p>
            <w:pPr>
              <w:pStyle w:val="1"/>
              <w:jc w:val="both"/>
            </w:pPr>
            <w:r>
              <w:rPr>
                <w:sz w:val="14"/>
              </w:rPr>
              <w:t xml:space="preserve">(vii)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42   </w:t>
            </w:r>
          </w:p>
          <w:p>
            <w:pPr>
              <w:pStyle w:val="1"/>
              <w:jc w:val="both"/>
            </w:pPr>
            <w:r>
              <w:rPr>
                <w:sz w:val="14"/>
              </w:rPr>
              <w:t xml:space="preserve">(2) (a),     </w:t>
            </w:r>
          </w:p>
          <w:p>
            <w:pPr>
              <w:pStyle w:val="1"/>
              <w:jc w:val="both"/>
            </w:pPr>
            <w:r>
              <w:rPr>
                <w:sz w:val="14"/>
              </w:rPr>
              <w:t xml:space="preserve">point (iii)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(2)</w:t>
            </w:r>
          </w:p>
          <w:p>
            <w:pPr>
              <w:pStyle w:val="1"/>
              <w:jc w:val="both"/>
            </w:pPr>
            <w:r>
              <w:rPr>
                <w:sz w:val="14"/>
              </w:rPr>
              <w:t xml:space="preserve">(a), point   </w:t>
            </w:r>
          </w:p>
          <w:p>
            <w:pPr>
              <w:pStyle w:val="1"/>
              <w:jc w:val="both"/>
            </w:pPr>
            <w:r>
              <w:rPr>
                <w:sz w:val="14"/>
              </w:rPr>
              <w:t xml:space="preserve">(viii)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42   </w:t>
            </w:r>
          </w:p>
          <w:p>
            <w:pPr>
              <w:pStyle w:val="1"/>
              <w:jc w:val="both"/>
            </w:pPr>
            <w:r>
              <w:rPr>
                <w:sz w:val="14"/>
              </w:rPr>
              <w:t xml:space="preserve">(2) (a),     </w:t>
            </w:r>
          </w:p>
          <w:p>
            <w:pPr>
              <w:pStyle w:val="1"/>
              <w:jc w:val="both"/>
            </w:pPr>
            <w:r>
              <w:rPr>
                <w:sz w:val="14"/>
              </w:rPr>
              <w:t xml:space="preserve">point (iv)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(2)</w:t>
            </w:r>
          </w:p>
          <w:p>
            <w:pPr>
              <w:pStyle w:val="1"/>
              <w:jc w:val="both"/>
            </w:pPr>
            <w:r>
              <w:rPr>
                <w:sz w:val="14"/>
              </w:rPr>
              <w:t xml:space="preserve">(b)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42   </w:t>
            </w:r>
          </w:p>
          <w:p>
            <w:pPr>
              <w:pStyle w:val="1"/>
              <w:jc w:val="both"/>
            </w:pPr>
            <w:r>
              <w:rPr>
                <w:sz w:val="14"/>
              </w:rPr>
              <w:t xml:space="preserve">(2) (b)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(2), first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(38)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(2), second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(3)</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(39)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(4), first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(40)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(4), second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42   </w:t>
            </w:r>
          </w:p>
          <w:p>
            <w:pPr>
              <w:pStyle w:val="1"/>
              <w:jc w:val="both"/>
            </w:pPr>
            <w:r>
              <w:rPr>
                <w:sz w:val="14"/>
              </w:rPr>
              <w:t xml:space="preserve">(1), third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42   </w:t>
            </w:r>
          </w:p>
          <w:p>
            <w:pPr>
              <w:pStyle w:val="1"/>
              <w:jc w:val="both"/>
            </w:pPr>
            <w:r>
              <w:rPr>
                <w:sz w:val="14"/>
              </w:rPr>
              <w:t xml:space="preserve">(1), fourth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(5), first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(41)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(5), second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42   </w:t>
            </w:r>
          </w:p>
          <w:p>
            <w:pPr>
              <w:pStyle w:val="1"/>
              <w:jc w:val="both"/>
            </w:pPr>
            <w:r>
              <w:rPr>
                <w:sz w:val="14"/>
              </w:rPr>
              <w:t xml:space="preserve">(1), fifth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(5), third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42   </w:t>
            </w:r>
          </w:p>
          <w:p>
            <w:pPr>
              <w:pStyle w:val="1"/>
              <w:jc w:val="both"/>
            </w:pPr>
            <w:r>
              <w:rPr>
                <w:sz w:val="14"/>
              </w:rPr>
              <w:t xml:space="preserve">(1), third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(6)</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1, point</w:t>
            </w:r>
          </w:p>
          <w:p>
            <w:pPr>
              <w:pStyle w:val="1"/>
              <w:jc w:val="both"/>
            </w:pPr>
            <w:r>
              <w:rPr>
                <w:sz w:val="14"/>
              </w:rPr>
              <w:t xml:space="preserve">(a)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(7)</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(42)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Annex VI,    </w:t>
            </w:r>
          </w:p>
          <w:p>
            <w:pPr>
              <w:pStyle w:val="1"/>
              <w:jc w:val="both"/>
            </w:pPr>
            <w:r>
              <w:rPr>
                <w:sz w:val="14"/>
              </w:rPr>
              <w:t xml:space="preserve">Part 1, point</w:t>
            </w:r>
          </w:p>
          <w:p>
            <w:pPr>
              <w:pStyle w:val="1"/>
              <w:jc w:val="both"/>
            </w:pPr>
            <w:r>
              <w:rPr>
                <w:sz w:val="14"/>
              </w:rPr>
              <w:t xml:space="preserve">(b)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(10)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(43)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p>
            <w:pPr>
              <w:pStyle w:val="1"/>
              <w:jc w:val="both"/>
            </w:pPr>
            <w:r>
              <w:rPr>
                <w:sz w:val="14"/>
              </w:rPr>
              <w:t xml:space="preserve">(13)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 (2)</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44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    </w:t>
            </w:r>
          </w:p>
          <w:p>
            <w:pPr>
              <w:pStyle w:val="1"/>
              <w:jc w:val="both"/>
            </w:pPr>
            <w:r>
              <w:rPr>
                <w:sz w:val="14"/>
              </w:rPr>
              <w:t xml:space="preserve">(4),         </w:t>
            </w:r>
          </w:p>
          <w:p>
            <w:pPr>
              <w:pStyle w:val="1"/>
              <w:jc w:val="both"/>
            </w:pPr>
            <w:r>
              <w:rPr>
                <w:sz w:val="14"/>
              </w:rPr>
              <w:t xml:space="preserve">introductory </w:t>
            </w:r>
          </w:p>
          <w:p>
            <w:pPr>
              <w:pStyle w:val="1"/>
              <w:jc w:val="both"/>
            </w:pPr>
            <w:r>
              <w:rPr>
                <w:sz w:val="14"/>
              </w:rPr>
              <w:t xml:space="preserve">wording and  </w:t>
            </w:r>
          </w:p>
          <w:p>
            <w:pPr>
              <w:pStyle w:val="1"/>
              <w:jc w:val="both"/>
            </w:pPr>
            <w:r>
              <w:rPr>
                <w:sz w:val="14"/>
              </w:rPr>
              <w:t xml:space="preserve">points (a)   </w:t>
            </w:r>
          </w:p>
          <w:p>
            <w:pPr>
              <w:pStyle w:val="1"/>
              <w:jc w:val="both"/>
            </w:pPr>
            <w:r>
              <w:rPr>
                <w:sz w:val="14"/>
              </w:rPr>
              <w:t xml:space="preserve">and (b)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45   </w:t>
            </w:r>
          </w:p>
          <w:p>
            <w:pPr>
              <w:pStyle w:val="1"/>
              <w:jc w:val="both"/>
            </w:pPr>
            <w:r>
              <w:rPr>
                <w:sz w:val="14"/>
              </w:rPr>
              <w:t xml:space="preserve">(1),         </w:t>
            </w:r>
          </w:p>
          <w:p>
            <w:pPr>
              <w:pStyle w:val="1"/>
              <w:jc w:val="both"/>
            </w:pPr>
            <w:r>
              <w:rPr>
                <w:sz w:val="14"/>
              </w:rPr>
              <w:t xml:space="preserve">introductory </w:t>
            </w:r>
          </w:p>
          <w:p>
            <w:pPr>
              <w:pStyle w:val="1"/>
              <w:jc w:val="both"/>
            </w:pPr>
            <w:r>
              <w:rPr>
                <w:sz w:val="14"/>
              </w:rPr>
              <w:t xml:space="preserve">wording and  </w:t>
            </w:r>
          </w:p>
          <w:p>
            <w:pPr>
              <w:pStyle w:val="1"/>
              <w:jc w:val="both"/>
            </w:pPr>
            <w:r>
              <w:rPr>
                <w:sz w:val="14"/>
              </w:rPr>
              <w:t xml:space="preserve">points (a)   </w:t>
            </w:r>
          </w:p>
          <w:p>
            <w:pPr>
              <w:pStyle w:val="1"/>
              <w:jc w:val="both"/>
            </w:pPr>
            <w:r>
              <w:rPr>
                <w:sz w:val="14"/>
              </w:rPr>
              <w:t xml:space="preserve">and (b)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    </w:t>
            </w:r>
          </w:p>
          <w:p>
            <w:pPr>
              <w:pStyle w:val="1"/>
              <w:jc w:val="both"/>
            </w:pPr>
            <w:r>
              <w:rPr>
                <w:sz w:val="14"/>
              </w:rPr>
              <w:t xml:space="preserve">(4), point   </w:t>
            </w:r>
          </w:p>
          <w:p>
            <w:pPr>
              <w:pStyle w:val="1"/>
              <w:jc w:val="both"/>
            </w:pPr>
            <w:r>
              <w:rPr>
                <w:sz w:val="14"/>
              </w:rPr>
              <w:t xml:space="preserve">(c)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45   </w:t>
            </w:r>
          </w:p>
          <w:p>
            <w:pPr>
              <w:pStyle w:val="1"/>
              <w:jc w:val="both"/>
            </w:pPr>
            <w:r>
              <w:rPr>
                <w:sz w:val="14"/>
              </w:rPr>
              <w:t xml:space="preserve">(1), point   </w:t>
            </w:r>
          </w:p>
          <w:p>
            <w:pPr>
              <w:pStyle w:val="1"/>
              <w:jc w:val="both"/>
            </w:pPr>
            <w:r>
              <w:rPr>
                <w:sz w:val="14"/>
              </w:rPr>
              <w:t xml:space="preserve">(e)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 (5)</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45   </w:t>
            </w:r>
          </w:p>
          <w:p>
            <w:pPr>
              <w:pStyle w:val="1"/>
              <w:jc w:val="both"/>
            </w:pPr>
            <w:r>
              <w:rPr>
                <w:sz w:val="14"/>
              </w:rPr>
              <w:t xml:space="preserve">(2)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 (6)</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45   </w:t>
            </w:r>
          </w:p>
          <w:p>
            <w:pPr>
              <w:pStyle w:val="1"/>
              <w:jc w:val="both"/>
            </w:pPr>
            <w:r>
              <w:rPr>
                <w:sz w:val="14"/>
              </w:rPr>
              <w:t xml:space="preserve">(3)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 (7)</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45   </w:t>
            </w:r>
          </w:p>
          <w:p>
            <w:pPr>
              <w:pStyle w:val="1"/>
              <w:jc w:val="both"/>
            </w:pPr>
            <w:r>
              <w:rPr>
                <w:sz w:val="14"/>
              </w:rPr>
              <w:t xml:space="preserve">(4)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 (8)</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54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w:t>
            </w:r>
          </w:p>
          <w:p>
            <w:pPr>
              <w:pStyle w:val="1"/>
              <w:jc w:val="both"/>
            </w:pPr>
            <w:r>
              <w:rPr>
                <w:sz w:val="14"/>
              </w:rPr>
              <w:t xml:space="preserve">(1), first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50   </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w:t>
            </w:r>
          </w:p>
          <w:p>
            <w:pPr>
              <w:pStyle w:val="1"/>
              <w:jc w:val="both"/>
            </w:pPr>
            <w:r>
              <w:rPr>
                <w:sz w:val="14"/>
              </w:rPr>
              <w:t xml:space="preserve">(1), second  </w:t>
            </w:r>
          </w:p>
          <w:p>
            <w:pPr>
              <w:pStyle w:val="1"/>
              <w:jc w:val="both"/>
            </w:pPr>
            <w:r>
              <w:rPr>
                <w:sz w:val="14"/>
              </w:rPr>
              <w:t xml:space="preserve">subparagraph </w:t>
            </w:r>
          </w:p>
          <w:p>
            <w:pPr>
              <w:pStyle w:val="1"/>
              <w:jc w:val="both"/>
            </w:pPr>
            <w:r>
              <w:rPr>
                <w:sz w:val="14"/>
              </w:rPr>
              <w:t xml:space="preserve">and 6 (2)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50   </w:t>
            </w:r>
          </w:p>
          <w:p>
            <w:pPr>
              <w:pStyle w:val="1"/>
              <w:jc w:val="both"/>
            </w:pPr>
            <w:r>
              <w:rPr>
                <w:sz w:val="14"/>
              </w:rPr>
              <w:t xml:space="preserve">(2)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w:t>
            </w:r>
          </w:p>
          <w:p>
            <w:pPr>
              <w:pStyle w:val="1"/>
              <w:jc w:val="both"/>
            </w:pPr>
            <w:r>
              <w:rPr>
                <w:sz w:val="14"/>
              </w:rPr>
              <w:t xml:space="preserve">(1), third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50   </w:t>
            </w:r>
          </w:p>
          <w:p>
            <w:pPr>
              <w:pStyle w:val="1"/>
              <w:jc w:val="both"/>
            </w:pPr>
            <w:r>
              <w:rPr>
                <w:sz w:val="14"/>
              </w:rPr>
              <w:t xml:space="preserve">(3), first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w:t>
            </w:r>
          </w:p>
          <w:p>
            <w:pPr>
              <w:pStyle w:val="1"/>
              <w:jc w:val="both"/>
            </w:pPr>
            <w:r>
              <w:rPr>
                <w:sz w:val="14"/>
              </w:rPr>
              <w:t xml:space="preserve">(1), first   </w:t>
            </w:r>
          </w:p>
          <w:p>
            <w:pPr>
              <w:pStyle w:val="1"/>
              <w:jc w:val="both"/>
            </w:pPr>
            <w:r>
              <w:rPr>
                <w:sz w:val="14"/>
              </w:rPr>
              <w:t xml:space="preserve">part of      </w:t>
            </w:r>
          </w:p>
          <w:p>
            <w:pPr>
              <w:pStyle w:val="1"/>
              <w:jc w:val="both"/>
            </w:pPr>
            <w:r>
              <w:rPr>
                <w:sz w:val="14"/>
              </w:rPr>
              <w:t xml:space="preserve">fourth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w:t>
            </w:r>
          </w:p>
          <w:p>
            <w:pPr>
              <w:pStyle w:val="1"/>
              <w:jc w:val="both"/>
            </w:pPr>
            <w:r>
              <w:rPr>
                <w:sz w:val="14"/>
              </w:rPr>
              <w:t xml:space="preserve">(1), second  </w:t>
            </w:r>
          </w:p>
          <w:p>
            <w:pPr>
              <w:pStyle w:val="1"/>
              <w:jc w:val="both"/>
            </w:pPr>
            <w:r>
              <w:rPr>
                <w:sz w:val="14"/>
              </w:rPr>
              <w:t xml:space="preserve">part of      </w:t>
            </w:r>
          </w:p>
          <w:p>
            <w:pPr>
              <w:pStyle w:val="1"/>
              <w:jc w:val="both"/>
            </w:pPr>
            <w:r>
              <w:rPr>
                <w:sz w:val="14"/>
              </w:rPr>
              <w:t xml:space="preserve">fourth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50   </w:t>
            </w:r>
          </w:p>
          <w:p>
            <w:pPr>
              <w:pStyle w:val="1"/>
              <w:jc w:val="both"/>
            </w:pPr>
            <w:r>
              <w:rPr>
                <w:sz w:val="14"/>
              </w:rPr>
              <w:t xml:space="preserve">(3), second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(3)</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50   </w:t>
            </w:r>
          </w:p>
          <w:p>
            <w:pPr>
              <w:pStyle w:val="1"/>
              <w:jc w:val="both"/>
            </w:pPr>
            <w:r>
              <w:rPr>
                <w:sz w:val="14"/>
              </w:rPr>
              <w:t xml:space="preserve">(4)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w:t>
            </w:r>
          </w:p>
          <w:p>
            <w:pPr>
              <w:pStyle w:val="1"/>
              <w:jc w:val="both"/>
            </w:pPr>
            <w:r>
              <w:rPr>
                <w:sz w:val="14"/>
              </w:rPr>
              <w:t xml:space="preserve">(4), first   </w:t>
            </w:r>
          </w:p>
          <w:p>
            <w:pPr>
              <w:pStyle w:val="1"/>
              <w:jc w:val="both"/>
            </w:pPr>
            <w:r>
              <w:rPr>
                <w:sz w:val="14"/>
              </w:rPr>
              <w:t xml:space="preserve">and second   </w:t>
            </w:r>
          </w:p>
          <w:p>
            <w:pPr>
              <w:pStyle w:val="1"/>
              <w:jc w:val="both"/>
            </w:pPr>
            <w:r>
              <w:rPr>
                <w:sz w:val="14"/>
              </w:rPr>
              <w:t xml:space="preserve">sentences of </w:t>
            </w:r>
          </w:p>
          <w:p>
            <w:pPr>
              <w:pStyle w:val="1"/>
              <w:jc w:val="both"/>
            </w:pPr>
            <w:r>
              <w:rPr>
                <w:sz w:val="14"/>
              </w:rPr>
              <w:t xml:space="preserve">first        </w:t>
            </w:r>
          </w:p>
          <w:p>
            <w:pPr>
              <w:pStyle w:val="1"/>
              <w:jc w:val="both"/>
            </w:pPr>
            <w:r>
              <w:rPr>
                <w:sz w:val="14"/>
              </w:rPr>
              <w:t xml:space="preserve">subparagraph </w:t>
            </w:r>
          </w:p>
          <w:p>
            <w:pPr>
              <w:pStyle w:val="1"/>
              <w:jc w:val="both"/>
            </w:pPr>
            <w:r>
              <w:rPr>
                <w:sz w:val="14"/>
              </w:rPr>
              <w:t xml:space="preserve">and Article  </w:t>
            </w:r>
          </w:p>
          <w:p>
            <w:pPr>
              <w:pStyle w:val="1"/>
              <w:jc w:val="both"/>
            </w:pPr>
            <w:r>
              <w:rPr>
                <w:sz w:val="14"/>
              </w:rPr>
              <w:t xml:space="preserve">6 (4), first </w:t>
            </w:r>
          </w:p>
          <w:p>
            <w:pPr>
              <w:pStyle w:val="1"/>
              <w:jc w:val="both"/>
            </w:pPr>
            <w:r>
              <w:rPr>
                <w:sz w:val="14"/>
              </w:rPr>
              <w:t xml:space="preserve">and second   </w:t>
            </w:r>
          </w:p>
          <w:p>
            <w:pPr>
              <w:pStyle w:val="1"/>
              <w:jc w:val="both"/>
            </w:pPr>
            <w:r>
              <w:rPr>
                <w:sz w:val="14"/>
              </w:rPr>
              <w:t xml:space="preserve">sentences of </w:t>
            </w:r>
          </w:p>
          <w:p>
            <w:pPr>
              <w:pStyle w:val="1"/>
              <w:jc w:val="both"/>
            </w:pPr>
            <w:r>
              <w:rPr>
                <w:sz w:val="14"/>
              </w:rPr>
              <w:t xml:space="preserve">second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51   </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w:t>
            </w:r>
          </w:p>
          <w:p>
            <w:pPr>
              <w:pStyle w:val="1"/>
              <w:jc w:val="both"/>
            </w:pPr>
            <w:r>
              <w:rPr>
                <w:sz w:val="14"/>
              </w:rPr>
              <w:t xml:space="preserve">(4), third   </w:t>
            </w:r>
          </w:p>
          <w:p>
            <w:pPr>
              <w:pStyle w:val="1"/>
              <w:jc w:val="both"/>
            </w:pPr>
            <w:r>
              <w:rPr>
                <w:sz w:val="14"/>
              </w:rPr>
              <w:t xml:space="preserve">sentence of  </w:t>
            </w:r>
          </w:p>
          <w:p>
            <w:pPr>
              <w:pStyle w:val="1"/>
              <w:jc w:val="both"/>
            </w:pPr>
            <w:r>
              <w:rPr>
                <w:sz w:val="14"/>
              </w:rPr>
              <w:t xml:space="preserve">first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51   </w:t>
            </w:r>
          </w:p>
          <w:p>
            <w:pPr>
              <w:pStyle w:val="1"/>
              <w:jc w:val="both"/>
            </w:pPr>
            <w:r>
              <w:rPr>
                <w:sz w:val="14"/>
              </w:rPr>
              <w:t xml:space="preserve">(2)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6    </w:t>
            </w:r>
          </w:p>
          <w:p>
            <w:pPr>
              <w:pStyle w:val="1"/>
              <w:jc w:val="both"/>
            </w:pPr>
            <w:r>
              <w:rPr>
                <w:sz w:val="14"/>
              </w:rPr>
              <w:t xml:space="preserve">(4), third   </w:t>
            </w:r>
          </w:p>
          <w:p>
            <w:pPr>
              <w:pStyle w:val="1"/>
              <w:jc w:val="both"/>
            </w:pPr>
            <w:r>
              <w:rPr>
                <w:sz w:val="14"/>
              </w:rPr>
              <w:t xml:space="preserve">sentence of  </w:t>
            </w:r>
          </w:p>
          <w:p>
            <w:pPr>
              <w:pStyle w:val="1"/>
              <w:jc w:val="both"/>
            </w:pPr>
            <w:r>
              <w:rPr>
                <w:sz w:val="14"/>
              </w:rPr>
              <w:t xml:space="preserve">second       </w:t>
            </w:r>
          </w:p>
          <w:p>
            <w:pPr>
              <w:pStyle w:val="1"/>
              <w:jc w:val="both"/>
            </w:pPr>
            <w:r>
              <w:rPr>
                <w:sz w:val="14"/>
              </w:rPr>
              <w:t xml:space="preserve">subparagraph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51   </w:t>
            </w:r>
          </w:p>
          <w:p>
            <w:pPr>
              <w:pStyle w:val="1"/>
              <w:jc w:val="both"/>
            </w:pPr>
            <w:r>
              <w:rPr>
                <w:sz w:val="14"/>
              </w:rPr>
              <w:t xml:space="preserve">(3), first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w:t>
            </w:r>
          </w:p>
          <w:p>
            <w:pPr>
              <w:pStyle w:val="1"/>
              <w:jc w:val="both"/>
            </w:pPr>
            <w:r>
              <w:rPr>
                <w:sz w:val="14"/>
              </w:rPr>
              <w:t xml:space="preserve">(4), third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51   </w:t>
            </w:r>
          </w:p>
          <w:p>
            <w:pPr>
              <w:pStyle w:val="1"/>
              <w:jc w:val="both"/>
            </w:pPr>
            <w:r>
              <w:rPr>
                <w:sz w:val="14"/>
              </w:rPr>
              <w:t xml:space="preserve">(3), second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w:t>
            </w:r>
          </w:p>
          <w:p>
            <w:pPr>
              <w:pStyle w:val="1"/>
              <w:jc w:val="both"/>
            </w:pPr>
            <w:r>
              <w:rPr>
                <w:sz w:val="14"/>
              </w:rPr>
              <w:t xml:space="preserve">(4), fourth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51   </w:t>
            </w:r>
          </w:p>
          <w:p>
            <w:pPr>
              <w:pStyle w:val="1"/>
              <w:jc w:val="both"/>
            </w:pPr>
            <w:r>
              <w:rPr>
                <w:sz w:val="14"/>
              </w:rPr>
              <w:t xml:space="preserve">(4)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w:t>
            </w:r>
          </w:p>
          <w:p>
            <w:pPr>
              <w:pStyle w:val="1"/>
              <w:jc w:val="both"/>
            </w:pPr>
            <w:r>
              <w:rPr>
                <w:sz w:val="14"/>
              </w:rPr>
              <w:t xml:space="preserve">(5), first   </w:t>
            </w:r>
          </w:p>
          <w:p>
            <w:pPr>
              <w:pStyle w:val="1"/>
              <w:jc w:val="both"/>
            </w:pPr>
            <w:r>
              <w:rPr>
                <w:sz w:val="14"/>
              </w:rPr>
              <w:t xml:space="preserve">part of      </w:t>
            </w:r>
          </w:p>
          <w:p>
            <w:pPr>
              <w:pStyle w:val="1"/>
              <w:jc w:val="both"/>
            </w:pPr>
            <w:r>
              <w:rPr>
                <w:sz w:val="14"/>
              </w:rPr>
              <w:t xml:space="preserve">sentence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w:t>
            </w:r>
          </w:p>
          <w:p>
            <w:pPr>
              <w:pStyle w:val="1"/>
              <w:jc w:val="both"/>
            </w:pPr>
            <w:r>
              <w:rPr>
                <w:sz w:val="14"/>
              </w:rPr>
              <w:t xml:space="preserve">(5), second  </w:t>
            </w:r>
          </w:p>
          <w:p>
            <w:pPr>
              <w:pStyle w:val="1"/>
              <w:jc w:val="both"/>
            </w:pPr>
            <w:r>
              <w:rPr>
                <w:sz w:val="14"/>
              </w:rPr>
              <w:t xml:space="preserve">part of the  </w:t>
            </w:r>
          </w:p>
          <w:p>
            <w:pPr>
              <w:pStyle w:val="1"/>
              <w:jc w:val="both"/>
            </w:pPr>
            <w:r>
              <w:rPr>
                <w:sz w:val="14"/>
              </w:rPr>
              <w:t xml:space="preserve">sentence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46   </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(6)</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50   </w:t>
            </w:r>
          </w:p>
          <w:p>
            <w:pPr>
              <w:pStyle w:val="1"/>
              <w:jc w:val="both"/>
            </w:pPr>
            <w:r>
              <w:rPr>
                <w:sz w:val="14"/>
              </w:rPr>
              <w:t xml:space="preserve">(5)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(7)</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50   </w:t>
            </w:r>
          </w:p>
          <w:p>
            <w:pPr>
              <w:pStyle w:val="1"/>
              <w:jc w:val="both"/>
            </w:pPr>
            <w:r>
              <w:rPr>
                <w:sz w:val="14"/>
              </w:rPr>
              <w:t xml:space="preserve">(6)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(8)</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50   </w:t>
            </w:r>
          </w:p>
          <w:p>
            <w:pPr>
              <w:pStyle w:val="1"/>
              <w:jc w:val="both"/>
            </w:pPr>
            <w:r>
              <w:rPr>
                <w:sz w:val="14"/>
              </w:rPr>
              <w:t xml:space="preserve">(7)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7 (1)</w:t>
            </w:r>
          </w:p>
          <w:p>
            <w:pPr>
              <w:pStyle w:val="1"/>
              <w:jc w:val="both"/>
            </w:pPr>
            <w:r>
              <w:rPr>
                <w:sz w:val="14"/>
              </w:rPr>
              <w:t xml:space="preserve">and Article 7</w:t>
            </w:r>
          </w:p>
          <w:p>
            <w:pPr>
              <w:pStyle w:val="1"/>
              <w:jc w:val="both"/>
            </w:pPr>
            <w:r>
              <w:rPr>
                <w:sz w:val="14"/>
              </w:rPr>
              <w:t xml:space="preserve">(2), first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46   </w:t>
            </w:r>
          </w:p>
          <w:p>
            <w:pPr>
              <w:pStyle w:val="1"/>
              <w:jc w:val="both"/>
            </w:pPr>
            <w:r>
              <w:rPr>
                <w:sz w:val="14"/>
              </w:rPr>
              <w:t xml:space="preserve">(2), first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7    </w:t>
            </w:r>
          </w:p>
          <w:p>
            <w:pPr>
              <w:pStyle w:val="1"/>
              <w:jc w:val="both"/>
            </w:pPr>
            <w:r>
              <w:rPr>
                <w:sz w:val="14"/>
              </w:rPr>
              <w:t xml:space="preserve">(2), second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46   </w:t>
            </w:r>
          </w:p>
          <w:p>
            <w:pPr>
              <w:pStyle w:val="1"/>
              <w:jc w:val="both"/>
            </w:pPr>
            <w:r>
              <w:rPr>
                <w:sz w:val="14"/>
              </w:rPr>
              <w:t xml:space="preserve">(2), second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7 (3)</w:t>
            </w:r>
          </w:p>
          <w:p>
            <w:pPr>
              <w:pStyle w:val="1"/>
              <w:jc w:val="both"/>
            </w:pPr>
            <w:r>
              <w:rPr>
                <w:sz w:val="14"/>
              </w:rPr>
              <w:t xml:space="preserve">and Article  </w:t>
            </w:r>
          </w:p>
          <w:p>
            <w:pPr>
              <w:pStyle w:val="1"/>
              <w:jc w:val="both"/>
            </w:pPr>
            <w:r>
              <w:rPr>
                <w:sz w:val="14"/>
              </w:rPr>
              <w:t xml:space="preserve">11 (8), first</w:t>
            </w:r>
          </w:p>
          <w:p>
            <w:pPr>
              <w:pStyle w:val="1"/>
              <w:jc w:val="both"/>
            </w:pPr>
            <w:r>
              <w:rPr>
                <w:sz w:val="14"/>
              </w:rPr>
              <w:t xml:space="preserve">subparagraph,</w:t>
            </w:r>
          </w:p>
          <w:p>
            <w:pPr>
              <w:pStyle w:val="1"/>
              <w:jc w:val="both"/>
            </w:pPr>
            <w:r>
              <w:rPr>
                <w:sz w:val="14"/>
              </w:rPr>
              <w:t xml:space="preserve">introductory </w:t>
            </w:r>
          </w:p>
          <w:p>
            <w:pPr>
              <w:pStyle w:val="1"/>
              <w:jc w:val="both"/>
            </w:pPr>
            <w:r>
              <w:rPr>
                <w:sz w:val="14"/>
              </w:rPr>
              <w:t xml:space="preserve">wording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6, first</w:t>
            </w:r>
          </w:p>
          <w:p>
            <w:pPr>
              <w:pStyle w:val="1"/>
              <w:jc w:val="both"/>
            </w:pPr>
            <w:r>
              <w:rPr>
                <w:sz w:val="14"/>
              </w:rPr>
              <w:t xml:space="preserve">part of point</w:t>
            </w:r>
          </w:p>
          <w:p>
            <w:pPr>
              <w:pStyle w:val="1"/>
              <w:jc w:val="both"/>
            </w:pPr>
            <w:r>
              <w:rPr>
                <w:sz w:val="14"/>
              </w:rPr>
              <w:t xml:space="preserve">2.7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7 (4)</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46   </w:t>
            </w:r>
          </w:p>
          <w:p>
            <w:pPr>
              <w:pStyle w:val="1"/>
              <w:jc w:val="both"/>
            </w:pPr>
            <w:r>
              <w:rPr>
                <w:sz w:val="14"/>
              </w:rPr>
              <w:t xml:space="preserve">(2), second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7 (5)</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 (1)</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45   </w:t>
            </w:r>
          </w:p>
          <w:p>
            <w:pPr>
              <w:pStyle w:val="1"/>
              <w:jc w:val="both"/>
            </w:pPr>
            <w:r>
              <w:rPr>
                <w:sz w:val="14"/>
              </w:rPr>
              <w:t xml:space="preserve">(1), point   </w:t>
            </w:r>
          </w:p>
          <w:p>
            <w:pPr>
              <w:pStyle w:val="1"/>
              <w:jc w:val="both"/>
            </w:pPr>
            <w:r>
              <w:rPr>
                <w:sz w:val="14"/>
              </w:rPr>
              <w:t xml:space="preserve">(c)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 (2)</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46   </w:t>
            </w:r>
          </w:p>
          <w:p>
            <w:pPr>
              <w:pStyle w:val="1"/>
              <w:jc w:val="both"/>
            </w:pPr>
            <w:r>
              <w:rPr>
                <w:sz w:val="14"/>
              </w:rPr>
              <w:t xml:space="preserve">(3)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 (3)</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    </w:t>
            </w:r>
          </w:p>
          <w:p>
            <w:pPr>
              <w:pStyle w:val="1"/>
              <w:jc w:val="both"/>
            </w:pPr>
            <w:r>
              <w:rPr>
                <w:sz w:val="14"/>
              </w:rPr>
              <w:t xml:space="preserve">(4), first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46   </w:t>
            </w:r>
          </w:p>
          <w:p>
            <w:pPr>
              <w:pStyle w:val="1"/>
              <w:jc w:val="both"/>
            </w:pPr>
            <w:r>
              <w:rPr>
                <w:sz w:val="14"/>
              </w:rPr>
              <w:t xml:space="preserve">(4), first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    </w:t>
            </w:r>
          </w:p>
          <w:p>
            <w:pPr>
              <w:pStyle w:val="1"/>
              <w:jc w:val="both"/>
            </w:pPr>
            <w:r>
              <w:rPr>
                <w:sz w:val="14"/>
              </w:rPr>
              <w:t xml:space="preserve">(4), second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6, point</w:t>
            </w:r>
          </w:p>
          <w:p>
            <w:pPr>
              <w:pStyle w:val="1"/>
              <w:jc w:val="both"/>
            </w:pPr>
            <w:r>
              <w:rPr>
                <w:sz w:val="14"/>
              </w:rPr>
              <w:t xml:space="preserve">3.2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    </w:t>
            </w:r>
          </w:p>
          <w:p>
            <w:pPr>
              <w:pStyle w:val="1"/>
              <w:jc w:val="both"/>
            </w:pPr>
            <w:r>
              <w:rPr>
                <w:sz w:val="14"/>
              </w:rPr>
              <w:t xml:space="preserve">(4), third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    </w:t>
            </w:r>
          </w:p>
          <w:p>
            <w:pPr>
              <w:pStyle w:val="1"/>
              <w:jc w:val="both"/>
            </w:pPr>
            <w:r>
              <w:rPr>
                <w:sz w:val="14"/>
              </w:rPr>
              <w:t xml:space="preserve">(4), fourth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 (5)</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46   </w:t>
            </w:r>
          </w:p>
          <w:p>
            <w:pPr>
              <w:pStyle w:val="1"/>
              <w:jc w:val="both"/>
            </w:pPr>
            <w:r>
              <w:rPr>
                <w:sz w:val="14"/>
              </w:rPr>
              <w:t xml:space="preserve">(4), second  </w:t>
            </w:r>
          </w:p>
          <w:p>
            <w:pPr>
              <w:pStyle w:val="1"/>
              <w:jc w:val="both"/>
            </w:pPr>
            <w:r>
              <w:rPr>
                <w:sz w:val="14"/>
              </w:rPr>
              <w:t xml:space="preserve">and third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 (6)</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45   </w:t>
            </w:r>
          </w:p>
          <w:p>
            <w:pPr>
              <w:pStyle w:val="1"/>
              <w:jc w:val="both"/>
            </w:pPr>
            <w:r>
              <w:rPr>
                <w:sz w:val="14"/>
              </w:rPr>
              <w:t xml:space="preserve">(1), points  </w:t>
            </w:r>
          </w:p>
          <w:p>
            <w:pPr>
              <w:pStyle w:val="1"/>
              <w:jc w:val="both"/>
            </w:pPr>
            <w:r>
              <w:rPr>
                <w:sz w:val="14"/>
              </w:rPr>
              <w:t xml:space="preserve">(c) and (d)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 (7)</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46   </w:t>
            </w:r>
          </w:p>
          <w:p>
            <w:pPr>
              <w:pStyle w:val="1"/>
              <w:jc w:val="both"/>
            </w:pPr>
            <w:r>
              <w:rPr>
                <w:sz w:val="14"/>
              </w:rPr>
              <w:t xml:space="preserve">(5)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 (8)</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w:t>
            </w:r>
          </w:p>
          <w:p>
            <w:pPr>
              <w:pStyle w:val="1"/>
              <w:jc w:val="both"/>
            </w:pPr>
            <w:r>
              <w:rPr>
                <w:sz w:val="14"/>
              </w:rPr>
              <w:t xml:space="preserve">first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53   </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w:t>
            </w:r>
          </w:p>
          <w:p>
            <w:pPr>
              <w:pStyle w:val="1"/>
              <w:jc w:val="both"/>
            </w:pPr>
            <w:r>
              <w:rPr>
                <w:sz w:val="14"/>
              </w:rPr>
              <w:t xml:space="preserve">second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53   </w:t>
            </w:r>
          </w:p>
          <w:p>
            <w:pPr>
              <w:pStyle w:val="1"/>
              <w:jc w:val="both"/>
            </w:pPr>
            <w:r>
              <w:rPr>
                <w:sz w:val="14"/>
              </w:rPr>
              <w:t xml:space="preserve">(2)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w:t>
            </w:r>
          </w:p>
          <w:p>
            <w:pPr>
              <w:pStyle w:val="1"/>
              <w:jc w:val="both"/>
            </w:pPr>
            <w:r>
              <w:rPr>
                <w:sz w:val="14"/>
              </w:rPr>
              <w:t xml:space="preserve">third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53   </w:t>
            </w:r>
          </w:p>
          <w:p>
            <w:pPr>
              <w:pStyle w:val="1"/>
              <w:jc w:val="both"/>
            </w:pPr>
            <w:r>
              <w:rPr>
                <w:sz w:val="14"/>
              </w:rPr>
              <w:t xml:space="preserve">(3)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10   </w:t>
            </w:r>
          </w:p>
          <w:p>
            <w:pPr>
              <w:pStyle w:val="1"/>
              <w:jc w:val="both"/>
            </w:pPr>
            <w:r>
              <w:rPr>
                <w:sz w:val="14"/>
              </w:rPr>
              <w:t xml:space="preserve">(1) and (2)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10   </w:t>
            </w:r>
          </w:p>
          <w:p>
            <w:pPr>
              <w:pStyle w:val="1"/>
              <w:jc w:val="both"/>
            </w:pPr>
            <w:r>
              <w:rPr>
                <w:sz w:val="14"/>
              </w:rPr>
              <w:t xml:space="preserve">(3), first   </w:t>
            </w:r>
          </w:p>
          <w:p>
            <w:pPr>
              <w:pStyle w:val="1"/>
              <w:jc w:val="both"/>
            </w:pPr>
            <w:r>
              <w:rPr>
                <w:sz w:val="14"/>
              </w:rPr>
              <w:t xml:space="preserve">sentence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48   </w:t>
            </w:r>
          </w:p>
          <w:p>
            <w:pPr>
              <w:pStyle w:val="1"/>
              <w:jc w:val="both"/>
            </w:pPr>
            <w:r>
              <w:rPr>
                <w:sz w:val="14"/>
              </w:rPr>
              <w:t xml:space="preserve">(2)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10   </w:t>
            </w:r>
          </w:p>
          <w:p>
            <w:pPr>
              <w:pStyle w:val="1"/>
              <w:jc w:val="both"/>
            </w:pPr>
            <w:r>
              <w:rPr>
                <w:sz w:val="14"/>
              </w:rPr>
              <w:t xml:space="preserve">(3), second  </w:t>
            </w:r>
          </w:p>
          <w:p>
            <w:pPr>
              <w:pStyle w:val="1"/>
              <w:jc w:val="both"/>
            </w:pPr>
            <w:r>
              <w:rPr>
                <w:sz w:val="14"/>
              </w:rPr>
              <w:t xml:space="preserve">sentence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10   </w:t>
            </w:r>
          </w:p>
          <w:p>
            <w:pPr>
              <w:pStyle w:val="1"/>
              <w:jc w:val="both"/>
            </w:pPr>
            <w:r>
              <w:rPr>
                <w:sz w:val="14"/>
              </w:rPr>
              <w:t xml:space="preserve">(4)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48   </w:t>
            </w:r>
          </w:p>
          <w:p>
            <w:pPr>
              <w:pStyle w:val="1"/>
              <w:jc w:val="both"/>
            </w:pPr>
            <w:r>
              <w:rPr>
                <w:sz w:val="14"/>
              </w:rPr>
              <w:t xml:space="preserve">(3)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10   </w:t>
            </w:r>
          </w:p>
          <w:p>
            <w:pPr>
              <w:pStyle w:val="1"/>
              <w:jc w:val="both"/>
            </w:pPr>
            <w:r>
              <w:rPr>
                <w:sz w:val="14"/>
              </w:rPr>
              <w:t xml:space="preserve">(5)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6,      </w:t>
            </w:r>
          </w:p>
          <w:p>
            <w:pPr>
              <w:pStyle w:val="1"/>
              <w:jc w:val="both"/>
            </w:pPr>
            <w:r>
              <w:rPr>
                <w:sz w:val="14"/>
              </w:rPr>
              <w:t xml:space="preserve">second part  </w:t>
            </w:r>
          </w:p>
          <w:p>
            <w:pPr>
              <w:pStyle w:val="1"/>
              <w:jc w:val="both"/>
            </w:pPr>
            <w:r>
              <w:rPr>
                <w:sz w:val="14"/>
              </w:rPr>
              <w:t xml:space="preserve">of point 1.3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(1)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48   </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(2)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6, point</w:t>
            </w:r>
          </w:p>
          <w:p>
            <w:pPr>
              <w:pStyle w:val="1"/>
              <w:jc w:val="both"/>
            </w:pPr>
            <w:r>
              <w:rPr>
                <w:sz w:val="14"/>
              </w:rPr>
              <w:t xml:space="preserve">2.1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(3)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6, point</w:t>
            </w:r>
          </w:p>
          <w:p>
            <w:pPr>
              <w:pStyle w:val="1"/>
              <w:jc w:val="both"/>
            </w:pPr>
            <w:r>
              <w:rPr>
                <w:sz w:val="14"/>
              </w:rPr>
              <w:t xml:space="preserve">2.2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(4)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6, point</w:t>
            </w:r>
          </w:p>
          <w:p>
            <w:pPr>
              <w:pStyle w:val="1"/>
              <w:jc w:val="both"/>
            </w:pPr>
            <w:r>
              <w:rPr>
                <w:sz w:val="14"/>
              </w:rPr>
              <w:t xml:space="preserve">2.3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(5)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6, point</w:t>
            </w:r>
          </w:p>
          <w:p>
            <w:pPr>
              <w:pStyle w:val="1"/>
              <w:jc w:val="both"/>
            </w:pPr>
            <w:r>
              <w:rPr>
                <w:sz w:val="14"/>
              </w:rPr>
              <w:t xml:space="preserve">2.4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(6)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6, point</w:t>
            </w:r>
          </w:p>
          <w:p>
            <w:pPr>
              <w:pStyle w:val="1"/>
              <w:jc w:val="both"/>
            </w:pPr>
            <w:r>
              <w:rPr>
                <w:sz w:val="14"/>
              </w:rPr>
              <w:t xml:space="preserve">2.5, first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Annex VI,    </w:t>
            </w:r>
          </w:p>
          <w:p>
            <w:pPr>
              <w:pStyle w:val="1"/>
              <w:jc w:val="both"/>
            </w:pPr>
            <w:r>
              <w:rPr>
                <w:sz w:val="14"/>
              </w:rPr>
              <w:t xml:space="preserve">Part 6, point</w:t>
            </w:r>
          </w:p>
          <w:p>
            <w:pPr>
              <w:pStyle w:val="1"/>
              <w:jc w:val="both"/>
            </w:pPr>
            <w:r>
              <w:rPr>
                <w:sz w:val="14"/>
              </w:rPr>
              <w:t xml:space="preserve">2.5, second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(7), first   </w:t>
            </w:r>
          </w:p>
          <w:p>
            <w:pPr>
              <w:pStyle w:val="1"/>
              <w:jc w:val="both"/>
            </w:pPr>
            <w:r>
              <w:rPr>
                <w:sz w:val="14"/>
              </w:rPr>
              <w:t xml:space="preserve">part of      </w:t>
            </w:r>
          </w:p>
          <w:p>
            <w:pPr>
              <w:pStyle w:val="1"/>
              <w:jc w:val="both"/>
            </w:pPr>
            <w:r>
              <w:rPr>
                <w:sz w:val="14"/>
              </w:rPr>
              <w:t xml:space="preserve">first        </w:t>
            </w:r>
          </w:p>
          <w:p>
            <w:pPr>
              <w:pStyle w:val="1"/>
              <w:jc w:val="both"/>
            </w:pPr>
            <w:r>
              <w:rPr>
                <w:sz w:val="14"/>
              </w:rPr>
              <w:t xml:space="preserve">sentence of  </w:t>
            </w:r>
          </w:p>
          <w:p>
            <w:pPr>
              <w:pStyle w:val="1"/>
              <w:jc w:val="both"/>
            </w:pPr>
            <w:r>
              <w:rPr>
                <w:sz w:val="14"/>
              </w:rPr>
              <w:t xml:space="preserve">first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6, point</w:t>
            </w:r>
          </w:p>
          <w:p>
            <w:pPr>
              <w:pStyle w:val="1"/>
              <w:jc w:val="both"/>
            </w:pPr>
            <w:r>
              <w:rPr>
                <w:sz w:val="14"/>
              </w:rPr>
              <w:t xml:space="preserve">2.6,         </w:t>
            </w:r>
          </w:p>
          <w:p>
            <w:pPr>
              <w:pStyle w:val="1"/>
              <w:jc w:val="both"/>
            </w:pPr>
            <w:r>
              <w:rPr>
                <w:sz w:val="14"/>
              </w:rPr>
              <w:t xml:space="preserve">introductory </w:t>
            </w:r>
          </w:p>
          <w:p>
            <w:pPr>
              <w:pStyle w:val="1"/>
              <w:jc w:val="both"/>
            </w:pPr>
            <w:r>
              <w:rPr>
                <w:sz w:val="14"/>
              </w:rPr>
              <w:t xml:space="preserve">wording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(7), second  </w:t>
            </w:r>
          </w:p>
          <w:p>
            <w:pPr>
              <w:pStyle w:val="1"/>
              <w:jc w:val="both"/>
            </w:pPr>
            <w:r>
              <w:rPr>
                <w:sz w:val="14"/>
              </w:rPr>
              <w:t xml:space="preserve">part of first</w:t>
            </w:r>
          </w:p>
          <w:p>
            <w:pPr>
              <w:pStyle w:val="1"/>
              <w:jc w:val="both"/>
            </w:pPr>
            <w:r>
              <w:rPr>
                <w:sz w:val="14"/>
              </w:rPr>
              <w:t xml:space="preserve">sentence of  </w:t>
            </w:r>
          </w:p>
          <w:p>
            <w:pPr>
              <w:pStyle w:val="1"/>
              <w:jc w:val="both"/>
            </w:pPr>
            <w:r>
              <w:rPr>
                <w:sz w:val="14"/>
              </w:rPr>
              <w:t xml:space="preserve">first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6, point</w:t>
            </w:r>
          </w:p>
          <w:p>
            <w:pPr>
              <w:pStyle w:val="1"/>
              <w:jc w:val="both"/>
            </w:pPr>
            <w:r>
              <w:rPr>
                <w:sz w:val="14"/>
              </w:rPr>
              <w:t xml:space="preserve">2.6 (a)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(7), second  </w:t>
            </w:r>
          </w:p>
          <w:p>
            <w:pPr>
              <w:pStyle w:val="1"/>
              <w:jc w:val="both"/>
            </w:pPr>
            <w:r>
              <w:rPr>
                <w:sz w:val="14"/>
              </w:rPr>
              <w:t xml:space="preserve">sentence of  </w:t>
            </w:r>
          </w:p>
          <w:p>
            <w:pPr>
              <w:pStyle w:val="1"/>
              <w:jc w:val="both"/>
            </w:pPr>
            <w:r>
              <w:rPr>
                <w:sz w:val="14"/>
              </w:rPr>
              <w:t xml:space="preserve">first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(7), second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(7), point   </w:t>
            </w:r>
          </w:p>
          <w:p>
            <w:pPr>
              <w:pStyle w:val="1"/>
              <w:jc w:val="both"/>
            </w:pPr>
            <w:r>
              <w:rPr>
                <w:sz w:val="14"/>
              </w:rPr>
              <w:t xml:space="preserve">(a)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6, point</w:t>
            </w:r>
          </w:p>
          <w:p>
            <w:pPr>
              <w:pStyle w:val="1"/>
              <w:jc w:val="both"/>
            </w:pPr>
            <w:r>
              <w:rPr>
                <w:sz w:val="14"/>
              </w:rPr>
              <w:t xml:space="preserve">2.6 (b)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(7), points  </w:t>
            </w:r>
          </w:p>
          <w:p>
            <w:pPr>
              <w:pStyle w:val="1"/>
              <w:jc w:val="both"/>
            </w:pPr>
            <w:r>
              <w:rPr>
                <w:sz w:val="14"/>
              </w:rPr>
              <w:t xml:space="preserve">(b) and (c)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(7), point   </w:t>
            </w:r>
          </w:p>
          <w:p>
            <w:pPr>
              <w:pStyle w:val="1"/>
              <w:jc w:val="both"/>
            </w:pPr>
            <w:r>
              <w:rPr>
                <w:sz w:val="14"/>
              </w:rPr>
              <w:t xml:space="preserve">(d)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6, point</w:t>
            </w:r>
          </w:p>
          <w:p>
            <w:pPr>
              <w:pStyle w:val="1"/>
              <w:jc w:val="both"/>
            </w:pPr>
            <w:r>
              <w:rPr>
                <w:sz w:val="14"/>
              </w:rPr>
              <w:t xml:space="preserve">2.6 (c)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(7), points  </w:t>
            </w:r>
          </w:p>
          <w:p>
            <w:pPr>
              <w:pStyle w:val="1"/>
              <w:jc w:val="both"/>
            </w:pPr>
            <w:r>
              <w:rPr>
                <w:sz w:val="14"/>
              </w:rPr>
              <w:t xml:space="preserve">(e) and (f)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(8), first   </w:t>
            </w:r>
          </w:p>
          <w:p>
            <w:pPr>
              <w:pStyle w:val="1"/>
              <w:jc w:val="both"/>
            </w:pPr>
            <w:r>
              <w:rPr>
                <w:sz w:val="14"/>
              </w:rPr>
              <w:t xml:space="preserve">subparagraph,</w:t>
            </w:r>
          </w:p>
          <w:p>
            <w:pPr>
              <w:pStyle w:val="1"/>
              <w:jc w:val="both"/>
            </w:pPr>
            <w:r>
              <w:rPr>
                <w:sz w:val="14"/>
              </w:rPr>
              <w:t xml:space="preserve">points (a)   </w:t>
            </w:r>
          </w:p>
          <w:p>
            <w:pPr>
              <w:pStyle w:val="1"/>
              <w:jc w:val="both"/>
            </w:pPr>
            <w:r>
              <w:rPr>
                <w:sz w:val="14"/>
              </w:rPr>
              <w:t xml:space="preserve">and (b)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3, point</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(8), first   </w:t>
            </w:r>
          </w:p>
          <w:p>
            <w:pPr>
              <w:pStyle w:val="1"/>
              <w:jc w:val="both"/>
            </w:pPr>
            <w:r>
              <w:rPr>
                <w:sz w:val="14"/>
              </w:rPr>
              <w:t xml:space="preserve">subparagraph,</w:t>
            </w:r>
          </w:p>
          <w:p>
            <w:pPr>
              <w:pStyle w:val="1"/>
              <w:jc w:val="both"/>
            </w:pPr>
            <w:r>
              <w:rPr>
                <w:sz w:val="14"/>
              </w:rPr>
              <w:t xml:space="preserve">point (c) and</w:t>
            </w:r>
          </w:p>
          <w:p>
            <w:pPr>
              <w:pStyle w:val="1"/>
              <w:jc w:val="both"/>
            </w:pPr>
            <w:r>
              <w:rPr>
                <w:sz w:val="14"/>
              </w:rPr>
              <w:t xml:space="preserve">second       </w:t>
            </w:r>
          </w:p>
          <w:p>
            <w:pPr>
              <w:pStyle w:val="1"/>
              <w:jc w:val="both"/>
            </w:pPr>
            <w:r>
              <w:rPr>
                <w:sz w:val="14"/>
              </w:rPr>
              <w:t xml:space="preserve">subparagraph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6,      </w:t>
            </w:r>
          </w:p>
          <w:p>
            <w:pPr>
              <w:pStyle w:val="1"/>
              <w:jc w:val="both"/>
            </w:pPr>
            <w:r>
              <w:rPr>
                <w:sz w:val="14"/>
              </w:rPr>
              <w:t xml:space="preserve">second       </w:t>
            </w:r>
          </w:p>
          <w:p>
            <w:pPr>
              <w:pStyle w:val="1"/>
              <w:jc w:val="both"/>
            </w:pPr>
            <w:r>
              <w:rPr>
                <w:sz w:val="14"/>
              </w:rPr>
              <w:t xml:space="preserve">subparagraph </w:t>
            </w:r>
          </w:p>
          <w:p>
            <w:pPr>
              <w:pStyle w:val="1"/>
              <w:jc w:val="both"/>
            </w:pPr>
            <w:r>
              <w:rPr>
                <w:sz w:val="14"/>
              </w:rPr>
              <w:t xml:space="preserve">of point 2.7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(8), first   </w:t>
            </w:r>
          </w:p>
          <w:p>
            <w:pPr>
              <w:pStyle w:val="1"/>
              <w:jc w:val="both"/>
            </w:pPr>
            <w:r>
              <w:rPr>
                <w:sz w:val="14"/>
              </w:rPr>
              <w:t xml:space="preserve">subparagraph,</w:t>
            </w:r>
          </w:p>
          <w:p>
            <w:pPr>
              <w:pStyle w:val="1"/>
              <w:jc w:val="both"/>
            </w:pPr>
            <w:r>
              <w:rPr>
                <w:sz w:val="14"/>
              </w:rPr>
              <w:t xml:space="preserve">point (d)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4, point</w:t>
            </w:r>
          </w:p>
          <w:p>
            <w:pPr>
              <w:pStyle w:val="1"/>
              <w:jc w:val="both"/>
            </w:pPr>
            <w:r>
              <w:rPr>
                <w:sz w:val="14"/>
              </w:rPr>
              <w:t xml:space="preserve">2.1, second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(9)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48   </w:t>
            </w:r>
          </w:p>
          <w:p>
            <w:pPr>
              <w:pStyle w:val="1"/>
              <w:jc w:val="both"/>
            </w:pPr>
            <w:r>
              <w:rPr>
                <w:sz w:val="14"/>
              </w:rPr>
              <w:t xml:space="preserve">(4)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(10)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8, point</w:t>
            </w:r>
          </w:p>
          <w:p>
            <w:pPr>
              <w:pStyle w:val="1"/>
              <w:jc w:val="both"/>
            </w:pPr>
            <w:r>
              <w:rPr>
                <w:sz w:val="14"/>
              </w:rPr>
              <w:t xml:space="preserve">1.1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(11)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8, point</w:t>
            </w:r>
          </w:p>
          <w:p>
            <w:pPr>
              <w:pStyle w:val="1"/>
              <w:jc w:val="both"/>
            </w:pPr>
            <w:r>
              <w:rPr>
                <w:sz w:val="14"/>
              </w:rPr>
              <w:t xml:space="preserve">1.2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(12)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8, point</w:t>
            </w:r>
          </w:p>
          <w:p>
            <w:pPr>
              <w:pStyle w:val="1"/>
              <w:jc w:val="both"/>
            </w:pPr>
            <w:r>
              <w:rPr>
                <w:sz w:val="14"/>
              </w:rPr>
              <w:t xml:space="preserve">1.3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(13)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48   </w:t>
            </w:r>
          </w:p>
          <w:p>
            <w:pPr>
              <w:pStyle w:val="1"/>
              <w:jc w:val="both"/>
            </w:pPr>
            <w:r>
              <w:rPr>
                <w:sz w:val="14"/>
              </w:rPr>
              <w:t xml:space="preserve">(5)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49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(14)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6, point</w:t>
            </w:r>
          </w:p>
          <w:p>
            <w:pPr>
              <w:pStyle w:val="1"/>
              <w:jc w:val="both"/>
            </w:pPr>
            <w:r>
              <w:rPr>
                <w:sz w:val="14"/>
              </w:rPr>
              <w:t xml:space="preserve">3.1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(15)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45   </w:t>
            </w:r>
          </w:p>
          <w:p>
            <w:pPr>
              <w:pStyle w:val="1"/>
              <w:jc w:val="both"/>
            </w:pPr>
            <w:r>
              <w:rPr>
                <w:sz w:val="14"/>
              </w:rPr>
              <w:t xml:space="preserve">(1), point   </w:t>
            </w:r>
          </w:p>
          <w:p>
            <w:pPr>
              <w:pStyle w:val="1"/>
              <w:jc w:val="both"/>
            </w:pPr>
            <w:r>
              <w:rPr>
                <w:sz w:val="14"/>
              </w:rPr>
              <w:t xml:space="preserve">(e)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(16)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8, point</w:t>
            </w:r>
          </w:p>
          <w:p>
            <w:pPr>
              <w:pStyle w:val="1"/>
              <w:jc w:val="both"/>
            </w:pPr>
            <w:r>
              <w:rPr>
                <w:sz w:val="14"/>
              </w:rPr>
              <w:t xml:space="preserve">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11   </w:t>
            </w:r>
          </w:p>
          <w:p>
            <w:pPr>
              <w:pStyle w:val="1"/>
              <w:jc w:val="both"/>
            </w:pPr>
            <w:r>
              <w:rPr>
                <w:sz w:val="14"/>
              </w:rPr>
              <w:t xml:space="preserve">(17)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    </w:t>
            </w:r>
          </w:p>
          <w:p>
            <w:pPr>
              <w:pStyle w:val="1"/>
              <w:jc w:val="both"/>
            </w:pPr>
            <w:r>
              <w:rPr>
                <w:sz w:val="14"/>
              </w:rPr>
              <w:t xml:space="preserve">(2), point   </w:t>
            </w:r>
          </w:p>
          <w:p>
            <w:pPr>
              <w:pStyle w:val="1"/>
              <w:jc w:val="both"/>
            </w:pPr>
            <w:r>
              <w:rPr>
                <w:sz w:val="14"/>
              </w:rPr>
              <w:t xml:space="preserve">(a)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12   </w:t>
            </w:r>
          </w:p>
          <w:p>
            <w:pPr>
              <w:pStyle w:val="1"/>
              <w:jc w:val="both"/>
            </w:pPr>
            <w:r>
              <w:rPr>
                <w:sz w:val="14"/>
              </w:rPr>
              <w:t xml:space="preserve">(1)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55   </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12   </w:t>
            </w:r>
          </w:p>
          <w:p>
            <w:pPr>
              <w:pStyle w:val="1"/>
              <w:jc w:val="both"/>
            </w:pPr>
            <w:r>
              <w:rPr>
                <w:sz w:val="14"/>
              </w:rPr>
              <w:t xml:space="preserve">(2), first   </w:t>
            </w:r>
          </w:p>
          <w:p>
            <w:pPr>
              <w:pStyle w:val="1"/>
              <w:jc w:val="both"/>
            </w:pPr>
            <w:r>
              <w:rPr>
                <w:sz w:val="14"/>
              </w:rPr>
              <w:t xml:space="preserve">and second   </w:t>
            </w:r>
          </w:p>
          <w:p>
            <w:pPr>
              <w:pStyle w:val="1"/>
              <w:jc w:val="both"/>
            </w:pPr>
            <w:r>
              <w:rPr>
                <w:sz w:val="14"/>
              </w:rPr>
              <w:t xml:space="preserve">sentence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55   </w:t>
            </w:r>
          </w:p>
          <w:p>
            <w:pPr>
              <w:pStyle w:val="1"/>
              <w:jc w:val="both"/>
            </w:pPr>
            <w:r>
              <w:rPr>
                <w:sz w:val="14"/>
              </w:rPr>
              <w:t xml:space="preserve">(2)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12   </w:t>
            </w:r>
          </w:p>
          <w:p>
            <w:pPr>
              <w:pStyle w:val="1"/>
              <w:jc w:val="both"/>
            </w:pPr>
            <w:r>
              <w:rPr>
                <w:sz w:val="14"/>
              </w:rPr>
              <w:t xml:space="preserve">(2), third   </w:t>
            </w:r>
          </w:p>
          <w:p>
            <w:pPr>
              <w:pStyle w:val="1"/>
              <w:jc w:val="both"/>
            </w:pPr>
            <w:r>
              <w:rPr>
                <w:sz w:val="14"/>
              </w:rPr>
              <w:t xml:space="preserve">sentence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55   </w:t>
            </w:r>
          </w:p>
          <w:p>
            <w:pPr>
              <w:pStyle w:val="1"/>
              <w:jc w:val="both"/>
            </w:pPr>
            <w:r>
              <w:rPr>
                <w:sz w:val="14"/>
              </w:rPr>
              <w:t xml:space="preserve">(3)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13   </w:t>
            </w:r>
          </w:p>
          <w:p>
            <w:pPr>
              <w:pStyle w:val="1"/>
              <w:jc w:val="both"/>
            </w:pPr>
            <w:r>
              <w:rPr>
                <w:sz w:val="14"/>
              </w:rPr>
              <w:t xml:space="preserve">(1)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45   </w:t>
            </w:r>
          </w:p>
          <w:p>
            <w:pPr>
              <w:pStyle w:val="1"/>
              <w:jc w:val="both"/>
            </w:pPr>
            <w:r>
              <w:rPr>
                <w:sz w:val="14"/>
              </w:rPr>
              <w:t xml:space="preserve">(1), point   </w:t>
            </w:r>
          </w:p>
          <w:p>
            <w:pPr>
              <w:pStyle w:val="1"/>
              <w:jc w:val="both"/>
            </w:pPr>
            <w:r>
              <w:rPr>
                <w:sz w:val="14"/>
              </w:rPr>
              <w:t xml:space="preserve">(f)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13   </w:t>
            </w:r>
          </w:p>
          <w:p>
            <w:pPr>
              <w:pStyle w:val="1"/>
              <w:jc w:val="both"/>
            </w:pPr>
            <w:r>
              <w:rPr>
                <w:sz w:val="14"/>
              </w:rPr>
              <w:t xml:space="preserve">(2)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47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13   </w:t>
            </w:r>
          </w:p>
          <w:p>
            <w:pPr>
              <w:pStyle w:val="1"/>
              <w:jc w:val="both"/>
            </w:pPr>
            <w:r>
              <w:rPr>
                <w:sz w:val="14"/>
              </w:rPr>
              <w:t xml:space="preserve">(3)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46   </w:t>
            </w:r>
          </w:p>
          <w:p>
            <w:pPr>
              <w:pStyle w:val="1"/>
              <w:jc w:val="both"/>
            </w:pPr>
            <w:r>
              <w:rPr>
                <w:sz w:val="14"/>
              </w:rPr>
              <w:t xml:space="preserve">(6)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13   </w:t>
            </w:r>
          </w:p>
          <w:p>
            <w:pPr>
              <w:pStyle w:val="1"/>
              <w:jc w:val="both"/>
            </w:pPr>
            <w:r>
              <w:rPr>
                <w:sz w:val="14"/>
              </w:rPr>
              <w:t xml:space="preserve">(4)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3, point</w:t>
            </w:r>
          </w:p>
          <w:p>
            <w:pPr>
              <w:pStyle w:val="1"/>
              <w:jc w:val="both"/>
            </w:pPr>
            <w:r>
              <w:rPr>
                <w:sz w:val="14"/>
              </w:rPr>
              <w:t xml:space="preserve">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14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15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16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20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II,    </w:t>
            </w:r>
          </w:p>
          <w:p>
            <w:pPr>
              <w:pStyle w:val="1"/>
              <w:jc w:val="both"/>
            </w:pPr>
            <w:r>
              <w:rPr>
                <w:sz w:val="14"/>
              </w:rPr>
              <w:t xml:space="preserve">first part   </w:t>
            </w:r>
          </w:p>
          <w:p>
            <w:pPr>
              <w:pStyle w:val="1"/>
              <w:jc w:val="both"/>
            </w:pPr>
            <w:r>
              <w:rPr>
                <w:sz w:val="14"/>
              </w:rPr>
              <w:t xml:space="preserve">(without     </w:t>
            </w:r>
          </w:p>
          <w:p>
            <w:pPr>
              <w:pStyle w:val="1"/>
              <w:jc w:val="both"/>
            </w:pPr>
            <w:r>
              <w:rPr>
                <w:sz w:val="14"/>
              </w:rPr>
              <w:t xml:space="preserve">numbering)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4, point</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II,    </w:t>
            </w:r>
          </w:p>
          <w:p>
            <w:pPr>
              <w:pStyle w:val="1"/>
              <w:jc w:val="both"/>
            </w:pPr>
            <w:r>
              <w:rPr>
                <w:sz w:val="14"/>
              </w:rPr>
              <w:t xml:space="preserve">point 1,     </w:t>
            </w:r>
          </w:p>
          <w:p>
            <w:pPr>
              <w:pStyle w:val="1"/>
              <w:jc w:val="both"/>
            </w:pPr>
            <w:r>
              <w:rPr>
                <w:sz w:val="14"/>
              </w:rPr>
              <w:t xml:space="preserve">introductory </w:t>
            </w:r>
          </w:p>
          <w:p>
            <w:pPr>
              <w:pStyle w:val="1"/>
              <w:jc w:val="both"/>
            </w:pPr>
            <w:r>
              <w:rPr>
                <w:sz w:val="14"/>
              </w:rPr>
              <w:t xml:space="preserve">wording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4, point</w:t>
            </w:r>
          </w:p>
          <w:p>
            <w:pPr>
              <w:pStyle w:val="1"/>
              <w:jc w:val="both"/>
            </w:pPr>
            <w:r>
              <w:rPr>
                <w:sz w:val="14"/>
              </w:rPr>
              <w:t xml:space="preserve">2.1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II,    </w:t>
            </w:r>
          </w:p>
          <w:p>
            <w:pPr>
              <w:pStyle w:val="1"/>
              <w:jc w:val="both"/>
            </w:pPr>
            <w:r>
              <w:rPr>
                <w:sz w:val="14"/>
              </w:rPr>
              <w:t xml:space="preserve">points 1.1   </w:t>
            </w:r>
          </w:p>
          <w:p>
            <w:pPr>
              <w:pStyle w:val="1"/>
              <w:jc w:val="both"/>
            </w:pPr>
            <w:r>
              <w:rPr>
                <w:sz w:val="14"/>
              </w:rPr>
              <w:t xml:space="preserve">and 1.2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4,      </w:t>
            </w:r>
          </w:p>
          <w:p>
            <w:pPr>
              <w:pStyle w:val="1"/>
              <w:jc w:val="both"/>
            </w:pPr>
            <w:r>
              <w:rPr>
                <w:sz w:val="14"/>
              </w:rPr>
              <w:t xml:space="preserve">points 2.2   </w:t>
            </w:r>
          </w:p>
          <w:p>
            <w:pPr>
              <w:pStyle w:val="1"/>
              <w:jc w:val="both"/>
            </w:pPr>
            <w:r>
              <w:rPr>
                <w:sz w:val="14"/>
              </w:rPr>
              <w:t xml:space="preserve">and 2.3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Annex VI,    </w:t>
            </w:r>
          </w:p>
          <w:p>
            <w:pPr>
              <w:pStyle w:val="1"/>
              <w:jc w:val="both"/>
            </w:pPr>
            <w:r>
              <w:rPr>
                <w:sz w:val="14"/>
              </w:rPr>
              <w:t xml:space="preserve">Part 4, point</w:t>
            </w:r>
          </w:p>
          <w:p>
            <w:pPr>
              <w:pStyle w:val="1"/>
              <w:jc w:val="both"/>
            </w:pPr>
            <w:r>
              <w:rPr>
                <w:sz w:val="14"/>
              </w:rPr>
              <w:t xml:space="preserve">2.4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II,    </w:t>
            </w:r>
          </w:p>
          <w:p>
            <w:pPr>
              <w:pStyle w:val="1"/>
              <w:jc w:val="both"/>
            </w:pPr>
            <w:r>
              <w:rPr>
                <w:sz w:val="14"/>
              </w:rPr>
              <w:t xml:space="preserve">point 1.3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II,    </w:t>
            </w:r>
          </w:p>
          <w:p>
            <w:pPr>
              <w:pStyle w:val="1"/>
              <w:jc w:val="both"/>
            </w:pPr>
            <w:r>
              <w:rPr>
                <w:sz w:val="14"/>
              </w:rPr>
              <w:t xml:space="preserve">point 2.1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4, point</w:t>
            </w:r>
          </w:p>
          <w:p>
            <w:pPr>
              <w:pStyle w:val="1"/>
              <w:jc w:val="both"/>
            </w:pPr>
            <w:r>
              <w:rPr>
                <w:sz w:val="14"/>
              </w:rPr>
              <w:t xml:space="preserve">3.1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Annex VI,    </w:t>
            </w:r>
          </w:p>
          <w:p>
            <w:pPr>
              <w:pStyle w:val="1"/>
              <w:jc w:val="both"/>
            </w:pPr>
            <w:r>
              <w:rPr>
                <w:sz w:val="14"/>
              </w:rPr>
              <w:t xml:space="preserve">Part 4, point</w:t>
            </w:r>
          </w:p>
          <w:p>
            <w:pPr>
              <w:pStyle w:val="1"/>
              <w:jc w:val="both"/>
            </w:pPr>
            <w:r>
              <w:rPr>
                <w:sz w:val="14"/>
              </w:rPr>
              <w:t xml:space="preserve">3.2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II,    </w:t>
            </w:r>
          </w:p>
          <w:p>
            <w:pPr>
              <w:pStyle w:val="1"/>
              <w:jc w:val="both"/>
            </w:pPr>
            <w:r>
              <w:rPr>
                <w:sz w:val="14"/>
              </w:rPr>
              <w:t xml:space="preserve">point 2.2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4, point</w:t>
            </w:r>
          </w:p>
          <w:p>
            <w:pPr>
              <w:pStyle w:val="1"/>
              <w:jc w:val="both"/>
            </w:pPr>
            <w:r>
              <w:rPr>
                <w:sz w:val="14"/>
              </w:rPr>
              <w:t xml:space="preserve">3.3 and 3.4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II,    </w:t>
            </w:r>
          </w:p>
          <w:p>
            <w:pPr>
              <w:pStyle w:val="1"/>
              <w:jc w:val="both"/>
            </w:pPr>
            <w:r>
              <w:rPr>
                <w:sz w:val="14"/>
              </w:rPr>
              <w:t xml:space="preserve">point 3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4, point</w:t>
            </w:r>
          </w:p>
          <w:p>
            <w:pPr>
              <w:pStyle w:val="1"/>
              <w:jc w:val="both"/>
            </w:pPr>
            <w:r>
              <w:rPr>
                <w:sz w:val="14"/>
              </w:rPr>
              <w:t xml:space="preserve">4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III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6, point</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IV,    </w:t>
            </w:r>
          </w:p>
          <w:p>
            <w:pPr>
              <w:pStyle w:val="1"/>
              <w:jc w:val="both"/>
            </w:pPr>
            <w:r>
              <w:rPr>
                <w:sz w:val="14"/>
              </w:rPr>
              <w:t xml:space="preserve">table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5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IV,    </w:t>
            </w:r>
          </w:p>
          <w:p>
            <w:pPr>
              <w:pStyle w:val="1"/>
              <w:jc w:val="both"/>
            </w:pPr>
            <w:r>
              <w:rPr>
                <w:sz w:val="14"/>
              </w:rPr>
              <w:t xml:space="preserve">final        </w:t>
            </w:r>
          </w:p>
          <w:p>
            <w:pPr>
              <w:pStyle w:val="1"/>
              <w:jc w:val="both"/>
            </w:pPr>
            <w:r>
              <w:rPr>
                <w:sz w:val="14"/>
              </w:rPr>
              <w:t xml:space="preserve">sentence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     </w:t>
            </w:r>
          </w:p>
          <w:p>
            <w:pPr>
              <w:pStyle w:val="1"/>
              <w:jc w:val="both"/>
            </w:pPr>
            <w:r>
              <w:rPr>
                <w:sz w:val="14"/>
              </w:rPr>
              <w:t xml:space="preserve">point (a),   </w:t>
            </w:r>
          </w:p>
          <w:p>
            <w:pPr>
              <w:pStyle w:val="1"/>
              <w:jc w:val="both"/>
            </w:pPr>
            <w:r>
              <w:rPr>
                <w:sz w:val="14"/>
              </w:rPr>
              <w:t xml:space="preserve">table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3, point</w:t>
            </w:r>
          </w:p>
          <w:p>
            <w:pPr>
              <w:pStyle w:val="1"/>
              <w:jc w:val="both"/>
            </w:pPr>
            <w:r>
              <w:rPr>
                <w:sz w:val="14"/>
              </w:rPr>
              <w:t xml:space="preserve">1.1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     </w:t>
            </w:r>
          </w:p>
          <w:p>
            <w:pPr>
              <w:pStyle w:val="1"/>
              <w:jc w:val="both"/>
            </w:pPr>
            <w:r>
              <w:rPr>
                <w:sz w:val="14"/>
              </w:rPr>
              <w:t xml:space="preserve">point (a),   </w:t>
            </w:r>
          </w:p>
          <w:p>
            <w:pPr>
              <w:pStyle w:val="1"/>
              <w:jc w:val="both"/>
            </w:pPr>
            <w:r>
              <w:rPr>
                <w:sz w:val="14"/>
              </w:rPr>
              <w:t xml:space="preserve">final        </w:t>
            </w:r>
          </w:p>
          <w:p>
            <w:pPr>
              <w:pStyle w:val="1"/>
              <w:jc w:val="both"/>
            </w:pPr>
            <w:r>
              <w:rPr>
                <w:sz w:val="14"/>
              </w:rPr>
              <w:t xml:space="preserve">sentences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     </w:t>
            </w:r>
          </w:p>
          <w:p>
            <w:pPr>
              <w:pStyle w:val="1"/>
              <w:jc w:val="both"/>
            </w:pPr>
            <w:r>
              <w:rPr>
                <w:sz w:val="14"/>
              </w:rPr>
              <w:t xml:space="preserve">point (b),   </w:t>
            </w:r>
          </w:p>
          <w:p>
            <w:pPr>
              <w:pStyle w:val="1"/>
              <w:jc w:val="both"/>
            </w:pPr>
            <w:r>
              <w:rPr>
                <w:sz w:val="14"/>
              </w:rPr>
              <w:t xml:space="preserve">table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3, point</w:t>
            </w:r>
          </w:p>
          <w:p>
            <w:pPr>
              <w:pStyle w:val="1"/>
              <w:jc w:val="both"/>
            </w:pPr>
            <w:r>
              <w:rPr>
                <w:sz w:val="14"/>
              </w:rPr>
              <w:t xml:space="preserve">1.2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     </w:t>
            </w:r>
          </w:p>
          <w:p>
            <w:pPr>
              <w:pStyle w:val="1"/>
              <w:jc w:val="both"/>
            </w:pPr>
            <w:r>
              <w:rPr>
                <w:sz w:val="14"/>
              </w:rPr>
              <w:t xml:space="preserve">point (b),   </w:t>
            </w:r>
          </w:p>
          <w:p>
            <w:pPr>
              <w:pStyle w:val="1"/>
              <w:jc w:val="both"/>
            </w:pPr>
            <w:r>
              <w:rPr>
                <w:sz w:val="14"/>
              </w:rPr>
              <w:t xml:space="preserve">final        </w:t>
            </w:r>
          </w:p>
          <w:p>
            <w:pPr>
              <w:pStyle w:val="1"/>
              <w:jc w:val="both"/>
            </w:pPr>
            <w:r>
              <w:rPr>
                <w:sz w:val="14"/>
              </w:rPr>
              <w:t xml:space="preserve">sentence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     </w:t>
            </w:r>
          </w:p>
          <w:p>
            <w:pPr>
              <w:pStyle w:val="1"/>
              <w:jc w:val="both"/>
            </w:pPr>
            <w:r>
              <w:rPr>
                <w:sz w:val="14"/>
              </w:rPr>
              <w:t xml:space="preserve">point (c)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3, point</w:t>
            </w:r>
          </w:p>
          <w:p>
            <w:pPr>
              <w:pStyle w:val="1"/>
              <w:jc w:val="both"/>
            </w:pPr>
            <w:r>
              <w:rPr>
                <w:sz w:val="14"/>
              </w:rPr>
              <w:t xml:space="preserve">1.3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     </w:t>
            </w:r>
          </w:p>
          <w:p>
            <w:pPr>
              <w:pStyle w:val="1"/>
              <w:jc w:val="both"/>
            </w:pPr>
            <w:r>
              <w:rPr>
                <w:sz w:val="14"/>
              </w:rPr>
              <w:t xml:space="preserve">point (d)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3, point</w:t>
            </w:r>
          </w:p>
          <w:p>
            <w:pPr>
              <w:pStyle w:val="1"/>
              <w:jc w:val="both"/>
            </w:pPr>
            <w:r>
              <w:rPr>
                <w:sz w:val="14"/>
              </w:rPr>
              <w:t xml:space="preserve">1.4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     </w:t>
            </w:r>
          </w:p>
          <w:p>
            <w:pPr>
              <w:pStyle w:val="1"/>
              <w:jc w:val="both"/>
            </w:pPr>
            <w:r>
              <w:rPr>
                <w:sz w:val="14"/>
              </w:rPr>
              <w:t xml:space="preserve">point (e)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3, point</w:t>
            </w:r>
          </w:p>
          <w:p>
            <w:pPr>
              <w:pStyle w:val="1"/>
              <w:jc w:val="both"/>
            </w:pPr>
            <w:r>
              <w:rPr>
                <w:sz w:val="14"/>
              </w:rPr>
              <w:t xml:space="preserve">1.5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     </w:t>
            </w:r>
          </w:p>
          <w:p>
            <w:pPr>
              <w:pStyle w:val="1"/>
              <w:jc w:val="both"/>
            </w:pPr>
            <w:r>
              <w:rPr>
                <w:sz w:val="14"/>
              </w:rPr>
              <w:t xml:space="preserve">point (f)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3, point</w:t>
            </w:r>
          </w:p>
          <w:p>
            <w:pPr>
              <w:pStyle w:val="1"/>
              <w:jc w:val="both"/>
            </w:pPr>
            <w:r>
              <w:rPr>
                <w:sz w:val="14"/>
              </w:rPr>
              <w:t xml:space="preserve">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p>
            <w:pPr>
              <w:pStyle w:val="1"/>
              <w:jc w:val="both"/>
            </w:pPr>
            <w:r>
              <w:rPr>
                <w:sz w:val="14"/>
              </w:rPr>
              <w:t xml:space="preserve">Part 7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    </w:t>
            </w:r>
          </w:p>
        </w:tc>
        <w:tc>
          <w:tcPr>
            <w:tcW w:w="1215" w:type="dxa"/>
            <w:tcBorders>
              <w:top w:val="nil"/>
            </w:tcBorders>
          </w:tcPr>
          <w:p>
            <w:pPr>
              <w:pStyle w:val="1"/>
              <w:jc w:val="both"/>
            </w:pPr>
            <w:r>
              <w:rPr>
                <w:sz w:val="14"/>
              </w:rPr>
              <w:t xml:space="preserve">Article 28,  </w:t>
            </w:r>
          </w:p>
          <w:p>
            <w:pPr>
              <w:pStyle w:val="1"/>
              <w:jc w:val="both"/>
            </w:pPr>
            <w:r>
              <w:rPr>
                <w:sz w:val="14"/>
              </w:rPr>
              <w:t xml:space="preserve">first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(2)</w:t>
            </w:r>
          </w:p>
        </w:tc>
        <w:tc>
          <w:tcPr>
            <w:tcW w:w="1215" w:type="dxa"/>
            <w:tcBorders>
              <w:top w:val="nil"/>
            </w:tcBorders>
          </w:tcPr>
          <w:p>
            <w:pPr>
              <w:pStyle w:val="1"/>
              <w:jc w:val="both"/>
            </w:pPr>
            <w:r>
              <w:rPr>
                <w:sz w:val="14"/>
              </w:rPr>
              <w:t xml:space="preserve">Annex V, Part</w:t>
            </w:r>
          </w:p>
          <w:p>
            <w:pPr>
              <w:pStyle w:val="1"/>
              <w:jc w:val="both"/>
            </w:pPr>
            <w:r>
              <w:rPr>
                <w:sz w:val="14"/>
              </w:rPr>
              <w:t xml:space="preserve">1, point 1   </w:t>
            </w:r>
          </w:p>
          <w:p>
            <w:pPr>
              <w:pStyle w:val="1"/>
              <w:jc w:val="both"/>
            </w:pPr>
            <w:r>
              <w:rPr>
                <w:sz w:val="14"/>
              </w:rPr>
              <w:t xml:space="preserve">and Part 2,  </w:t>
            </w:r>
          </w:p>
          <w:p>
            <w:pPr>
              <w:pStyle w:val="1"/>
              <w:jc w:val="both"/>
            </w:pPr>
            <w:r>
              <w:rPr>
                <w:sz w:val="14"/>
              </w:rPr>
              <w:t xml:space="preserve">point 1,     </w:t>
            </w:r>
          </w:p>
          <w:p>
            <w:pPr>
              <w:pStyle w:val="1"/>
              <w:jc w:val="both"/>
            </w:pPr>
            <w:r>
              <w:rPr>
                <w:sz w:val="14"/>
              </w:rPr>
              <w:t xml:space="preserve">first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Annex V, Part</w:t>
            </w:r>
          </w:p>
          <w:p>
            <w:pPr>
              <w:pStyle w:val="1"/>
              <w:jc w:val="both"/>
            </w:pPr>
            <w:r>
              <w:rPr>
                <w:sz w:val="14"/>
              </w:rPr>
              <w:t xml:space="preserve">1, point 1   </w:t>
            </w:r>
          </w:p>
          <w:p>
            <w:pPr>
              <w:pStyle w:val="1"/>
              <w:jc w:val="both"/>
            </w:pPr>
            <w:r>
              <w:rPr>
                <w:sz w:val="14"/>
              </w:rPr>
              <w:t xml:space="preserve">and Part 2,  </w:t>
            </w:r>
          </w:p>
          <w:p>
            <w:pPr>
              <w:pStyle w:val="1"/>
              <w:jc w:val="both"/>
            </w:pPr>
            <w:r>
              <w:rPr>
                <w:sz w:val="14"/>
              </w:rPr>
              <w:t xml:space="preserve">point 1,     </w:t>
            </w:r>
          </w:p>
          <w:p>
            <w:pPr>
              <w:pStyle w:val="1"/>
              <w:jc w:val="both"/>
            </w:pPr>
            <w:r>
              <w:rPr>
                <w:sz w:val="14"/>
              </w:rPr>
              <w:t xml:space="preserve">second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(3)</w:t>
            </w:r>
          </w:p>
          <w:p>
            <w:pPr>
              <w:pStyle w:val="1"/>
              <w:jc w:val="both"/>
            </w:pPr>
            <w:r>
              <w:rPr>
                <w:sz w:val="14"/>
              </w:rPr>
              <w:t xml:space="preserve">second part  </w:t>
            </w:r>
          </w:p>
        </w:tc>
        <w:tc>
          <w:tcPr>
            <w:tcW w:w="1215" w:type="dxa"/>
            <w:tcBorders>
              <w:top w:val="nil"/>
            </w:tcBorders>
          </w:tcPr>
          <w:p>
            <w:pPr>
              <w:pStyle w:val="1"/>
              <w:jc w:val="both"/>
            </w:pPr>
            <w:r>
              <w:rPr>
                <w:sz w:val="14"/>
              </w:rPr>
              <w:t xml:space="preserve">Annex V, Part</w:t>
            </w:r>
          </w:p>
          <w:p>
            <w:pPr>
              <w:pStyle w:val="1"/>
              <w:jc w:val="both"/>
            </w:pPr>
            <w:r>
              <w:rPr>
                <w:sz w:val="14"/>
              </w:rPr>
              <w:t xml:space="preserve">1, point 1   </w:t>
            </w:r>
          </w:p>
          <w:p>
            <w:pPr>
              <w:pStyle w:val="1"/>
              <w:jc w:val="both"/>
            </w:pPr>
            <w:r>
              <w:rPr>
                <w:sz w:val="14"/>
              </w:rPr>
              <w:t xml:space="preserve">and Part 2,  </w:t>
            </w:r>
          </w:p>
          <w:p>
            <w:pPr>
              <w:pStyle w:val="1"/>
              <w:jc w:val="both"/>
            </w:pPr>
            <w:r>
              <w:rPr>
                <w:sz w:val="14"/>
              </w:rPr>
              <w:t xml:space="preserve">point 1,     </w:t>
            </w:r>
          </w:p>
          <w:p>
            <w:pPr>
              <w:pStyle w:val="1"/>
              <w:jc w:val="both"/>
            </w:pPr>
            <w:r>
              <w:rPr>
                <w:sz w:val="14"/>
              </w:rPr>
              <w:t xml:space="preserve">first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Annex V, Part</w:t>
            </w:r>
          </w:p>
          <w:p>
            <w:pPr>
              <w:pStyle w:val="1"/>
              <w:jc w:val="both"/>
            </w:pPr>
            <w:r>
              <w:rPr>
                <w:sz w:val="14"/>
              </w:rPr>
              <w:t xml:space="preserve">1, point 1   </w:t>
            </w:r>
          </w:p>
          <w:p>
            <w:pPr>
              <w:pStyle w:val="1"/>
              <w:jc w:val="both"/>
            </w:pPr>
            <w:r>
              <w:rPr>
                <w:sz w:val="14"/>
              </w:rPr>
              <w:t xml:space="preserve">and Part 2,  </w:t>
            </w:r>
          </w:p>
          <w:p>
            <w:pPr>
              <w:pStyle w:val="1"/>
              <w:jc w:val="both"/>
            </w:pPr>
            <w:r>
              <w:rPr>
                <w:sz w:val="14"/>
              </w:rPr>
              <w:t xml:space="preserve">point 1,     </w:t>
            </w:r>
          </w:p>
          <w:p>
            <w:pPr>
              <w:pStyle w:val="1"/>
              <w:jc w:val="both"/>
            </w:pPr>
            <w:r>
              <w:rPr>
                <w:sz w:val="14"/>
              </w:rPr>
              <w:t xml:space="preserve">second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(4)</w:t>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(6), first   </w:t>
            </w:r>
          </w:p>
          <w:p>
            <w:pPr>
              <w:pStyle w:val="1"/>
              <w:jc w:val="both"/>
            </w:pPr>
            <w:r>
              <w:rPr>
                <w:sz w:val="14"/>
              </w:rPr>
              <w:t xml:space="preserve">part         </w:t>
            </w:r>
          </w:p>
        </w:tc>
        <w:tc>
          <w:tcPr>
            <w:tcW w:w="1215" w:type="dxa"/>
            <w:tcBorders>
              <w:top w:val="nil"/>
            </w:tcBorders>
          </w:tcPr>
          <w:p>
            <w:pPr>
              <w:pStyle w:val="1"/>
              <w:jc w:val="both"/>
            </w:pPr>
            <w:r>
              <w:rPr>
                <w:sz w:val="14"/>
              </w:rPr>
              <w:t xml:space="preserve">Article 3    </w:t>
            </w:r>
          </w:p>
          <w:p>
            <w:pPr>
              <w:pStyle w:val="1"/>
              <w:jc w:val="both"/>
            </w:pPr>
            <w:r>
              <w:rPr>
                <w:sz w:val="14"/>
              </w:rPr>
              <w:t xml:space="preserve">(24)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(6), second  </w:t>
            </w:r>
          </w:p>
          <w:p>
            <w:pPr>
              <w:pStyle w:val="1"/>
              <w:jc w:val="both"/>
            </w:pPr>
            <w:r>
              <w:rPr>
                <w:sz w:val="14"/>
              </w:rPr>
              <w:t xml:space="preserve">part         </w:t>
            </w:r>
          </w:p>
        </w:tc>
        <w:tc>
          <w:tcPr>
            <w:tcW w:w="1215" w:type="dxa"/>
            <w:tcBorders>
              <w:top w:val="nil"/>
            </w:tcBorders>
          </w:tcPr>
          <w:p>
            <w:pPr>
              <w:pStyle w:val="1"/>
              <w:jc w:val="both"/>
            </w:pPr>
            <w:r>
              <w:rPr>
                <w:sz w:val="14"/>
              </w:rPr>
              <w:t xml:space="preserve">Article 28,  </w:t>
            </w:r>
          </w:p>
          <w:p>
            <w:pPr>
              <w:pStyle w:val="1"/>
              <w:jc w:val="both"/>
            </w:pPr>
            <w:r>
              <w:rPr>
                <w:sz w:val="14"/>
              </w:rPr>
              <w:t xml:space="preserve">second       </w:t>
            </w:r>
          </w:p>
          <w:p>
            <w:pPr>
              <w:pStyle w:val="1"/>
              <w:jc w:val="both"/>
            </w:pPr>
            <w:r>
              <w:rPr>
                <w:sz w:val="14"/>
              </w:rPr>
              <w:t xml:space="preserve">subparagraph,</w:t>
            </w:r>
          </w:p>
          <w:p>
            <w:pPr>
              <w:pStyle w:val="1"/>
              <w:jc w:val="both"/>
            </w:pPr>
            <w:r>
              <w:rPr>
                <w:sz w:val="14"/>
              </w:rPr>
              <w:t xml:space="preserve">point (j)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(7), first   </w:t>
            </w:r>
          </w:p>
          <w:p>
            <w:pPr>
              <w:pStyle w:val="1"/>
              <w:jc w:val="both"/>
            </w:pPr>
            <w:r>
              <w:rPr>
                <w:sz w:val="14"/>
              </w:rPr>
              <w:t xml:space="preserve">subparagraph </w:t>
            </w:r>
          </w:p>
        </w:tc>
        <w:tc>
          <w:tcPr>
            <w:tcW w:w="1215" w:type="dxa"/>
            <w:tcBorders>
              <w:top w:val="nil"/>
            </w:tcBorders>
          </w:tcPr>
          <w:p>
            <w:pPr>
              <w:pStyle w:val="1"/>
              <w:jc w:val="both"/>
            </w:pPr>
            <w:r>
              <w:rPr>
                <w:sz w:val="14"/>
              </w:rPr>
              <w:t xml:space="preserve">Article 3    </w:t>
            </w:r>
          </w:p>
          <w:p>
            <w:pPr>
              <w:pStyle w:val="1"/>
              <w:jc w:val="both"/>
            </w:pPr>
            <w:r>
              <w:rPr>
                <w:sz w:val="14"/>
              </w:rPr>
              <w:t xml:space="preserve">(25)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(7), second  </w:t>
            </w:r>
          </w:p>
          <w:p>
            <w:pPr>
              <w:pStyle w:val="1"/>
              <w:jc w:val="both"/>
            </w:pPr>
            <w:r>
              <w:rPr>
                <w:sz w:val="14"/>
              </w:rPr>
              <w:t xml:space="preserve">subparagraph,</w:t>
            </w:r>
          </w:p>
          <w:p>
            <w:pPr>
              <w:pStyle w:val="1"/>
              <w:jc w:val="both"/>
            </w:pPr>
            <w:r>
              <w:rPr>
                <w:sz w:val="14"/>
              </w:rPr>
              <w:t xml:space="preserve">first        </w:t>
            </w:r>
          </w:p>
          <w:p>
            <w:pPr>
              <w:pStyle w:val="1"/>
              <w:jc w:val="both"/>
            </w:pPr>
            <w:r>
              <w:rPr>
                <w:sz w:val="14"/>
              </w:rPr>
              <w:t xml:space="preserve">sentence     </w:t>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(7), second  </w:t>
            </w:r>
          </w:p>
          <w:p>
            <w:pPr>
              <w:pStyle w:val="1"/>
              <w:jc w:val="both"/>
            </w:pPr>
            <w:r>
              <w:rPr>
                <w:sz w:val="14"/>
              </w:rPr>
              <w:t xml:space="preserve">subparagraph,</w:t>
            </w:r>
          </w:p>
          <w:p>
            <w:pPr>
              <w:pStyle w:val="1"/>
              <w:jc w:val="both"/>
            </w:pPr>
            <w:r>
              <w:rPr>
                <w:sz w:val="14"/>
              </w:rPr>
              <w:t xml:space="preserve">second       </w:t>
            </w:r>
          </w:p>
          <w:p>
            <w:pPr>
              <w:pStyle w:val="1"/>
              <w:jc w:val="both"/>
            </w:pPr>
            <w:r>
              <w:rPr>
                <w:sz w:val="14"/>
              </w:rPr>
              <w:t xml:space="preserve">sentence and </w:t>
            </w:r>
          </w:p>
          <w:p>
            <w:pPr>
              <w:pStyle w:val="1"/>
              <w:jc w:val="both"/>
            </w:pPr>
            <w:r>
              <w:rPr>
                <w:sz w:val="14"/>
              </w:rPr>
              <w:t xml:space="preserve">points (a) to</w:t>
            </w:r>
          </w:p>
          <w:p>
            <w:pPr>
              <w:pStyle w:val="1"/>
              <w:jc w:val="both"/>
            </w:pPr>
            <w:r>
              <w:rPr>
                <w:sz w:val="14"/>
              </w:rPr>
              <w:t xml:space="preserve">(i)          </w:t>
            </w:r>
          </w:p>
        </w:tc>
        <w:tc>
          <w:tcPr>
            <w:tcW w:w="1215" w:type="dxa"/>
            <w:tcBorders>
              <w:top w:val="nil"/>
            </w:tcBorders>
          </w:tcPr>
          <w:p>
            <w:pPr>
              <w:pStyle w:val="1"/>
              <w:jc w:val="both"/>
            </w:pPr>
            <w:r>
              <w:rPr>
                <w:sz w:val="14"/>
              </w:rPr>
              <w:t xml:space="preserve">Article 28,  </w:t>
            </w:r>
          </w:p>
          <w:p>
            <w:pPr>
              <w:pStyle w:val="1"/>
              <w:jc w:val="both"/>
            </w:pPr>
            <w:r>
              <w:rPr>
                <w:sz w:val="14"/>
              </w:rPr>
              <w:t xml:space="preserve">second       </w:t>
            </w:r>
          </w:p>
          <w:p>
            <w:pPr>
              <w:pStyle w:val="1"/>
              <w:jc w:val="both"/>
            </w:pPr>
            <w:r>
              <w:rPr>
                <w:sz w:val="14"/>
              </w:rPr>
              <w:t xml:space="preserve">subparagraph </w:t>
            </w:r>
          </w:p>
          <w:p>
            <w:pPr>
              <w:pStyle w:val="1"/>
              <w:jc w:val="both"/>
            </w:pPr>
            <w:r>
              <w:rPr>
                <w:sz w:val="14"/>
              </w:rPr>
              <w:t xml:space="preserve">and points   </w:t>
            </w:r>
          </w:p>
          <w:p>
            <w:pPr>
              <w:pStyle w:val="1"/>
              <w:jc w:val="both"/>
            </w:pPr>
            <w:r>
              <w:rPr>
                <w:sz w:val="14"/>
              </w:rPr>
              <w:t xml:space="preserve">(a) to (i)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(7), second  </w:t>
            </w:r>
          </w:p>
          <w:p>
            <w:pPr>
              <w:pStyle w:val="1"/>
              <w:jc w:val="both"/>
            </w:pPr>
            <w:r>
              <w:rPr>
                <w:sz w:val="14"/>
              </w:rPr>
              <w:t xml:space="preserve">subparagraph,</w:t>
            </w:r>
          </w:p>
          <w:p>
            <w:pPr>
              <w:pStyle w:val="1"/>
              <w:jc w:val="both"/>
            </w:pPr>
            <w:r>
              <w:rPr>
                <w:sz w:val="14"/>
              </w:rPr>
              <w:t xml:space="preserve">point (j)    </w:t>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(7), third   </w:t>
            </w:r>
          </w:p>
          <w:p>
            <w:pPr>
              <w:pStyle w:val="1"/>
              <w:jc w:val="both"/>
            </w:pPr>
            <w:r>
              <w:rPr>
                <w:sz w:val="14"/>
              </w:rPr>
              <w:t xml:space="preserve">subparagraph </w:t>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29   </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(7), fourth  </w:t>
            </w:r>
          </w:p>
          <w:p>
            <w:pPr>
              <w:pStyle w:val="1"/>
              <w:jc w:val="both"/>
            </w:pPr>
            <w:r>
              <w:rPr>
                <w:sz w:val="14"/>
              </w:rPr>
              <w:t xml:space="preserve">subparagraph </w:t>
            </w:r>
          </w:p>
        </w:tc>
        <w:tc>
          <w:tcPr>
            <w:tcW w:w="1215" w:type="dxa"/>
            <w:tcBorders>
              <w:top w:val="nil"/>
            </w:tcBorders>
          </w:tcPr>
          <w:p>
            <w:pPr>
              <w:pStyle w:val="1"/>
              <w:jc w:val="both"/>
            </w:pPr>
            <w:r>
              <w:rPr>
                <w:sz w:val="14"/>
              </w:rPr>
              <w:t xml:space="preserve">Article 29   </w:t>
            </w:r>
          </w:p>
          <w:p>
            <w:pPr>
              <w:pStyle w:val="1"/>
              <w:jc w:val="both"/>
            </w:pPr>
            <w:r>
              <w:rPr>
                <w:sz w:val="14"/>
              </w:rPr>
              <w:t xml:space="preserve">(2)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29   </w:t>
            </w:r>
          </w:p>
          <w:p>
            <w:pPr>
              <w:pStyle w:val="1"/>
              <w:jc w:val="both"/>
            </w:pPr>
            <w:r>
              <w:rPr>
                <w:sz w:val="14"/>
              </w:rPr>
              <w:t xml:space="preserve">(3)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(8)</w:t>
            </w:r>
          </w:p>
        </w:tc>
        <w:tc>
          <w:tcPr>
            <w:tcW w:w="1215" w:type="dxa"/>
            <w:tcBorders>
              <w:top w:val="nil"/>
            </w:tcBorders>
          </w:tcPr>
          <w:p>
            <w:pPr>
              <w:pStyle w:val="1"/>
              <w:jc w:val="both"/>
            </w:pPr>
            <w:r>
              <w:rPr>
                <w:sz w:val="14"/>
              </w:rPr>
              <w:t xml:space="preserve">Article 3    </w:t>
            </w:r>
          </w:p>
          <w:p>
            <w:pPr>
              <w:pStyle w:val="1"/>
              <w:jc w:val="both"/>
            </w:pPr>
            <w:r>
              <w:rPr>
                <w:sz w:val="14"/>
              </w:rPr>
              <w:t xml:space="preserve">(32)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(9)</w:t>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(10)         </w:t>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(11)         </w:t>
            </w:r>
          </w:p>
        </w:tc>
        <w:tc>
          <w:tcPr>
            <w:tcW w:w="1215" w:type="dxa"/>
            <w:tcBorders>
              <w:top w:val="nil"/>
            </w:tcBorders>
          </w:tcPr>
          <w:p>
            <w:pPr>
              <w:pStyle w:val="1"/>
              <w:jc w:val="both"/>
            </w:pPr>
            <w:r>
              <w:rPr>
                <w:sz w:val="14"/>
              </w:rPr>
              <w:t xml:space="preserve">Article 3    </w:t>
            </w:r>
          </w:p>
          <w:p>
            <w:pPr>
              <w:pStyle w:val="1"/>
              <w:jc w:val="both"/>
            </w:pPr>
            <w:r>
              <w:rPr>
                <w:sz w:val="14"/>
              </w:rPr>
              <w:t xml:space="preserve">(31)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(12)         </w:t>
            </w:r>
          </w:p>
        </w:tc>
        <w:tc>
          <w:tcPr>
            <w:tcW w:w="1215" w:type="dxa"/>
            <w:tcBorders>
              <w:top w:val="nil"/>
            </w:tcBorders>
          </w:tcPr>
          <w:p>
            <w:pPr>
              <w:pStyle w:val="1"/>
              <w:jc w:val="both"/>
            </w:pPr>
            <w:r>
              <w:rPr>
                <w:sz w:val="14"/>
              </w:rPr>
              <w:t xml:space="preserve">Article 3    </w:t>
            </w:r>
          </w:p>
          <w:p>
            <w:pPr>
              <w:pStyle w:val="1"/>
              <w:jc w:val="both"/>
            </w:pPr>
            <w:r>
              <w:rPr>
                <w:sz w:val="14"/>
              </w:rPr>
              <w:t xml:space="preserve">(33)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2    </w:t>
            </w:r>
          </w:p>
          <w:p>
            <w:pPr>
              <w:pStyle w:val="1"/>
              <w:jc w:val="both"/>
            </w:pPr>
            <w:r>
              <w:rPr>
                <w:sz w:val="14"/>
              </w:rPr>
              <w:t xml:space="preserve">(13)         </w:t>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3    </w:t>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 (1)</w:t>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 (2)</w:t>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4 (3)</w:t>
            </w:r>
          </w:p>
          <w:p>
            <w:pPr>
              <w:pStyle w:val="1"/>
              <w:jc w:val="both"/>
            </w:pPr>
            <w:r>
              <w:rPr>
                <w:sz w:val="14"/>
              </w:rPr>
              <w:t xml:space="preserve">to 4 (8)     </w:t>
            </w:r>
          </w:p>
        </w:tc>
        <w:tc>
          <w:tcPr>
            <w:tcW w:w="1215" w:type="dxa"/>
            <w:tcBorders>
              <w:top w:val="nil"/>
            </w:tcBorders>
          </w:tcPr>
          <w:p>
            <w:pPr>
              <w:pStyle w:val="1"/>
              <w:jc w:val="both"/>
            </w:pPr>
            <w:r>
              <w:rPr>
                <w:sz w:val="14"/>
              </w:rPr>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 (1)</w:t>
            </w:r>
          </w:p>
        </w:tc>
        <w:tc>
          <w:tcPr>
            <w:tcW w:w="1215" w:type="dxa"/>
            <w:tcBorders>
              <w:top w:val="nil"/>
            </w:tcBorders>
          </w:tcPr>
          <w:p>
            <w:pPr>
              <w:pStyle w:val="1"/>
              <w:jc w:val="both"/>
            </w:pPr>
            <w:r>
              <w:rPr>
                <w:sz w:val="14"/>
              </w:rPr>
              <w:t xml:space="preserve">Annex V, Part</w:t>
            </w:r>
          </w:p>
          <w:p>
            <w:pPr>
              <w:pStyle w:val="1"/>
              <w:jc w:val="both"/>
            </w:pPr>
            <w:r>
              <w:rPr>
                <w:sz w:val="14"/>
              </w:rPr>
              <w:t xml:space="preserve">1, point 2,  </w:t>
            </w:r>
          </w:p>
          <w:p>
            <w:pPr>
              <w:pStyle w:val="1"/>
              <w:jc w:val="both"/>
            </w:pPr>
            <w:r>
              <w:rPr>
                <w:sz w:val="14"/>
              </w:rPr>
              <w:t xml:space="preserve">second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 Part</w:t>
            </w:r>
          </w:p>
          <w:p>
            <w:pPr>
              <w:pStyle w:val="1"/>
              <w:jc w:val="both"/>
            </w:pPr>
            <w:r>
              <w:rPr>
                <w:sz w:val="14"/>
              </w:rPr>
              <w:t xml:space="preserve">1, point 2,  </w:t>
            </w:r>
          </w:p>
          <w:p>
            <w:pPr>
              <w:pStyle w:val="1"/>
              <w:jc w:val="both"/>
            </w:pPr>
            <w:r>
              <w:rPr>
                <w:sz w:val="14"/>
              </w:rPr>
              <w:t xml:space="preserve">first, third </w:t>
            </w:r>
          </w:p>
          <w:p>
            <w:pPr>
              <w:pStyle w:val="1"/>
              <w:jc w:val="both"/>
            </w:pPr>
            <w:r>
              <w:rPr>
                <w:sz w:val="14"/>
              </w:rPr>
              <w:t xml:space="preserve">and fourth   </w:t>
            </w:r>
          </w:p>
          <w:p>
            <w:pPr>
              <w:pStyle w:val="1"/>
              <w:jc w:val="both"/>
            </w:pPr>
            <w:r>
              <w:rPr>
                <w:sz w:val="14"/>
              </w:rPr>
              <w:t xml:space="preserve">subparagraphs</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5 (2)</w:t>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6    </w:t>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7 (1)</w:t>
            </w:r>
          </w:p>
        </w:tc>
        <w:tc>
          <w:tcPr>
            <w:tcW w:w="1215" w:type="dxa"/>
            <w:tcBorders>
              <w:top w:val="nil"/>
            </w:tcBorders>
          </w:tcPr>
          <w:p>
            <w:pPr>
              <w:pStyle w:val="1"/>
              <w:jc w:val="both"/>
            </w:pPr>
            <w:r>
              <w:rPr>
                <w:sz w:val="14"/>
              </w:rPr>
              <w:t xml:space="preserve">Article 37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7 (2)</w:t>
            </w:r>
          </w:p>
        </w:tc>
        <w:tc>
          <w:tcPr>
            <w:tcW w:w="1215" w:type="dxa"/>
            <w:tcBorders>
              <w:top w:val="nil"/>
            </w:tcBorders>
          </w:tcPr>
          <w:p>
            <w:pPr>
              <w:pStyle w:val="1"/>
              <w:jc w:val="both"/>
            </w:pPr>
            <w:r>
              <w:rPr>
                <w:sz w:val="14"/>
              </w:rPr>
              <w:t xml:space="preserve">Article 30   </w:t>
            </w:r>
          </w:p>
          <w:p>
            <w:pPr>
              <w:pStyle w:val="1"/>
              <w:jc w:val="both"/>
            </w:pPr>
            <w:r>
              <w:rPr>
                <w:sz w:val="14"/>
              </w:rPr>
              <w:t xml:space="preserve">(5)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7 (3)</w:t>
            </w:r>
          </w:p>
        </w:tc>
        <w:tc>
          <w:tcPr>
            <w:tcW w:w="1215" w:type="dxa"/>
            <w:tcBorders>
              <w:top w:val="nil"/>
            </w:tcBorders>
          </w:tcPr>
          <w:p>
            <w:pPr>
              <w:pStyle w:val="1"/>
              <w:jc w:val="both"/>
            </w:pPr>
            <w:r>
              <w:rPr>
                <w:sz w:val="14"/>
              </w:rPr>
              <w:t xml:space="preserve">Article 30   </w:t>
            </w:r>
          </w:p>
          <w:p>
            <w:pPr>
              <w:pStyle w:val="1"/>
              <w:jc w:val="both"/>
            </w:pPr>
            <w:r>
              <w:rPr>
                <w:sz w:val="14"/>
              </w:rPr>
              <w:t xml:space="preserve">(6)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 (1)</w:t>
            </w:r>
          </w:p>
        </w:tc>
        <w:tc>
          <w:tcPr>
            <w:tcW w:w="1215" w:type="dxa"/>
            <w:tcBorders>
              <w:top w:val="nil"/>
            </w:tcBorders>
          </w:tcPr>
          <w:p>
            <w:pPr>
              <w:pStyle w:val="1"/>
              <w:jc w:val="both"/>
            </w:pPr>
            <w:r>
              <w:rPr>
                <w:sz w:val="14"/>
              </w:rPr>
              <w:t xml:space="preserve">Article 40   </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    </w:t>
            </w:r>
          </w:p>
          <w:p>
            <w:pPr>
              <w:pStyle w:val="1"/>
              <w:jc w:val="both"/>
            </w:pPr>
            <w:r>
              <w:rPr>
                <w:sz w:val="14"/>
              </w:rPr>
              <w:t xml:space="preserve">(2), first   </w:t>
            </w:r>
          </w:p>
          <w:p>
            <w:pPr>
              <w:pStyle w:val="1"/>
              <w:jc w:val="both"/>
            </w:pPr>
            <w:r>
              <w:rPr>
                <w:sz w:val="14"/>
              </w:rPr>
              <w:t xml:space="preserve">part of first</w:t>
            </w:r>
          </w:p>
          <w:p>
            <w:pPr>
              <w:pStyle w:val="1"/>
              <w:jc w:val="both"/>
            </w:pPr>
            <w:r>
              <w:rPr>
                <w:sz w:val="14"/>
              </w:rPr>
              <w:t xml:space="preserve">subparagraph </w:t>
            </w:r>
          </w:p>
        </w:tc>
        <w:tc>
          <w:tcPr>
            <w:tcW w:w="1215" w:type="dxa"/>
            <w:tcBorders>
              <w:top w:val="nil"/>
            </w:tcBorders>
          </w:tcPr>
          <w:p>
            <w:pPr>
              <w:pStyle w:val="1"/>
              <w:jc w:val="both"/>
            </w:pPr>
            <w:r>
              <w:rPr>
                <w:sz w:val="14"/>
              </w:rPr>
              <w:t xml:space="preserve">Article 40   </w:t>
            </w:r>
          </w:p>
          <w:p>
            <w:pPr>
              <w:pStyle w:val="1"/>
              <w:jc w:val="both"/>
            </w:pPr>
            <w:r>
              <w:rPr>
                <w:sz w:val="14"/>
              </w:rPr>
              <w:t xml:space="preserve">(2), first   </w:t>
            </w:r>
          </w:p>
          <w:p>
            <w:pPr>
              <w:pStyle w:val="1"/>
              <w:jc w:val="both"/>
            </w:pPr>
            <w:r>
              <w:rPr>
                <w:sz w:val="14"/>
              </w:rPr>
              <w:t xml:space="preserve">part of first</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    </w:t>
            </w:r>
          </w:p>
          <w:p>
            <w:pPr>
              <w:pStyle w:val="1"/>
              <w:jc w:val="both"/>
            </w:pPr>
            <w:r>
              <w:rPr>
                <w:sz w:val="14"/>
              </w:rPr>
              <w:t xml:space="preserve">(2), second  </w:t>
            </w:r>
          </w:p>
          <w:p>
            <w:pPr>
              <w:pStyle w:val="1"/>
              <w:jc w:val="both"/>
            </w:pPr>
            <w:r>
              <w:rPr>
                <w:sz w:val="14"/>
              </w:rPr>
              <w:t xml:space="preserve">part of first</w:t>
            </w:r>
          </w:p>
          <w:p>
            <w:pPr>
              <w:pStyle w:val="1"/>
              <w:jc w:val="both"/>
            </w:pPr>
            <w:r>
              <w:rPr>
                <w:sz w:val="14"/>
              </w:rPr>
              <w:t xml:space="preserve">subparagraph </w:t>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40   </w:t>
            </w:r>
          </w:p>
          <w:p>
            <w:pPr>
              <w:pStyle w:val="1"/>
              <w:jc w:val="both"/>
            </w:pPr>
            <w:r>
              <w:rPr>
                <w:sz w:val="14"/>
              </w:rPr>
              <w:t xml:space="preserve">(2), second  </w:t>
            </w:r>
          </w:p>
          <w:p>
            <w:pPr>
              <w:pStyle w:val="1"/>
              <w:jc w:val="both"/>
            </w:pPr>
            <w:r>
              <w:rPr>
                <w:sz w:val="14"/>
              </w:rPr>
              <w:t xml:space="preserve">part of first</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40   </w:t>
            </w:r>
          </w:p>
          <w:p>
            <w:pPr>
              <w:pStyle w:val="1"/>
              <w:jc w:val="both"/>
            </w:pPr>
            <w:r>
              <w:rPr>
                <w:sz w:val="14"/>
              </w:rPr>
              <w:t xml:space="preserve">(2), second  </w:t>
            </w:r>
          </w:p>
          <w:p>
            <w:pPr>
              <w:pStyle w:val="1"/>
              <w:jc w:val="both"/>
            </w:pPr>
            <w:r>
              <w:rPr>
                <w:sz w:val="14"/>
              </w:rPr>
              <w:t xml:space="preserve">subparagraph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40   </w:t>
            </w:r>
          </w:p>
          <w:p>
            <w:pPr>
              <w:pStyle w:val="1"/>
              <w:jc w:val="both"/>
            </w:pPr>
            <w:r>
              <w:rPr>
                <w:sz w:val="14"/>
              </w:rPr>
              <w:t xml:space="preserve">(3)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41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    </w:t>
            </w:r>
          </w:p>
          <w:p>
            <w:pPr>
              <w:pStyle w:val="1"/>
              <w:jc w:val="both"/>
            </w:pPr>
            <w:r>
              <w:rPr>
                <w:sz w:val="14"/>
              </w:rPr>
              <w:t xml:space="preserve">(2), second  </w:t>
            </w:r>
          </w:p>
          <w:p>
            <w:pPr>
              <w:pStyle w:val="1"/>
              <w:jc w:val="both"/>
            </w:pPr>
            <w:r>
              <w:rPr>
                <w:sz w:val="14"/>
              </w:rPr>
              <w:t xml:space="preserve">subparagraph </w:t>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8 (3)</w:t>
            </w:r>
          </w:p>
          <w:p>
            <w:pPr>
              <w:pStyle w:val="1"/>
              <w:jc w:val="both"/>
            </w:pPr>
            <w:r>
              <w:rPr>
                <w:sz w:val="14"/>
              </w:rPr>
              <w:t xml:space="preserve">and (4)      </w:t>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    </w:t>
            </w:r>
          </w:p>
        </w:tc>
        <w:tc>
          <w:tcPr>
            <w:tcW w:w="1215" w:type="dxa"/>
            <w:tcBorders>
              <w:top w:val="nil"/>
            </w:tcBorders>
          </w:tcPr>
          <w:p>
            <w:pPr>
              <w:pStyle w:val="1"/>
              <w:jc w:val="both"/>
            </w:pPr>
            <w:r>
              <w:rPr>
                <w:sz w:val="14"/>
              </w:rPr>
              <w:t xml:space="preserve">Article 30   </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30   </w:t>
            </w:r>
          </w:p>
          <w:p>
            <w:pPr>
              <w:pStyle w:val="1"/>
              <w:jc w:val="both"/>
            </w:pPr>
            <w:r>
              <w:rPr>
                <w:sz w:val="14"/>
              </w:rPr>
              <w:t xml:space="preserve">(2), (3) and </w:t>
            </w:r>
          </w:p>
          <w:p>
            <w:pPr>
              <w:pStyle w:val="1"/>
              <w:jc w:val="both"/>
            </w:pPr>
            <w:r>
              <w:rPr>
                <w:sz w:val="14"/>
              </w:rPr>
              <w:t xml:space="preserve">(4)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9a   </w:t>
            </w:r>
          </w:p>
        </w:tc>
        <w:tc>
          <w:tcPr>
            <w:tcW w:w="1215" w:type="dxa"/>
            <w:tcBorders>
              <w:top w:val="nil"/>
            </w:tcBorders>
          </w:tcPr>
          <w:p>
            <w:pPr>
              <w:pStyle w:val="1"/>
              <w:jc w:val="both"/>
            </w:pPr>
            <w:r>
              <w:rPr>
                <w:sz w:val="14"/>
              </w:rPr>
              <w:t xml:space="preserve">Article 36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10,  </w:t>
            </w:r>
          </w:p>
          <w:p>
            <w:pPr>
              <w:pStyle w:val="1"/>
              <w:jc w:val="both"/>
            </w:pPr>
            <w:r>
              <w:rPr>
                <w:sz w:val="14"/>
              </w:rPr>
              <w:t xml:space="preserve">first        </w:t>
            </w:r>
          </w:p>
          <w:p>
            <w:pPr>
              <w:pStyle w:val="1"/>
              <w:jc w:val="both"/>
            </w:pPr>
            <w:r>
              <w:rPr>
                <w:sz w:val="14"/>
              </w:rPr>
              <w:t xml:space="preserve">paragraph,   </w:t>
            </w:r>
          </w:p>
          <w:p>
            <w:pPr>
              <w:pStyle w:val="1"/>
              <w:jc w:val="both"/>
            </w:pPr>
            <w:r>
              <w:rPr>
                <w:sz w:val="14"/>
              </w:rPr>
              <w:t xml:space="preserve">first        </w:t>
            </w:r>
          </w:p>
          <w:p>
            <w:pPr>
              <w:pStyle w:val="1"/>
              <w:jc w:val="both"/>
            </w:pPr>
            <w:r>
              <w:rPr>
                <w:sz w:val="14"/>
              </w:rPr>
              <w:t xml:space="preserve">sentence     </w:t>
            </w:r>
          </w:p>
        </w:tc>
        <w:tc>
          <w:tcPr>
            <w:tcW w:w="1215" w:type="dxa"/>
            <w:tcBorders>
              <w:top w:val="nil"/>
            </w:tcBorders>
          </w:tcPr>
          <w:p>
            <w:pPr>
              <w:pStyle w:val="1"/>
              <w:jc w:val="both"/>
            </w:pPr>
            <w:r>
              <w:rPr>
                <w:sz w:val="14"/>
              </w:rPr>
              <w:t xml:space="preserve">Article 30   </w:t>
            </w:r>
          </w:p>
          <w:p>
            <w:pPr>
              <w:pStyle w:val="1"/>
              <w:jc w:val="both"/>
            </w:pPr>
            <w:r>
              <w:rPr>
                <w:sz w:val="14"/>
              </w:rPr>
              <w:t xml:space="preserve">(7), first   </w:t>
            </w:r>
          </w:p>
          <w:p>
            <w:pPr>
              <w:pStyle w:val="1"/>
              <w:jc w:val="both"/>
            </w:pPr>
            <w:r>
              <w:rPr>
                <w:sz w:val="14"/>
              </w:rPr>
              <w:t xml:space="preserve">sentence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30   </w:t>
            </w:r>
          </w:p>
          <w:p>
            <w:pPr>
              <w:pStyle w:val="1"/>
              <w:jc w:val="both"/>
            </w:pPr>
            <w:r>
              <w:rPr>
                <w:sz w:val="14"/>
              </w:rPr>
              <w:t xml:space="preserve">(7), second  </w:t>
            </w:r>
          </w:p>
          <w:p>
            <w:pPr>
              <w:pStyle w:val="1"/>
              <w:jc w:val="both"/>
            </w:pPr>
            <w:r>
              <w:rPr>
                <w:sz w:val="14"/>
              </w:rPr>
              <w:t xml:space="preserve">sentence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30   </w:t>
            </w:r>
          </w:p>
          <w:p>
            <w:pPr>
              <w:pStyle w:val="1"/>
              <w:jc w:val="both"/>
            </w:pPr>
            <w:r>
              <w:rPr>
                <w:sz w:val="14"/>
              </w:rPr>
              <w:t xml:space="preserve">(8) and (9)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31 to</w:t>
            </w:r>
          </w:p>
          <w:p>
            <w:pPr>
              <w:pStyle w:val="1"/>
              <w:jc w:val="both"/>
            </w:pPr>
            <w:r>
              <w:rPr>
                <w:sz w:val="14"/>
              </w:rPr>
              <w:t xml:space="preserve">35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10,  </w:t>
            </w:r>
          </w:p>
          <w:p>
            <w:pPr>
              <w:pStyle w:val="1"/>
              <w:jc w:val="both"/>
            </w:pPr>
            <w:r>
              <w:rPr>
                <w:sz w:val="14"/>
              </w:rPr>
              <w:t xml:space="preserve">first        </w:t>
            </w:r>
          </w:p>
          <w:p>
            <w:pPr>
              <w:pStyle w:val="1"/>
              <w:jc w:val="both"/>
            </w:pPr>
            <w:r>
              <w:rPr>
                <w:sz w:val="14"/>
              </w:rPr>
              <w:t xml:space="preserve">paragraph,   </w:t>
            </w:r>
          </w:p>
          <w:p>
            <w:pPr>
              <w:pStyle w:val="1"/>
              <w:jc w:val="both"/>
            </w:pPr>
            <w:r>
              <w:rPr>
                <w:sz w:val="14"/>
              </w:rPr>
              <w:t xml:space="preserve">second       </w:t>
            </w:r>
          </w:p>
          <w:p>
            <w:pPr>
              <w:pStyle w:val="1"/>
              <w:jc w:val="both"/>
            </w:pPr>
            <w:r>
              <w:rPr>
                <w:sz w:val="14"/>
              </w:rPr>
              <w:t xml:space="preserve">sentence     </w:t>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10,  </w:t>
            </w:r>
          </w:p>
          <w:p>
            <w:pPr>
              <w:pStyle w:val="1"/>
              <w:jc w:val="both"/>
            </w:pPr>
            <w:r>
              <w:rPr>
                <w:sz w:val="14"/>
              </w:rPr>
              <w:t xml:space="preserve">second       </w:t>
            </w:r>
          </w:p>
          <w:p>
            <w:pPr>
              <w:pStyle w:val="1"/>
              <w:jc w:val="both"/>
            </w:pPr>
            <w:r>
              <w:rPr>
                <w:sz w:val="14"/>
              </w:rPr>
              <w:t xml:space="preserve">paragraph    </w:t>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12,  </w:t>
            </w:r>
          </w:p>
          <w:p>
            <w:pPr>
              <w:pStyle w:val="1"/>
              <w:jc w:val="both"/>
            </w:pPr>
            <w:r>
              <w:rPr>
                <w:sz w:val="14"/>
              </w:rPr>
              <w:t xml:space="preserve">first        </w:t>
            </w:r>
          </w:p>
          <w:p>
            <w:pPr>
              <w:pStyle w:val="1"/>
              <w:jc w:val="both"/>
            </w:pPr>
            <w:r>
              <w:rPr>
                <w:sz w:val="14"/>
              </w:rPr>
              <w:t xml:space="preserve">sentence     </w:t>
            </w:r>
          </w:p>
        </w:tc>
        <w:tc>
          <w:tcPr>
            <w:tcW w:w="1215" w:type="dxa"/>
            <w:tcBorders>
              <w:top w:val="nil"/>
            </w:tcBorders>
          </w:tcPr>
          <w:p>
            <w:pPr>
              <w:pStyle w:val="1"/>
              <w:jc w:val="both"/>
            </w:pPr>
            <w:r>
              <w:rPr>
                <w:sz w:val="14"/>
              </w:rPr>
              <w:t xml:space="preserve">Article 38   </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12,  </w:t>
            </w:r>
          </w:p>
          <w:p>
            <w:pPr>
              <w:pStyle w:val="1"/>
              <w:jc w:val="both"/>
            </w:pPr>
            <w:r>
              <w:rPr>
                <w:sz w:val="14"/>
              </w:rPr>
              <w:t xml:space="preserve">second       </w:t>
            </w:r>
          </w:p>
          <w:p>
            <w:pPr>
              <w:pStyle w:val="1"/>
              <w:jc w:val="both"/>
            </w:pPr>
            <w:r>
              <w:rPr>
                <w:sz w:val="14"/>
              </w:rPr>
              <w:t xml:space="preserve">sentence     </w:t>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38   </w:t>
            </w:r>
          </w:p>
          <w:p>
            <w:pPr>
              <w:pStyle w:val="1"/>
              <w:jc w:val="both"/>
            </w:pPr>
            <w:r>
              <w:rPr>
                <w:sz w:val="14"/>
              </w:rPr>
              <w:t xml:space="preserve">(2), (3) and </w:t>
            </w:r>
          </w:p>
          <w:p>
            <w:pPr>
              <w:pStyle w:val="1"/>
              <w:jc w:val="both"/>
            </w:pPr>
            <w:r>
              <w:rPr>
                <w:sz w:val="14"/>
              </w:rPr>
              <w:t xml:space="preserve">(4)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Article 39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13   </w:t>
            </w:r>
          </w:p>
        </w:tc>
        <w:tc>
          <w:tcPr>
            <w:tcW w:w="1215" w:type="dxa"/>
            <w:tcBorders>
              <w:top w:val="nil"/>
            </w:tcBorders>
          </w:tcPr>
          <w:p>
            <w:pPr>
              <w:pStyle w:val="1"/>
              <w:jc w:val="both"/>
            </w:pPr>
            <w:r>
              <w:rPr>
                <w:sz w:val="14"/>
              </w:rPr>
              <w:t xml:space="preserve">Annex V, Part</w:t>
            </w:r>
          </w:p>
          <w:p>
            <w:pPr>
              <w:pStyle w:val="1"/>
              <w:jc w:val="both"/>
            </w:pPr>
            <w:r>
              <w:rPr>
                <w:sz w:val="14"/>
              </w:rPr>
              <w:t xml:space="preserve">3, third part</w:t>
            </w:r>
          </w:p>
          <w:p>
            <w:pPr>
              <w:pStyle w:val="1"/>
              <w:jc w:val="both"/>
            </w:pPr>
            <w:r>
              <w:rPr>
                <w:sz w:val="14"/>
              </w:rPr>
              <w:t xml:space="preserve">of point 8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14   </w:t>
            </w:r>
          </w:p>
        </w:tc>
        <w:tc>
          <w:tcPr>
            <w:tcW w:w="1215" w:type="dxa"/>
            <w:tcBorders>
              <w:top w:val="nil"/>
            </w:tcBorders>
          </w:tcPr>
          <w:p>
            <w:pPr>
              <w:pStyle w:val="1"/>
              <w:jc w:val="both"/>
            </w:pPr>
            <w:r>
              <w:rPr>
                <w:sz w:val="14"/>
              </w:rPr>
              <w:t xml:space="preserve">Annex V, Part</w:t>
            </w:r>
          </w:p>
          <w:p>
            <w:pPr>
              <w:pStyle w:val="1"/>
              <w:jc w:val="both"/>
            </w:pPr>
            <w:r>
              <w:rPr>
                <w:sz w:val="14"/>
              </w:rPr>
              <w:t xml:space="preserve">4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Annex V, Part</w:t>
            </w:r>
          </w:p>
          <w:p>
            <w:pPr>
              <w:pStyle w:val="1"/>
              <w:jc w:val="both"/>
            </w:pPr>
            <w:r>
              <w:rPr>
                <w:sz w:val="14"/>
              </w:rPr>
              <w:t xml:space="preserve">5, 6 and 7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15   </w:t>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Article 18   </w:t>
            </w:r>
          </w:p>
          <w:p>
            <w:pPr>
              <w:pStyle w:val="1"/>
              <w:jc w:val="both"/>
            </w:pPr>
            <w:r>
              <w:rPr>
                <w:sz w:val="14"/>
              </w:rPr>
              <w:t xml:space="preserve">(2)          </w:t>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      </w:t>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II     </w:t>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III and</w:t>
            </w:r>
          </w:p>
          <w:p>
            <w:pPr>
              <w:pStyle w:val="1"/>
              <w:jc w:val="both"/>
            </w:pPr>
            <w:r>
              <w:rPr>
                <w:sz w:val="14"/>
              </w:rPr>
              <w:t xml:space="preserve">IV           </w:t>
            </w:r>
          </w:p>
        </w:tc>
        <w:tc>
          <w:tcPr>
            <w:tcW w:w="1215" w:type="dxa"/>
            <w:tcBorders>
              <w:top w:val="nil"/>
            </w:tcBorders>
          </w:tcPr>
          <w:p>
            <w:pPr>
              <w:pStyle w:val="1"/>
              <w:jc w:val="both"/>
            </w:pPr>
            <w:r>
              <w:rPr>
                <w:sz w:val="14"/>
              </w:rPr>
              <w:t xml:space="preserve">Annex V,     </w:t>
            </w:r>
          </w:p>
          <w:p>
            <w:pPr>
              <w:pStyle w:val="1"/>
              <w:jc w:val="both"/>
            </w:pPr>
            <w:r>
              <w:rPr>
                <w:sz w:val="14"/>
              </w:rPr>
              <w:t xml:space="preserve">point 2 of   </w:t>
            </w:r>
          </w:p>
          <w:p>
            <w:pPr>
              <w:pStyle w:val="1"/>
              <w:jc w:val="both"/>
            </w:pPr>
            <w:r>
              <w:rPr>
                <w:sz w:val="14"/>
              </w:rPr>
              <w:t xml:space="preserve">Part 1 and   </w:t>
            </w:r>
          </w:p>
          <w:p>
            <w:pPr>
              <w:pStyle w:val="1"/>
              <w:jc w:val="both"/>
            </w:pPr>
            <w:r>
              <w:rPr>
                <w:sz w:val="14"/>
              </w:rPr>
              <w:t xml:space="preserve">Part 2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 A    </w:t>
            </w:r>
          </w:p>
        </w:tc>
        <w:tc>
          <w:tcPr>
            <w:tcW w:w="1215" w:type="dxa"/>
            <w:tcBorders>
              <w:top w:val="nil"/>
            </w:tcBorders>
          </w:tcPr>
          <w:p>
            <w:pPr>
              <w:pStyle w:val="1"/>
              <w:jc w:val="both"/>
            </w:pPr>
            <w:r>
              <w:rPr>
                <w:sz w:val="14"/>
              </w:rPr>
              <w:t xml:space="preserve">Annex V, Part</w:t>
            </w:r>
          </w:p>
          <w:p>
            <w:pPr>
              <w:pStyle w:val="1"/>
              <w:jc w:val="both"/>
            </w:pPr>
            <w:r>
              <w:rPr>
                <w:sz w:val="14"/>
              </w:rPr>
              <w:t xml:space="preserve">1, point 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 B    </w:t>
            </w:r>
          </w:p>
        </w:tc>
        <w:tc>
          <w:tcPr>
            <w:tcW w:w="1215" w:type="dxa"/>
            <w:tcBorders>
              <w:top w:val="nil"/>
            </w:tcBorders>
          </w:tcPr>
          <w:p>
            <w:pPr>
              <w:pStyle w:val="1"/>
              <w:jc w:val="both"/>
            </w:pPr>
            <w:r>
              <w:rPr>
                <w:sz w:val="14"/>
              </w:rPr>
              <w:t xml:space="preserve">Annex V, Part</w:t>
            </w:r>
          </w:p>
          <w:p>
            <w:pPr>
              <w:pStyle w:val="1"/>
              <w:jc w:val="both"/>
            </w:pPr>
            <w:r>
              <w:rPr>
                <w:sz w:val="14"/>
              </w:rPr>
              <w:t xml:space="preserve">2, point 3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A   </w:t>
            </w:r>
          </w:p>
        </w:tc>
        <w:tc>
          <w:tcPr>
            <w:tcW w:w="1215" w:type="dxa"/>
            <w:tcBorders>
              <w:top w:val="nil"/>
            </w:tcBorders>
          </w:tcPr>
          <w:p>
            <w:pPr>
              <w:pStyle w:val="1"/>
              <w:jc w:val="both"/>
            </w:pPr>
            <w:r>
              <w:rPr>
                <w:sz w:val="14"/>
              </w:rPr>
              <w:t xml:space="preserve">Annex V, Part</w:t>
            </w:r>
          </w:p>
          <w:p>
            <w:pPr>
              <w:pStyle w:val="1"/>
              <w:jc w:val="both"/>
            </w:pPr>
            <w:r>
              <w:rPr>
                <w:sz w:val="14"/>
              </w:rPr>
              <w:t xml:space="preserve">1, points 4  </w:t>
            </w:r>
          </w:p>
          <w:p>
            <w:pPr>
              <w:pStyle w:val="1"/>
              <w:jc w:val="both"/>
            </w:pPr>
            <w:r>
              <w:rPr>
                <w:sz w:val="14"/>
              </w:rPr>
              <w:t xml:space="preserve">and 6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Annex V, Part</w:t>
            </w:r>
          </w:p>
          <w:p>
            <w:pPr>
              <w:pStyle w:val="1"/>
              <w:jc w:val="both"/>
            </w:pPr>
            <w:r>
              <w:rPr>
                <w:sz w:val="14"/>
              </w:rPr>
              <w:t xml:space="preserve">1, point 5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B   </w:t>
            </w:r>
          </w:p>
        </w:tc>
        <w:tc>
          <w:tcPr>
            <w:tcW w:w="1215" w:type="dxa"/>
            <w:tcBorders>
              <w:top w:val="nil"/>
            </w:tcBorders>
          </w:tcPr>
          <w:p>
            <w:pPr>
              <w:pStyle w:val="1"/>
              <w:jc w:val="both"/>
            </w:pPr>
            <w:r>
              <w:rPr>
                <w:sz w:val="14"/>
              </w:rPr>
              <w:t xml:space="preserve">Annex V, Part</w:t>
            </w:r>
          </w:p>
          <w:p>
            <w:pPr>
              <w:pStyle w:val="1"/>
              <w:jc w:val="both"/>
            </w:pPr>
            <w:r>
              <w:rPr>
                <w:sz w:val="14"/>
              </w:rPr>
              <w:t xml:space="preserve">2, points 4  </w:t>
            </w:r>
          </w:p>
          <w:p>
            <w:pPr>
              <w:pStyle w:val="1"/>
              <w:jc w:val="both"/>
            </w:pPr>
            <w:r>
              <w:rPr>
                <w:sz w:val="14"/>
              </w:rPr>
              <w:t xml:space="preserve">and 6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Annex V, Part</w:t>
            </w:r>
          </w:p>
          <w:p>
            <w:pPr>
              <w:pStyle w:val="1"/>
              <w:jc w:val="both"/>
            </w:pPr>
            <w:r>
              <w:rPr>
                <w:sz w:val="14"/>
              </w:rPr>
              <w:t xml:space="preserve">2, point 5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 A  </w:t>
            </w:r>
          </w:p>
        </w:tc>
        <w:tc>
          <w:tcPr>
            <w:tcW w:w="1215" w:type="dxa"/>
            <w:tcBorders>
              <w:top w:val="nil"/>
            </w:tcBorders>
          </w:tcPr>
          <w:p>
            <w:pPr>
              <w:pStyle w:val="1"/>
              <w:jc w:val="both"/>
            </w:pPr>
            <w:r>
              <w:rPr>
                <w:sz w:val="14"/>
              </w:rPr>
              <w:t xml:space="preserve">Annex V, Part</w:t>
            </w:r>
          </w:p>
          <w:p>
            <w:pPr>
              <w:pStyle w:val="1"/>
              <w:jc w:val="both"/>
            </w:pPr>
            <w:r>
              <w:rPr>
                <w:sz w:val="14"/>
              </w:rPr>
              <w:t xml:space="preserve">1, points 7  </w:t>
            </w:r>
          </w:p>
          <w:p>
            <w:pPr>
              <w:pStyle w:val="1"/>
              <w:jc w:val="both"/>
            </w:pPr>
            <w:r>
              <w:rPr>
                <w:sz w:val="14"/>
              </w:rPr>
              <w:t xml:space="preserve">and 8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 B  </w:t>
            </w:r>
          </w:p>
        </w:tc>
        <w:tc>
          <w:tcPr>
            <w:tcW w:w="1215" w:type="dxa"/>
            <w:tcBorders>
              <w:top w:val="nil"/>
            </w:tcBorders>
          </w:tcPr>
          <w:p>
            <w:pPr>
              <w:pStyle w:val="1"/>
              <w:jc w:val="both"/>
            </w:pPr>
            <w:r>
              <w:rPr>
                <w:sz w:val="14"/>
              </w:rPr>
              <w:t xml:space="preserve">Annex V, Part</w:t>
            </w:r>
          </w:p>
          <w:p>
            <w:pPr>
              <w:pStyle w:val="1"/>
              <w:jc w:val="both"/>
            </w:pPr>
            <w:r>
              <w:rPr>
                <w:sz w:val="14"/>
              </w:rPr>
              <w:t xml:space="preserve">2, points 7  </w:t>
            </w:r>
          </w:p>
          <w:p>
            <w:pPr>
              <w:pStyle w:val="1"/>
              <w:jc w:val="both"/>
            </w:pPr>
            <w:r>
              <w:rPr>
                <w:sz w:val="14"/>
              </w:rPr>
              <w:t xml:space="preserve">and 8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VIII A </w:t>
            </w:r>
          </w:p>
          <w:p>
            <w:pPr>
              <w:pStyle w:val="1"/>
              <w:jc w:val="both"/>
            </w:pPr>
            <w:r>
              <w:rPr>
                <w:sz w:val="14"/>
              </w:rPr>
              <w:t xml:space="preserve">point 1      </w:t>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VIII A </w:t>
            </w:r>
          </w:p>
          <w:p>
            <w:pPr>
              <w:pStyle w:val="1"/>
              <w:jc w:val="both"/>
            </w:pPr>
            <w:r>
              <w:rPr>
                <w:sz w:val="14"/>
              </w:rPr>
              <w:t xml:space="preserve">point 2      </w:t>
            </w:r>
          </w:p>
        </w:tc>
        <w:tc>
          <w:tcPr>
            <w:tcW w:w="1215" w:type="dxa"/>
            <w:tcBorders>
              <w:top w:val="nil"/>
            </w:tcBorders>
          </w:tcPr>
          <w:p>
            <w:pPr>
              <w:pStyle w:val="1"/>
              <w:jc w:val="both"/>
            </w:pPr>
            <w:r>
              <w:rPr>
                <w:sz w:val="14"/>
              </w:rPr>
              <w:t xml:space="preserve">Annex V, Part</w:t>
            </w:r>
          </w:p>
          <w:p>
            <w:pPr>
              <w:pStyle w:val="1"/>
              <w:jc w:val="both"/>
            </w:pPr>
            <w:r>
              <w:rPr>
                <w:sz w:val="14"/>
              </w:rPr>
              <w:t xml:space="preserve">3, first part</w:t>
            </w:r>
          </w:p>
          <w:p>
            <w:pPr>
              <w:pStyle w:val="1"/>
              <w:jc w:val="both"/>
            </w:pPr>
            <w:r>
              <w:rPr>
                <w:sz w:val="14"/>
              </w:rPr>
              <w:t xml:space="preserve">of point 1   </w:t>
            </w:r>
          </w:p>
          <w:p>
            <w:pPr>
              <w:pStyle w:val="1"/>
              <w:jc w:val="both"/>
            </w:pPr>
            <w:r>
              <w:rPr>
                <w:sz w:val="14"/>
              </w:rPr>
              <w:t xml:space="preserve">and points 2,</w:t>
            </w:r>
          </w:p>
          <w:p>
            <w:pPr>
              <w:pStyle w:val="1"/>
              <w:jc w:val="both"/>
            </w:pPr>
            <w:r>
              <w:rPr>
                <w:sz w:val="14"/>
              </w:rPr>
              <w:t xml:space="preserve">3 and 5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Annex V, Part</w:t>
            </w:r>
          </w:p>
          <w:p>
            <w:pPr>
              <w:pStyle w:val="1"/>
              <w:jc w:val="both"/>
            </w:pPr>
            <w:r>
              <w:rPr>
                <w:sz w:val="14"/>
              </w:rPr>
              <w:t xml:space="preserve">3, second    </w:t>
            </w:r>
          </w:p>
          <w:p>
            <w:pPr>
              <w:pStyle w:val="1"/>
              <w:jc w:val="both"/>
            </w:pPr>
            <w:r>
              <w:rPr>
                <w:sz w:val="14"/>
              </w:rPr>
              <w:t xml:space="preserve">part of point</w:t>
            </w:r>
          </w:p>
          <w:p>
            <w:pPr>
              <w:pStyle w:val="1"/>
              <w:jc w:val="both"/>
            </w:pPr>
            <w:r>
              <w:rPr>
                <w:sz w:val="14"/>
              </w:rPr>
              <w:t xml:space="preserve">1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Annex V, Part</w:t>
            </w:r>
          </w:p>
          <w:p>
            <w:pPr>
              <w:pStyle w:val="1"/>
              <w:jc w:val="both"/>
            </w:pPr>
            <w:r>
              <w:rPr>
                <w:sz w:val="14"/>
              </w:rPr>
              <w:t xml:space="preserve">3, point 4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VIII A </w:t>
            </w:r>
          </w:p>
          <w:p>
            <w:pPr>
              <w:pStyle w:val="1"/>
              <w:jc w:val="both"/>
            </w:pPr>
            <w:r>
              <w:rPr>
                <w:sz w:val="14"/>
              </w:rPr>
              <w:t xml:space="preserve">point 3      </w:t>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VIII A </w:t>
            </w:r>
          </w:p>
          <w:p>
            <w:pPr>
              <w:pStyle w:val="1"/>
              <w:jc w:val="both"/>
            </w:pPr>
            <w:r>
              <w:rPr>
                <w:sz w:val="14"/>
              </w:rPr>
              <w:t xml:space="preserve">point 4      </w:t>
            </w:r>
          </w:p>
        </w:tc>
        <w:tc>
          <w:tcPr>
            <w:tcW w:w="1215" w:type="dxa"/>
            <w:tcBorders>
              <w:top w:val="nil"/>
            </w:tcBorders>
          </w:tcPr>
          <w:p>
            <w:pPr>
              <w:pStyle w:val="1"/>
              <w:jc w:val="both"/>
            </w:pPr>
            <w:r>
              <w:rPr>
                <w:sz w:val="14"/>
              </w:rPr>
              <w:t xml:space="preserve">Annex V, Part</w:t>
            </w:r>
          </w:p>
          <w:p>
            <w:pPr>
              <w:pStyle w:val="1"/>
              <w:jc w:val="both"/>
            </w:pPr>
            <w:r>
              <w:rPr>
                <w:sz w:val="14"/>
              </w:rPr>
              <w:t xml:space="preserve">3, point 6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VIII A </w:t>
            </w:r>
          </w:p>
          <w:p>
            <w:pPr>
              <w:pStyle w:val="1"/>
              <w:jc w:val="both"/>
            </w:pPr>
            <w:r>
              <w:rPr>
                <w:sz w:val="14"/>
              </w:rPr>
              <w:t xml:space="preserve">point 5      </w:t>
            </w:r>
          </w:p>
        </w:tc>
        <w:tc>
          <w:tcPr>
            <w:tcW w:w="1215" w:type="dxa"/>
            <w:tcBorders>
              <w:top w:val="nil"/>
            </w:tcBorders>
          </w:tcPr>
          <w:p>
            <w:pPr>
              <w:pStyle w:val="1"/>
              <w:jc w:val="both"/>
            </w:pPr>
            <w:r>
              <w:rPr>
                <w:sz w:val="14"/>
              </w:rPr>
              <w:t xml:space="preserve">Annex V, Part</w:t>
            </w:r>
          </w:p>
          <w:p>
            <w:pPr>
              <w:pStyle w:val="1"/>
              <w:jc w:val="both"/>
            </w:pPr>
            <w:r>
              <w:rPr>
                <w:sz w:val="14"/>
              </w:rPr>
              <w:t xml:space="preserve">3, points 7  </w:t>
            </w:r>
          </w:p>
          <w:p>
            <w:pPr>
              <w:pStyle w:val="1"/>
              <w:jc w:val="both"/>
            </w:pPr>
            <w:r>
              <w:rPr>
                <w:sz w:val="14"/>
              </w:rPr>
              <w:t xml:space="preserve">and 8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VIII A </w:t>
            </w:r>
          </w:p>
          <w:p>
            <w:pPr>
              <w:pStyle w:val="1"/>
              <w:jc w:val="both"/>
            </w:pPr>
            <w:r>
              <w:rPr>
                <w:sz w:val="14"/>
              </w:rPr>
              <w:t xml:space="preserve">point 6      </w:t>
            </w:r>
          </w:p>
        </w:tc>
        <w:tc>
          <w:tcPr>
            <w:tcW w:w="1215" w:type="dxa"/>
            <w:tcBorders>
              <w:top w:val="nil"/>
            </w:tcBorders>
          </w:tcPr>
          <w:p>
            <w:pPr>
              <w:pStyle w:val="1"/>
              <w:jc w:val="both"/>
            </w:pPr>
            <w:r>
              <w:rPr>
                <w:sz w:val="14"/>
              </w:rPr>
              <w:t xml:space="preserve">Annex V, Part</w:t>
            </w:r>
          </w:p>
          <w:p>
            <w:pPr>
              <w:pStyle w:val="1"/>
              <w:jc w:val="both"/>
            </w:pPr>
            <w:r>
              <w:rPr>
                <w:sz w:val="14"/>
              </w:rPr>
              <w:t xml:space="preserve">3, points 9  </w:t>
            </w:r>
          </w:p>
          <w:p>
            <w:pPr>
              <w:pStyle w:val="1"/>
              <w:jc w:val="both"/>
            </w:pPr>
            <w:r>
              <w:rPr>
                <w:sz w:val="14"/>
              </w:rPr>
              <w:t xml:space="preserve">and 10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Annex V, Part</w:t>
            </w:r>
          </w:p>
          <w:p>
            <w:pPr>
              <w:pStyle w:val="1"/>
              <w:jc w:val="both"/>
            </w:pPr>
            <w:r>
              <w:rPr>
                <w:sz w:val="14"/>
              </w:rPr>
              <w:t xml:space="preserve">3, point 11  </w:t>
            </w:r>
          </w:p>
        </w:tc>
      </w:tr>
      <w:tr>
        <w:trPr>
          <w:trHeight w:val="180" w:hRule="atLeast"/>
        </w:trPr>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134"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      -      </w:t>
            </w:r>
          </w:p>
        </w:tc>
        <w:tc>
          <w:tcPr>
            <w:tcW w:w="1215" w:type="dxa"/>
            <w:tcBorders>
              <w:top w:val="nil"/>
            </w:tcBorders>
          </w:tcPr>
          <w:p>
            <w:pPr>
              <w:pStyle w:val="1"/>
              <w:jc w:val="both"/>
            </w:pPr>
            <w:r>
              <w:rPr>
                <w:sz w:val="14"/>
              </w:rPr>
              <w:t xml:space="preserve">Annex V, Part</w:t>
            </w:r>
          </w:p>
          <w:p>
            <w:pPr>
              <w:pStyle w:val="1"/>
              <w:jc w:val="both"/>
            </w:pPr>
            <w:r>
              <w:rPr>
                <w:sz w:val="14"/>
              </w:rPr>
              <w:t xml:space="preserve">4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VIII B </w:t>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VIII C </w:t>
            </w:r>
          </w:p>
        </w:tc>
        <w:tc>
          <w:tcPr>
            <w:tcW w:w="1215" w:type="dxa"/>
            <w:tcBorders>
              <w:top w:val="nil"/>
            </w:tcBorders>
          </w:tcPr>
          <w:p>
            <w:pPr>
              <w:pStyle w:val="1"/>
              <w:jc w:val="both"/>
            </w:pPr>
            <w:r>
              <w:rPr>
                <w:sz w:val="14"/>
              </w:rPr>
              <w:t xml:space="preserve">      -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IX     </w:t>
            </w:r>
          </w:p>
        </w:tc>
        <w:tc>
          <w:tcPr>
            <w:tcW w:w="1215" w:type="dxa"/>
            <w:tcBorders>
              <w:top w:val="nil"/>
            </w:tcBorders>
          </w:tcPr>
          <w:p>
            <w:pPr>
              <w:pStyle w:val="1"/>
              <w:jc w:val="both"/>
            </w:pPr>
            <w:r>
              <w:rPr>
                <w:sz w:val="14"/>
              </w:rPr>
              <w:t xml:space="preserve">Annex IX     </w:t>
            </w:r>
          </w:p>
        </w:tc>
      </w:tr>
      <w:tr>
        <w:trPr>
          <w:trHeight w:val="180" w:hRule="atLeast"/>
        </w:trPr>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134"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VII    </w:t>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r>
          </w:p>
        </w:tc>
        <w:tc>
          <w:tcPr>
            <w:tcW w:w="1215" w:type="dxa"/>
            <w:tcBorders>
              <w:top w:val="nil"/>
            </w:tcBorders>
          </w:tcPr>
          <w:p>
            <w:pPr>
              <w:pStyle w:val="1"/>
              <w:jc w:val="both"/>
            </w:pPr>
            <w:r>
              <w:rPr>
                <w:sz w:val="14"/>
              </w:rPr>
              <w:t xml:space="preserve">Annex X      </w:t>
            </w:r>
          </w:p>
        </w:tc>
        <w:tc>
          <w:tcPr>
            <w:tcW w:w="1215" w:type="dxa"/>
            <w:tcBorders>
              <w:top w:val="nil"/>
            </w:tcBorders>
          </w:tcPr>
          <w:p>
            <w:pPr>
              <w:pStyle w:val="1"/>
              <w:jc w:val="both"/>
            </w:pPr>
            <w:r>
              <w:rPr>
                <w:sz w:val="14"/>
              </w:rPr>
              <w:t xml:space="preserve">Annex X      </w:t>
            </w:r>
          </w:p>
        </w:tc>
      </w:tr>
    </w:tbl>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Директива N 2010/75/ЕС Европейского парламента и Совета Европейского Союза</w:t>
            <w:br/>
            <w:t>"О промышленных выбросах (о комплексном предо...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20.03.2024</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Директива N 2010/75/ЕС Европейского парламента и Совета Европейского Союза</w:t>
            <w:br/>
            <w:t>"О промышленных выбросах (о комплексном предо...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20.03.2024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INT&amp;n=43216" TargetMode = "External"/>
	<Relationship Id="rId8" Type="http://schemas.openxmlformats.org/officeDocument/2006/relationships/hyperlink" Target="https://login.consultant.ru/link/?req=doc&amp;base=INT&amp;n=43216&amp;dst=101354" TargetMode = "External"/>
	<Relationship Id="rId9" Type="http://schemas.openxmlformats.org/officeDocument/2006/relationships/hyperlink" Target="https://login.consultant.ru/link/?req=doc&amp;base=INT&amp;n=13669" TargetMode = "External"/>
	<Relationship Id="rId10" Type="http://schemas.openxmlformats.org/officeDocument/2006/relationships/hyperlink" Target="https://login.consultant.ru/link/?req=doc&amp;base=INT&amp;n=26397" TargetMode = "External"/>
	<Relationship Id="rId11" Type="http://schemas.openxmlformats.org/officeDocument/2006/relationships/hyperlink" Target="https://login.consultant.ru/link/?req=doc&amp;base=INT&amp;n=13670" TargetMode = "External"/>
	<Relationship Id="rId12" Type="http://schemas.openxmlformats.org/officeDocument/2006/relationships/hyperlink" Target="https://login.consultant.ru/link/?req=doc&amp;base=INT&amp;n=46709" TargetMode = "External"/>
	<Relationship Id="rId13" Type="http://schemas.openxmlformats.org/officeDocument/2006/relationships/hyperlink" Target="https://login.consultant.ru/link/?req=doc&amp;base=INT&amp;n=29397" TargetMode = "External"/>
	<Relationship Id="rId14" Type="http://schemas.openxmlformats.org/officeDocument/2006/relationships/hyperlink" Target="https://login.consultant.ru/link/?req=doc&amp;base=INT&amp;n=63809" TargetMode = "External"/>
	<Relationship Id="rId15" Type="http://schemas.openxmlformats.org/officeDocument/2006/relationships/hyperlink" Target="https://login.consultant.ru/link/?req=doc&amp;base=INT&amp;n=43216&amp;dst=101369" TargetMode = "External"/>
	<Relationship Id="rId16" Type="http://schemas.openxmlformats.org/officeDocument/2006/relationships/hyperlink" Target="https://login.consultant.ru/link/?req=doc&amp;base=INT&amp;n=6223" TargetMode = "External"/>
	<Relationship Id="rId17" Type="http://schemas.openxmlformats.org/officeDocument/2006/relationships/hyperlink" Target="https://login.consultant.ru/link/?req=doc&amp;base=INT&amp;n=67642" TargetMode = "External"/>
	<Relationship Id="rId18" Type="http://schemas.openxmlformats.org/officeDocument/2006/relationships/hyperlink" Target="https://login.consultant.ru/link/?req=doc&amp;base=INT&amp;n=43216&amp;dst=101983" TargetMode = "External"/>
	<Relationship Id="rId19" Type="http://schemas.openxmlformats.org/officeDocument/2006/relationships/hyperlink" Target="https://login.consultant.ru/link/?req=doc&amp;base=INT&amp;n=43216&amp;dst=101973" TargetMode = "External"/>
	<Relationship Id="rId20" Type="http://schemas.openxmlformats.org/officeDocument/2006/relationships/hyperlink" Target="https://login.consultant.ru/link/?req=doc&amp;base=INT&amp;n=43211&amp;dst=100099" TargetMode = "External"/>
	<Relationship Id="rId21" Type="http://schemas.openxmlformats.org/officeDocument/2006/relationships/hyperlink" Target="https://login.consultant.ru/link/?req=doc&amp;base=INT&amp;n=43211&amp;dst=100099" TargetMode = "External"/>
	<Relationship Id="rId22" Type="http://schemas.openxmlformats.org/officeDocument/2006/relationships/hyperlink" Target="https://login.consultant.ru/link/?req=doc&amp;base=INT&amp;n=43187" TargetMode = "External"/>
	<Relationship Id="rId23" Type="http://schemas.openxmlformats.org/officeDocument/2006/relationships/hyperlink" Target="https://login.consultant.ru/link/?req=doc&amp;base=INT&amp;n=43187&amp;dst=100178" TargetMode = "External"/>
	<Relationship Id="rId24" Type="http://schemas.openxmlformats.org/officeDocument/2006/relationships/hyperlink" Target="https://login.consultant.ru/link/?req=doc&amp;base=INT&amp;n=52614&amp;dst=100054" TargetMode = "External"/>
	<Relationship Id="rId25" Type="http://schemas.openxmlformats.org/officeDocument/2006/relationships/hyperlink" Target="https://login.consultant.ru/link/?req=doc&amp;base=INT&amp;n=60939&amp;dst=100064" TargetMode = "External"/>
	<Relationship Id="rId26" Type="http://schemas.openxmlformats.org/officeDocument/2006/relationships/hyperlink" Target="https://login.consultant.ru/link/?req=doc&amp;base=INT&amp;n=70434&amp;dst=100110" TargetMode = "External"/>
	<Relationship Id="rId27" Type="http://schemas.openxmlformats.org/officeDocument/2006/relationships/hyperlink" Target="https://login.consultant.ru/link/?req=doc&amp;base=INT&amp;n=57135&amp;dst=100212" TargetMode = "External"/>
	<Relationship Id="rId28" Type="http://schemas.openxmlformats.org/officeDocument/2006/relationships/hyperlink" Target="https://login.consultant.ru/link/?req=doc&amp;base=INT&amp;n=59792&amp;dst=100125" TargetMode = "External"/>
	<Relationship Id="rId29" Type="http://schemas.openxmlformats.org/officeDocument/2006/relationships/hyperlink" Target="https://login.consultant.ru/link/?req=doc&amp;base=INT&amp;n=57447&amp;dst=100142" TargetMode = "External"/>
	<Relationship Id="rId30" Type="http://schemas.openxmlformats.org/officeDocument/2006/relationships/hyperlink" Target="https://login.consultant.ru/link/?req=doc&amp;base=INT&amp;n=57447&amp;dst=100143" TargetMode = "External"/>
	<Relationship Id="rId31" Type="http://schemas.openxmlformats.org/officeDocument/2006/relationships/hyperlink" Target="https://login.consultant.ru/link/?req=doc&amp;base=INT&amp;n=58673&amp;dst=101986" TargetMode = "External"/>
	<Relationship Id="rId32" Type="http://schemas.openxmlformats.org/officeDocument/2006/relationships/hyperlink" Target="https://login.consultant.ru/link/?req=doc&amp;base=INT&amp;n=58673&amp;dst=102047" TargetMode = "External"/>
	<Relationship Id="rId33" Type="http://schemas.openxmlformats.org/officeDocument/2006/relationships/hyperlink" Target="https://login.consultant.ru/link/?req=doc&amp;base=INT&amp;n=58673" TargetMode = "External"/>
	<Relationship Id="rId34" Type="http://schemas.openxmlformats.org/officeDocument/2006/relationships/hyperlink" Target="https://login.consultant.ru/link/?req=doc&amp;base=INT&amp;n=38818&amp;dst=100038" TargetMode = "External"/>
	<Relationship Id="rId35" Type="http://schemas.openxmlformats.org/officeDocument/2006/relationships/hyperlink" Target="https://login.consultant.ru/link/?req=doc&amp;base=INT&amp;n=8074" TargetMode = "External"/>
	<Relationship Id="rId36" Type="http://schemas.openxmlformats.org/officeDocument/2006/relationships/hyperlink" Target="https://login.consultant.ru/link/?req=doc&amp;base=INT&amp;n=63809&amp;dst=100670" TargetMode = "External"/>
	<Relationship Id="rId37" Type="http://schemas.openxmlformats.org/officeDocument/2006/relationships/hyperlink" Target="https://login.consultant.ru/link/?req=doc&amp;base=INT&amp;n=63809&amp;dst=100670" TargetMode = "External"/>
	<Relationship Id="rId38" Type="http://schemas.openxmlformats.org/officeDocument/2006/relationships/hyperlink" Target="https://login.consultant.ru/link/?req=doc&amp;base=INT&amp;n=63809&amp;dst=100571" TargetMode = "External"/>
	<Relationship Id="rId39" Type="http://schemas.openxmlformats.org/officeDocument/2006/relationships/hyperlink" Target="https://login.consultant.ru/link/?req=doc&amp;base=INT&amp;n=57447" TargetMode = "External"/>
	<Relationship Id="rId40" Type="http://schemas.openxmlformats.org/officeDocument/2006/relationships/hyperlink" Target="https://login.consultant.ru/link/?req=doc&amp;base=INT&amp;n=57447" TargetMode = "External"/>
	<Relationship Id="rId41" Type="http://schemas.openxmlformats.org/officeDocument/2006/relationships/hyperlink" Target="https://login.consultant.ru/link/?req=doc&amp;base=INT&amp;n=59792" TargetMode = "External"/>
	<Relationship Id="rId42" Type="http://schemas.openxmlformats.org/officeDocument/2006/relationships/hyperlink" Target="https://login.consultant.ru/link/?req=doc&amp;base=INT&amp;n=8074" TargetMode = "External"/>
	<Relationship Id="rId43" Type="http://schemas.openxmlformats.org/officeDocument/2006/relationships/hyperlink" Target="https://login.consultant.ru/link/?req=doc&amp;base=INT&amp;n=61258" TargetMode = "External"/>
	<Relationship Id="rId44" Type="http://schemas.openxmlformats.org/officeDocument/2006/relationships/hyperlink" Target="https://login.consultant.ru/link/?req=doc&amp;base=INT&amp;n=65198" TargetMode = "External"/>
	<Relationship Id="rId45" Type="http://schemas.openxmlformats.org/officeDocument/2006/relationships/hyperlink" Target="https://login.consultant.ru/link/?req=doc&amp;base=INT&amp;n=65198" TargetMode = "External"/>
	<Relationship Id="rId46" Type="http://schemas.openxmlformats.org/officeDocument/2006/relationships/hyperlink" Target="https://login.consultant.ru/link/?req=doc&amp;base=INT&amp;n=55177" TargetMode = "External"/>
	<Relationship Id="rId47" Type="http://schemas.openxmlformats.org/officeDocument/2006/relationships/hyperlink" Target="https://login.consultant.ru/link/?req=doc&amp;base=INT&amp;n=55177&amp;dst=100096" TargetMode = "External"/>
	<Relationship Id="rId48" Type="http://schemas.openxmlformats.org/officeDocument/2006/relationships/hyperlink" Target="https://login.consultant.ru/link/?req=doc&amp;base=INT&amp;n=55177&amp;dst=100103" TargetMode = "External"/>
	<Relationship Id="rId49" Type="http://schemas.openxmlformats.org/officeDocument/2006/relationships/hyperlink" Target="https://login.consultant.ru/link/?req=doc&amp;base=INT&amp;n=13670&amp;dst=100102" TargetMode = "External"/>
	<Relationship Id="rId50" Type="http://schemas.openxmlformats.org/officeDocument/2006/relationships/hyperlink" Target="https://login.consultant.ru/link/?req=doc&amp;base=INT&amp;n=13670&amp;dst=100102" TargetMode = "External"/>
	<Relationship Id="rId51" Type="http://schemas.openxmlformats.org/officeDocument/2006/relationships/hyperlink" Target="https://login.consultant.ru/link/?req=doc&amp;base=INT&amp;n=13670" TargetMode = "External"/>
	<Relationship Id="rId52" Type="http://schemas.openxmlformats.org/officeDocument/2006/relationships/hyperlink" Target="https://login.consultant.ru/link/?req=doc&amp;base=INT&amp;n=46709" TargetMode = "External"/>
	<Relationship Id="rId53" Type="http://schemas.openxmlformats.org/officeDocument/2006/relationships/hyperlink" Target="https://login.consultant.ru/link/?req=doc&amp;base=INT&amp;n=13670&amp;dst=100480" TargetMode = "External"/>
	<Relationship Id="rId54" Type="http://schemas.openxmlformats.org/officeDocument/2006/relationships/hyperlink" Target="https://login.consultant.ru/link/?req=doc&amp;base=INT&amp;n=13670&amp;dst=100570" TargetMode = "External"/>
	<Relationship Id="rId55" Type="http://schemas.openxmlformats.org/officeDocument/2006/relationships/hyperlink" Target="https://login.consultant.ru/link/?req=doc&amp;base=INT&amp;n=13670&amp;dst=100520" TargetMode = "External"/>
	<Relationship Id="rId56" Type="http://schemas.openxmlformats.org/officeDocument/2006/relationships/hyperlink" Target="https://login.consultant.ru/link/?req=doc&amp;base=INT&amp;n=13670" TargetMode = "External"/>
	<Relationship Id="rId57" Type="http://schemas.openxmlformats.org/officeDocument/2006/relationships/hyperlink" Target="https://login.consultant.ru/link/?req=doc&amp;base=INT&amp;n=46709" TargetMode = "External"/>
	<Relationship Id="rId58" Type="http://schemas.openxmlformats.org/officeDocument/2006/relationships/hyperlink" Target="https://login.consultant.ru/link/?req=doc&amp;base=INT&amp;n=13670&amp;dst=100102" TargetMode = "External"/>
	<Relationship Id="rId59" Type="http://schemas.openxmlformats.org/officeDocument/2006/relationships/hyperlink" Target="https://login.consultant.ru/link/?req=doc&amp;base=INT&amp;n=13670" TargetMode = "External"/>
	<Relationship Id="rId60" Type="http://schemas.openxmlformats.org/officeDocument/2006/relationships/hyperlink" Target="https://login.consultant.ru/link/?req=doc&amp;base=INT&amp;n=46709" TargetMode = "External"/>
	<Relationship Id="rId61" Type="http://schemas.openxmlformats.org/officeDocument/2006/relationships/hyperlink" Target="https://login.consultant.ru/link/?req=doc&amp;base=INT&amp;n=13670" TargetMode = "External"/>
	<Relationship Id="rId62" Type="http://schemas.openxmlformats.org/officeDocument/2006/relationships/hyperlink" Target="https://login.consultant.ru/link/?req=doc&amp;base=INT&amp;n=46709" TargetMode = "External"/>
	<Relationship Id="rId63" Type="http://schemas.openxmlformats.org/officeDocument/2006/relationships/hyperlink" Target="https://login.consultant.ru/link/?req=doc&amp;base=INT&amp;n=67788" TargetMode = "External"/>
	<Relationship Id="rId64" Type="http://schemas.openxmlformats.org/officeDocument/2006/relationships/hyperlink" Target="https://login.consultant.ru/link/?req=doc&amp;base=INT&amp;n=58673" TargetMode = "External"/>
	<Relationship Id="rId65" Type="http://schemas.openxmlformats.org/officeDocument/2006/relationships/hyperlink" Target="https://login.consultant.ru/link/?req=doc&amp;base=INT&amp;n=28491&amp;dst=100087" TargetMode = "External"/>
	<Relationship Id="rId66" Type="http://schemas.openxmlformats.org/officeDocument/2006/relationships/hyperlink" Target="https://login.consultant.ru/link/?req=doc&amp;base=INT&amp;n=58673" TargetMode = "External"/>
	<Relationship Id="rId67" Type="http://schemas.openxmlformats.org/officeDocument/2006/relationships/hyperlink" Target="https://login.consultant.ru/link/?req=doc&amp;base=INT&amp;n=57447" TargetMode = "External"/>
	<Relationship Id="rId68" Type="http://schemas.openxmlformats.org/officeDocument/2006/relationships/hyperlink" Target="https://login.consultant.ru/link/?req=doc&amp;base=INT&amp;n=60215" TargetMode = "External"/>
	<Relationship Id="rId69" Type="http://schemas.openxmlformats.org/officeDocument/2006/relationships/hyperlink" Target="https://login.consultant.ru/link/?req=doc&amp;base=INT&amp;n=71345&amp;dst=100314" TargetMode = "External"/>
	<Relationship Id="rId70" Type="http://schemas.openxmlformats.org/officeDocument/2006/relationships/hyperlink" Target="https://login.consultant.ru/link/?req=doc&amp;base=INT&amp;n=57135" TargetMode = "External"/>
	<Relationship Id="rId71" Type="http://schemas.openxmlformats.org/officeDocument/2006/relationships/hyperlink" Target="https://login.consultant.ru/link/?req=doc&amp;base=INT&amp;n=55177&amp;dst=100096" TargetMode = "External"/>
	<Relationship Id="rId72" Type="http://schemas.openxmlformats.org/officeDocument/2006/relationships/hyperlink" Target="https://login.consultant.ru/link/?req=doc&amp;base=INT&amp;n=55177&amp;dst=100103" TargetMode = "External"/>
	<Relationship Id="rId73" Type="http://schemas.openxmlformats.org/officeDocument/2006/relationships/hyperlink" Target="https://login.consultant.ru/link/?req=doc&amp;base=INT&amp;n=55177" TargetMode = "External"/>
	<Relationship Id="rId74" Type="http://schemas.openxmlformats.org/officeDocument/2006/relationships/hyperlink" Target="https://login.consultant.ru/link/?req=doc&amp;base=INT&amp;n=13669" TargetMode = "External"/>
	<Relationship Id="rId75" Type="http://schemas.openxmlformats.org/officeDocument/2006/relationships/hyperlink" Target="https://login.consultant.ru/link/?req=doc&amp;base=INT&amp;n=26397" TargetMode = "External"/>
	<Relationship Id="rId76" Type="http://schemas.openxmlformats.org/officeDocument/2006/relationships/hyperlink" Target="https://login.consultant.ru/link/?req=doc&amp;base=INT&amp;n=46709" TargetMode = "External"/>
	<Relationship Id="rId77" Type="http://schemas.openxmlformats.org/officeDocument/2006/relationships/hyperlink" Target="https://login.consultant.ru/link/?req=doc&amp;base=INT&amp;n=13670" TargetMode = "External"/>
	<Relationship Id="rId78" Type="http://schemas.openxmlformats.org/officeDocument/2006/relationships/hyperlink" Target="https://login.consultant.ru/link/?req=doc&amp;base=INT&amp;n=46709" TargetMode = "External"/>
	<Relationship Id="rId79" Type="http://schemas.openxmlformats.org/officeDocument/2006/relationships/hyperlink" Target="https://login.consultant.ru/link/?req=doc&amp;base=INT&amp;n=46709" TargetMode = "External"/>
	<Relationship Id="rId80" Type="http://schemas.openxmlformats.org/officeDocument/2006/relationships/hyperlink" Target="https://login.consultant.ru/link/?req=doc&amp;base=INT&amp;n=13670" TargetMode = "External"/>
	<Relationship Id="rId81" Type="http://schemas.openxmlformats.org/officeDocument/2006/relationships/hyperlink" Target="https://login.consultant.ru/link/?req=doc&amp;base=INT&amp;n=57135" TargetMode = "External"/>
	<Relationship Id="rId82" Type="http://schemas.openxmlformats.org/officeDocument/2006/relationships/hyperlink" Target="https://login.consultant.ru/link/?req=doc&amp;base=INT&amp;n=57447&amp;dst=100669" TargetMode = "External"/>
	<Relationship Id="rId83" Type="http://schemas.openxmlformats.org/officeDocument/2006/relationships/hyperlink" Target="https://login.consultant.ru/link/?req=doc&amp;base=INT&amp;n=57447&amp;dst=100705" TargetMode = "External"/>
	<Relationship Id="rId84" Type="http://schemas.openxmlformats.org/officeDocument/2006/relationships/hyperlink" Target="https://login.consultant.ru/link/?req=doc&amp;base=INT&amp;n=64907" TargetMode = "External"/>
	<Relationship Id="rId85" Type="http://schemas.openxmlformats.org/officeDocument/2006/relationships/hyperlink" Target="https://login.consultant.ru/link/?req=doc&amp;base=INT&amp;n=64907" TargetMode = "External"/>
	<Relationship Id="rId86" Type="http://schemas.openxmlformats.org/officeDocument/2006/relationships/hyperlink" Target="https://login.consultant.ru/link/?req=doc&amp;base=INT&amp;n=66232&amp;dst=100079" TargetMode = "External"/>
	<Relationship Id="rId87" Type="http://schemas.openxmlformats.org/officeDocument/2006/relationships/hyperlink" Target="https://login.consultant.ru/link/?req=doc&amp;base=INT&amp;n=67788" TargetMode = "External"/>
	<Relationship Id="rId88" Type="http://schemas.openxmlformats.org/officeDocument/2006/relationships/hyperlink" Target="https://login.consultant.ru/link/?req=doc&amp;base=INT&amp;n=64907" TargetMode = "External"/>
	<Relationship Id="rId89" Type="http://schemas.openxmlformats.org/officeDocument/2006/relationships/hyperlink" Target="https://login.consultant.ru/link/?req=doc&amp;base=INT&amp;n=59792&amp;dst=101489" TargetMode = "External"/>
	<Relationship Id="rId90" Type="http://schemas.openxmlformats.org/officeDocument/2006/relationships/hyperlink" Target="https://login.consultant.ru/link/?req=doc&amp;base=INT&amp;n=55177" TargetMode = "External"/>
	<Relationship Id="rId91" Type="http://schemas.openxmlformats.org/officeDocument/2006/relationships/hyperlink" Target="https://login.consultant.ru/link/?req=doc&amp;base=INT&amp;n=57447&amp;dst=100151" TargetMode = "External"/>
	<Relationship Id="rId92" Type="http://schemas.openxmlformats.org/officeDocument/2006/relationships/hyperlink" Target="https://login.consultant.ru/link/?req=doc&amp;base=INT&amp;n=64907&amp;dst=100167" TargetMode = "External"/>
	<Relationship Id="rId93" Type="http://schemas.openxmlformats.org/officeDocument/2006/relationships/hyperlink" Target="https://login.consultant.ru/link/?req=doc&amp;base=INT&amp;n=58295" TargetMode = "External"/>
	<Relationship Id="rId94" Type="http://schemas.openxmlformats.org/officeDocument/2006/relationships/hyperlink" Target="https://login.consultant.ru/link/?req=doc&amp;base=INT&amp;n=58295" TargetMode = "External"/>
	<Relationship Id="rId95" Type="http://schemas.openxmlformats.org/officeDocument/2006/relationships/hyperlink" Target="https://login.consultant.ru/link/?req=doc&amp;base=INT&amp;n=58295" TargetMode = "External"/>
	<Relationship Id="rId96" Type="http://schemas.openxmlformats.org/officeDocument/2006/relationships/hyperlink" Target="https://login.consultant.ru/link/?req=doc&amp;base=INT&amp;n=58295" TargetMode = "External"/>
	<Relationship Id="rId97" Type="http://schemas.openxmlformats.org/officeDocument/2006/relationships/hyperlink" Target="https://login.consultant.ru/link/?req=doc&amp;base=INT&amp;n=58295" TargetMode = "External"/>
	<Relationship Id="rId98" Type="http://schemas.openxmlformats.org/officeDocument/2006/relationships/hyperlink" Target="https://login.consultant.ru/link/?req=doc&amp;base=INT&amp;n=58295" TargetMode = "External"/>
	<Relationship Id="rId99" Type="http://schemas.openxmlformats.org/officeDocument/2006/relationships/hyperlink" Target="https://login.consultant.ru/link/?req=doc&amp;base=INT&amp;n=58295" TargetMode = "External"/>
	<Relationship Id="rId100" Type="http://schemas.openxmlformats.org/officeDocument/2006/relationships/header" Target="header2.xml"/>
	<Relationship Id="rId101" Type="http://schemas.openxmlformats.org/officeDocument/2006/relationships/footer" Target="footer2.xml"/>
	<Relationship Id="rId102" Type="http://schemas.openxmlformats.org/officeDocument/2006/relationships/hyperlink" Target="https://login.consultant.ru/link/?req=doc&amp;base=INT&amp;n=13669" TargetMode = "External"/>
	<Relationship Id="rId103" Type="http://schemas.openxmlformats.org/officeDocument/2006/relationships/hyperlink" Target="https://login.consultant.ru/link/?req=doc&amp;base=INT&amp;n=26397" TargetMode = "External"/>
	<Relationship Id="rId104" Type="http://schemas.openxmlformats.org/officeDocument/2006/relationships/hyperlink" Target="https://login.consultant.ru/link/?req=doc&amp;base=INT&amp;n=13670" TargetMode = "External"/>
	<Relationship Id="rId105" Type="http://schemas.openxmlformats.org/officeDocument/2006/relationships/hyperlink" Target="https://login.consultant.ru/link/?req=doc&amp;base=INT&amp;n=67788" TargetMode = "External"/>
	<Relationship Id="rId106" Type="http://schemas.openxmlformats.org/officeDocument/2006/relationships/hyperlink" Target="https://login.consultant.ru/link/?req=doc&amp;base=INT&amp;n=67788&amp;dst=100365" TargetMode = "External"/>
	<Relationship Id="rId107" Type="http://schemas.openxmlformats.org/officeDocument/2006/relationships/hyperlink" Target="https://login.consultant.ru/link/?req=doc&amp;base=INT&amp;n=46709" TargetMode = "External"/>
	<Relationship Id="rId108" Type="http://schemas.openxmlformats.org/officeDocument/2006/relationships/hyperlink" Target="https://login.consultant.ru/link/?req=doc&amp;base=INT&amp;n=67788" TargetMode = "External"/>
	<Relationship Id="rId109" Type="http://schemas.openxmlformats.org/officeDocument/2006/relationships/hyperlink" Target="https://login.consultant.ru/link/?req=doc&amp;base=INT&amp;n=67788&amp;dst=100394" TargetMode = "External"/>
	<Relationship Id="rId110" Type="http://schemas.openxmlformats.org/officeDocument/2006/relationships/hyperlink" Target="https://login.consultant.ru/link/?req=doc&amp;base=INT&amp;n=13669" TargetMode = "External"/>
	<Relationship Id="rId111" Type="http://schemas.openxmlformats.org/officeDocument/2006/relationships/hyperlink" Target="https://login.consultant.ru/link/?req=doc&amp;base=INT&amp;n=26397" TargetMode = "External"/>
	<Relationship Id="rId112" Type="http://schemas.openxmlformats.org/officeDocument/2006/relationships/hyperlink" Target="https://login.consultant.ru/link/?req=doc&amp;base=INT&amp;n=13670" TargetMode = "External"/>
	<Relationship Id="rId113" Type="http://schemas.openxmlformats.org/officeDocument/2006/relationships/hyperlink" Target="https://login.consultant.ru/link/?req=doc&amp;base=INT&amp;n=55498" TargetMode = "External"/>
	<Relationship Id="rId114" Type="http://schemas.openxmlformats.org/officeDocument/2006/relationships/hyperlink" Target="https://login.consultant.ru/link/?req=doc&amp;base=INT&amp;n=63809" TargetMode = "External"/>
	<Relationship Id="rId115" Type="http://schemas.openxmlformats.org/officeDocument/2006/relationships/hyperlink" Target="https://login.consultant.ru/link/?req=doc&amp;base=INT&amp;n=46709" TargetMode = "External"/>
	<Relationship Id="rId116" Type="http://schemas.openxmlformats.org/officeDocument/2006/relationships/hyperlink" Target="https://login.consultant.ru/link/?req=doc&amp;base=INT&amp;n=46709" TargetMode = "External"/>
	<Relationship Id="rId117" Type="http://schemas.openxmlformats.org/officeDocument/2006/relationships/hyperlink" Target="https://login.consultant.ru/link/?req=doc&amp;base=INT&amp;n=46709" TargetMode = "External"/>
	<Relationship Id="rId118" Type="http://schemas.openxmlformats.org/officeDocument/2006/relationships/hyperlink" Target="https://login.consultant.ru/link/?req=doc&amp;base=INT&amp;n=13669" TargetMode = "External"/>
	<Relationship Id="rId119" Type="http://schemas.openxmlformats.org/officeDocument/2006/relationships/hyperlink" Target="https://login.consultant.ru/link/?req=doc&amp;base=INT&amp;n=26397" TargetMode = "External"/>
	<Relationship Id="rId120" Type="http://schemas.openxmlformats.org/officeDocument/2006/relationships/hyperlink" Target="https://login.consultant.ru/link/?req=doc&amp;base=INT&amp;n=13670" TargetMode = "External"/>
	<Relationship Id="rId121" Type="http://schemas.openxmlformats.org/officeDocument/2006/relationships/hyperlink" Target="https://login.consultant.ru/link/?req=doc&amp;base=INT&amp;n=46709&amp;dst=100076" TargetMode = "External"/>
	<Relationship Id="rId122" Type="http://schemas.openxmlformats.org/officeDocument/2006/relationships/hyperlink" Target="https://login.consultant.ru/link/?req=doc&amp;base=INT&amp;n=26397&amp;dst=100102" TargetMode = "External"/>
	<Relationship Id="rId123" Type="http://schemas.openxmlformats.org/officeDocument/2006/relationships/hyperlink" Target="https://login.consultant.ru/link/?req=doc&amp;base=INT&amp;n=46709&amp;dst=100106" TargetMode = "External"/>
	<Relationship Id="rId124" Type="http://schemas.openxmlformats.org/officeDocument/2006/relationships/hyperlink" Target="https://login.consultant.ru/link/?req=doc&amp;base=INT&amp;n=13669&amp;dst=100095" TargetMode = "External"/>
	<Relationship Id="rId125" Type="http://schemas.openxmlformats.org/officeDocument/2006/relationships/hyperlink" Target="https://login.consultant.ru/link/?req=doc&amp;base=INT&amp;n=13669&amp;dst=100096" TargetMode = "External"/>
	<Relationship Id="rId126" Type="http://schemas.openxmlformats.org/officeDocument/2006/relationships/hyperlink" Target="https://login.consultant.ru/link/?req=doc&amp;base=INT&amp;n=26397&amp;dst=100139" TargetMode = "External"/>
	<Relationship Id="rId127" Type="http://schemas.openxmlformats.org/officeDocument/2006/relationships/hyperlink" Target="https://login.consultant.ru/link/?req=doc&amp;base=INT&amp;n=46709&amp;dst=100210" TargetMode = "External"/>
	<Relationship Id="rId128" Type="http://schemas.openxmlformats.org/officeDocument/2006/relationships/hyperlink" Target="https://login.consultant.ru/link/?req=doc&amp;base=INT&amp;n=46709&amp;dst=100213" TargetMode = "External"/>
	<Relationship Id="rId129" Type="http://schemas.openxmlformats.org/officeDocument/2006/relationships/hyperlink" Target="https://login.consultant.ru/link/?req=doc&amp;base=INT&amp;n=13669&amp;dst=100193" TargetMode = "External"/>
	<Relationship Id="rId130" Type="http://schemas.openxmlformats.org/officeDocument/2006/relationships/hyperlink" Target="https://login.consultant.ru/link/?req=doc&amp;base=INT&amp;n=13669&amp;dst=100197" TargetMode = "External"/>
	<Relationship Id="rId131" Type="http://schemas.openxmlformats.org/officeDocument/2006/relationships/hyperlink" Target="https://login.consultant.ru/link/?req=doc&amp;base=INT&amp;n=46709&amp;dst=100242" TargetMode = "External"/>
	<Relationship Id="rId132" Type="http://schemas.openxmlformats.org/officeDocument/2006/relationships/hyperlink" Target="https://login.consultant.ru/link/?req=doc&amp;base=INT&amp;n=13669&amp;dst=100214" TargetMode = "External"/>
	<Relationship Id="rId133" Type="http://schemas.openxmlformats.org/officeDocument/2006/relationships/hyperlink" Target="https://login.consultant.ru/link/?req=doc&amp;base=INT&amp;n=26397&amp;dst=100321" TargetMode = "External"/>
	<Relationship Id="rId134" Type="http://schemas.openxmlformats.org/officeDocument/2006/relationships/hyperlink" Target="https://login.consultant.ru/link/?req=doc&amp;base=INT&amp;n=13670&amp;dst=100209" TargetMode = "External"/>
	<Relationship Id="rId135" Type="http://schemas.openxmlformats.org/officeDocument/2006/relationships/hyperlink" Target="https://login.consultant.ru/link/?req=doc&amp;base=INT&amp;n=13670&amp;dst=100212" TargetMode = "External"/>
	<Relationship Id="rId136" Type="http://schemas.openxmlformats.org/officeDocument/2006/relationships/hyperlink" Target="https://login.consultant.ru/link/?req=doc&amp;base=INT&amp;n=46709&amp;dst=100248" TargetMode = "External"/>
	<Relationship Id="rId137" Type="http://schemas.openxmlformats.org/officeDocument/2006/relationships/hyperlink" Target="https://login.consultant.ru/link/?req=doc&amp;base=INT&amp;n=13669&amp;dst=100222" TargetMode = "External"/>
	<Relationship Id="rId138" Type="http://schemas.openxmlformats.org/officeDocument/2006/relationships/hyperlink" Target="https://login.consultant.ru/link/?req=doc&amp;base=INT&amp;n=26397&amp;dst=100329" TargetMode = "External"/>
	<Relationship Id="rId139" Type="http://schemas.openxmlformats.org/officeDocument/2006/relationships/hyperlink" Target="https://login.consultant.ru/link/?req=doc&amp;base=INT&amp;n=13670&amp;dst=100215" TargetMode = "External"/>
	<Relationship Id="rId140" Type="http://schemas.openxmlformats.org/officeDocument/2006/relationships/hyperlink" Target="https://login.consultant.ru/link/?req=doc&amp;base=INT&amp;n=13669&amp;dst=100207" TargetMode = "External"/>
	<Relationship Id="rId141" Type="http://schemas.openxmlformats.org/officeDocument/2006/relationships/hyperlink" Target="https://login.consultant.ru/link/?req=doc&amp;base=INT&amp;n=26397&amp;dst=100302" TargetMode = "External"/>
	<Relationship Id="rId142" Type="http://schemas.openxmlformats.org/officeDocument/2006/relationships/hyperlink" Target="https://login.consultant.ru/link/?req=doc&amp;base=INT&amp;n=26397&amp;dst=100303" TargetMode = "External"/>
	<Relationship Id="rId143" Type="http://schemas.openxmlformats.org/officeDocument/2006/relationships/hyperlink" Target="https://login.consultant.ru/link/?req=doc&amp;base=INT&amp;n=46709&amp;dst=100065" TargetMode = "External"/>
	<Relationship Id="rId144" Type="http://schemas.openxmlformats.org/officeDocument/2006/relationships/hyperlink" Target="https://login.consultant.ru/link/?req=doc&amp;base=INT&amp;n=46709&amp;dst=100070" TargetMode = "External"/>
	<Relationship Id="rId145" Type="http://schemas.openxmlformats.org/officeDocument/2006/relationships/hyperlink" Target="https://login.consultant.ru/link/?req=doc&amp;base=INT&amp;n=46709&amp;dst=100071" TargetMode = "External"/>
	<Relationship Id="rId146" Type="http://schemas.openxmlformats.org/officeDocument/2006/relationships/hyperlink" Target="https://login.consultant.ru/link/?req=doc&amp;base=INT&amp;n=13669&amp;dst=100073" TargetMode = "External"/>
	<Relationship Id="rId147" Type="http://schemas.openxmlformats.org/officeDocument/2006/relationships/hyperlink" Target="https://login.consultant.ru/link/?req=doc&amp;base=INT&amp;n=46709&amp;dst=100077" TargetMode = "External"/>
	<Relationship Id="rId148" Type="http://schemas.openxmlformats.org/officeDocument/2006/relationships/hyperlink" Target="https://login.consultant.ru/link/?req=doc&amp;base=INT&amp;n=13669&amp;dst=100057" TargetMode = "External"/>
	<Relationship Id="rId149" Type="http://schemas.openxmlformats.org/officeDocument/2006/relationships/hyperlink" Target="https://login.consultant.ru/link/?req=doc&amp;base=INT&amp;n=46709&amp;dst=100078" TargetMode = "External"/>
	<Relationship Id="rId150" Type="http://schemas.openxmlformats.org/officeDocument/2006/relationships/hyperlink" Target="https://login.consultant.ru/link/?req=doc&amp;base=INT&amp;n=46709&amp;dst=100079" TargetMode = "External"/>
	<Relationship Id="rId151" Type="http://schemas.openxmlformats.org/officeDocument/2006/relationships/hyperlink" Target="https://login.consultant.ru/link/?req=doc&amp;base=INT&amp;n=13669&amp;dst=100068" TargetMode = "External"/>
	<Relationship Id="rId152" Type="http://schemas.openxmlformats.org/officeDocument/2006/relationships/hyperlink" Target="https://login.consultant.ru/link/?req=doc&amp;base=INT&amp;n=26397&amp;dst=100131" TargetMode = "External"/>
	<Relationship Id="rId153" Type="http://schemas.openxmlformats.org/officeDocument/2006/relationships/hyperlink" Target="https://login.consultant.ru/link/?req=doc&amp;base=INT&amp;n=13670&amp;dst=100054" TargetMode = "External"/>
	<Relationship Id="rId154" Type="http://schemas.openxmlformats.org/officeDocument/2006/relationships/hyperlink" Target="https://login.consultant.ru/link/?req=doc&amp;base=INT&amp;n=46709&amp;dst=100080" TargetMode = "External"/>
	<Relationship Id="rId155" Type="http://schemas.openxmlformats.org/officeDocument/2006/relationships/hyperlink" Target="https://login.consultant.ru/link/?req=doc&amp;base=INT&amp;n=13669&amp;dst=100072" TargetMode = "External"/>
	<Relationship Id="rId156" Type="http://schemas.openxmlformats.org/officeDocument/2006/relationships/hyperlink" Target="https://login.consultant.ru/link/?req=doc&amp;base=INT&amp;n=26397&amp;dst=100132" TargetMode = "External"/>
	<Relationship Id="rId157" Type="http://schemas.openxmlformats.org/officeDocument/2006/relationships/hyperlink" Target="https://login.consultant.ru/link/?req=doc&amp;base=INT&amp;n=13670&amp;dst=100056" TargetMode = "External"/>
	<Relationship Id="rId158" Type="http://schemas.openxmlformats.org/officeDocument/2006/relationships/hyperlink" Target="https://login.consultant.ru/link/?req=doc&amp;base=INT&amp;n=46709&amp;dst=100080" TargetMode = "External"/>
	<Relationship Id="rId159" Type="http://schemas.openxmlformats.org/officeDocument/2006/relationships/hyperlink" Target="https://login.consultant.ru/link/?req=doc&amp;base=INT&amp;n=46709&amp;dst=100081" TargetMode = "External"/>
	<Relationship Id="rId160" Type="http://schemas.openxmlformats.org/officeDocument/2006/relationships/hyperlink" Target="https://login.consultant.ru/link/?req=doc&amp;base=INT&amp;n=46709&amp;dst=100082" TargetMode = "External"/>
	<Relationship Id="rId161" Type="http://schemas.openxmlformats.org/officeDocument/2006/relationships/hyperlink" Target="https://login.consultant.ru/link/?req=doc&amp;base=INT&amp;n=13669&amp;dst=100064" TargetMode = "External"/>
	<Relationship Id="rId162" Type="http://schemas.openxmlformats.org/officeDocument/2006/relationships/hyperlink" Target="https://login.consultant.ru/link/?req=doc&amp;base=INT&amp;n=46709&amp;dst=100083" TargetMode = "External"/>
	<Relationship Id="rId163" Type="http://schemas.openxmlformats.org/officeDocument/2006/relationships/hyperlink" Target="https://login.consultant.ru/link/?req=doc&amp;base=INT&amp;n=13669&amp;dst=100066" TargetMode = "External"/>
	<Relationship Id="rId164" Type="http://schemas.openxmlformats.org/officeDocument/2006/relationships/hyperlink" Target="https://login.consultant.ru/link/?req=doc&amp;base=INT&amp;n=26397&amp;dst=100135" TargetMode = "External"/>
	<Relationship Id="rId165" Type="http://schemas.openxmlformats.org/officeDocument/2006/relationships/hyperlink" Target="https://login.consultant.ru/link/?req=doc&amp;base=INT&amp;n=46709&amp;dst=100083" TargetMode = "External"/>
	<Relationship Id="rId166" Type="http://schemas.openxmlformats.org/officeDocument/2006/relationships/hyperlink" Target="https://login.consultant.ru/link/?req=doc&amp;base=INT&amp;n=46709&amp;dst=100084" TargetMode = "External"/>
	<Relationship Id="rId167" Type="http://schemas.openxmlformats.org/officeDocument/2006/relationships/hyperlink" Target="https://login.consultant.ru/link/?req=doc&amp;base=INT&amp;n=46709&amp;dst=100085" TargetMode = "External"/>
	<Relationship Id="rId168" Type="http://schemas.openxmlformats.org/officeDocument/2006/relationships/hyperlink" Target="https://login.consultant.ru/link/?req=doc&amp;base=INT&amp;n=46709&amp;dst=100085" TargetMode = "External"/>
	<Relationship Id="rId169" Type="http://schemas.openxmlformats.org/officeDocument/2006/relationships/hyperlink" Target="https://login.consultant.ru/link/?req=doc&amp;base=INT&amp;n=46709&amp;dst=100086" TargetMode = "External"/>
	<Relationship Id="rId170" Type="http://schemas.openxmlformats.org/officeDocument/2006/relationships/hyperlink" Target="https://login.consultant.ru/link/?req=doc&amp;base=INT&amp;n=46709&amp;dst=100389" TargetMode = "External"/>
	<Relationship Id="rId171" Type="http://schemas.openxmlformats.org/officeDocument/2006/relationships/hyperlink" Target="https://login.consultant.ru/link/?req=doc&amp;base=INT&amp;n=46709&amp;dst=100090" TargetMode = "External"/>
	<Relationship Id="rId172" Type="http://schemas.openxmlformats.org/officeDocument/2006/relationships/hyperlink" Target="https://login.consultant.ru/link/?req=doc&amp;base=INT&amp;n=46709&amp;dst=100091" TargetMode = "External"/>
	<Relationship Id="rId173" Type="http://schemas.openxmlformats.org/officeDocument/2006/relationships/hyperlink" Target="https://login.consultant.ru/link/?req=doc&amp;base=INT&amp;n=13669&amp;dst=100065" TargetMode = "External"/>
	<Relationship Id="rId174" Type="http://schemas.openxmlformats.org/officeDocument/2006/relationships/hyperlink" Target="https://login.consultant.ru/link/?req=doc&amp;base=INT&amp;n=26397&amp;dst=100134" TargetMode = "External"/>
	<Relationship Id="rId175" Type="http://schemas.openxmlformats.org/officeDocument/2006/relationships/hyperlink" Target="https://login.consultant.ru/link/?req=doc&amp;base=INT&amp;n=13670&amp;dst=100058" TargetMode = "External"/>
	<Relationship Id="rId176" Type="http://schemas.openxmlformats.org/officeDocument/2006/relationships/hyperlink" Target="https://login.consultant.ru/link/?req=doc&amp;base=INT&amp;n=46709&amp;dst=100092" TargetMode = "External"/>
	<Relationship Id="rId177" Type="http://schemas.openxmlformats.org/officeDocument/2006/relationships/hyperlink" Target="https://login.consultant.ru/link/?req=doc&amp;base=INT&amp;n=46709&amp;dst=100093" TargetMode = "External"/>
	<Relationship Id="rId178" Type="http://schemas.openxmlformats.org/officeDocument/2006/relationships/hyperlink" Target="https://login.consultant.ru/link/?req=doc&amp;base=INT&amp;n=46709&amp;dst=100096" TargetMode = "External"/>
	<Relationship Id="rId179" Type="http://schemas.openxmlformats.org/officeDocument/2006/relationships/hyperlink" Target="https://login.consultant.ru/link/?req=doc&amp;base=INT&amp;n=46709&amp;dst=100097" TargetMode = "External"/>
	<Relationship Id="rId180" Type="http://schemas.openxmlformats.org/officeDocument/2006/relationships/hyperlink" Target="https://login.consultant.ru/link/?req=doc&amp;base=INT&amp;n=46709&amp;dst=100098" TargetMode = "External"/>
	<Relationship Id="rId181" Type="http://schemas.openxmlformats.org/officeDocument/2006/relationships/hyperlink" Target="https://login.consultant.ru/link/?req=doc&amp;base=INT&amp;n=46709&amp;dst=100099" TargetMode = "External"/>
	<Relationship Id="rId182" Type="http://schemas.openxmlformats.org/officeDocument/2006/relationships/hyperlink" Target="https://login.consultant.ru/link/?req=doc&amp;base=INT&amp;n=46709&amp;dst=100102" TargetMode = "External"/>
	<Relationship Id="rId183" Type="http://schemas.openxmlformats.org/officeDocument/2006/relationships/hyperlink" Target="https://login.consultant.ru/link/?req=doc&amp;base=INT&amp;n=46709&amp;dst=100103" TargetMode = "External"/>
	<Relationship Id="rId184" Type="http://schemas.openxmlformats.org/officeDocument/2006/relationships/hyperlink" Target="https://login.consultant.ru/link/?req=doc&amp;base=INT&amp;n=46709&amp;dst=100104" TargetMode = "External"/>
	<Relationship Id="rId185" Type="http://schemas.openxmlformats.org/officeDocument/2006/relationships/hyperlink" Target="https://login.consultant.ru/link/?req=doc&amp;base=INT&amp;n=46709&amp;dst=100105" TargetMode = "External"/>
	<Relationship Id="rId186" Type="http://schemas.openxmlformats.org/officeDocument/2006/relationships/hyperlink" Target="https://login.consultant.ru/link/?req=doc&amp;base=INT&amp;n=46709&amp;dst=100113" TargetMode = "External"/>
	<Relationship Id="rId187" Type="http://schemas.openxmlformats.org/officeDocument/2006/relationships/hyperlink" Target="https://login.consultant.ru/link/?req=doc&amp;base=INT&amp;n=46709&amp;dst=100114" TargetMode = "External"/>
	<Relationship Id="rId188" Type="http://schemas.openxmlformats.org/officeDocument/2006/relationships/hyperlink" Target="https://login.consultant.ru/link/?req=doc&amp;base=INT&amp;n=46709&amp;dst=100117" TargetMode = "External"/>
	<Relationship Id="rId189" Type="http://schemas.openxmlformats.org/officeDocument/2006/relationships/hyperlink" Target="https://login.consultant.ru/link/?req=doc&amp;base=INT&amp;n=46709&amp;dst=100118" TargetMode = "External"/>
	<Relationship Id="rId190" Type="http://schemas.openxmlformats.org/officeDocument/2006/relationships/hyperlink" Target="https://login.consultant.ru/link/?req=doc&amp;base=INT&amp;n=46709&amp;dst=100121" TargetMode = "External"/>
	<Relationship Id="rId191" Type="http://schemas.openxmlformats.org/officeDocument/2006/relationships/hyperlink" Target="https://login.consultant.ru/link/?req=doc&amp;base=INT&amp;n=46709&amp;dst=100122" TargetMode = "External"/>
	<Relationship Id="rId192" Type="http://schemas.openxmlformats.org/officeDocument/2006/relationships/hyperlink" Target="https://login.consultant.ru/link/?req=doc&amp;base=INT&amp;n=46709&amp;dst=100123" TargetMode = "External"/>
	<Relationship Id="rId193" Type="http://schemas.openxmlformats.org/officeDocument/2006/relationships/hyperlink" Target="https://login.consultant.ru/link/?req=doc&amp;base=INT&amp;n=46709&amp;dst=100124" TargetMode = "External"/>
	<Relationship Id="rId194" Type="http://schemas.openxmlformats.org/officeDocument/2006/relationships/hyperlink" Target="https://login.consultant.ru/link/?req=doc&amp;base=INT&amp;n=46709&amp;dst=100125" TargetMode = "External"/>
	<Relationship Id="rId195" Type="http://schemas.openxmlformats.org/officeDocument/2006/relationships/hyperlink" Target="https://login.consultant.ru/link/?req=doc&amp;base=INT&amp;n=46709&amp;dst=100126" TargetMode = "External"/>
	<Relationship Id="rId196" Type="http://schemas.openxmlformats.org/officeDocument/2006/relationships/hyperlink" Target="https://login.consultant.ru/link/?req=doc&amp;base=INT&amp;n=46709&amp;dst=100127" TargetMode = "External"/>
	<Relationship Id="rId197" Type="http://schemas.openxmlformats.org/officeDocument/2006/relationships/hyperlink" Target="https://login.consultant.ru/link/?req=doc&amp;base=INT&amp;n=46709&amp;dst=100128" TargetMode = "External"/>
	<Relationship Id="rId198" Type="http://schemas.openxmlformats.org/officeDocument/2006/relationships/hyperlink" Target="https://login.consultant.ru/link/?req=doc&amp;base=INT&amp;n=46709&amp;dst=100129" TargetMode = "External"/>
	<Relationship Id="rId199" Type="http://schemas.openxmlformats.org/officeDocument/2006/relationships/hyperlink" Target="https://login.consultant.ru/link/?req=doc&amp;base=INT&amp;n=46709&amp;dst=100132" TargetMode = "External"/>
	<Relationship Id="rId200" Type="http://schemas.openxmlformats.org/officeDocument/2006/relationships/hyperlink" Target="https://login.consultant.ru/link/?req=doc&amp;base=INT&amp;n=46709&amp;dst=100137" TargetMode = "External"/>
	<Relationship Id="rId201" Type="http://schemas.openxmlformats.org/officeDocument/2006/relationships/hyperlink" Target="https://login.consultant.ru/link/?req=doc&amp;base=INT&amp;n=26397&amp;dst=100145" TargetMode = "External"/>
	<Relationship Id="rId202" Type="http://schemas.openxmlformats.org/officeDocument/2006/relationships/hyperlink" Target="https://login.consultant.ru/link/?req=doc&amp;base=INT&amp;n=46709&amp;dst=100138" TargetMode = "External"/>
	<Relationship Id="rId203" Type="http://schemas.openxmlformats.org/officeDocument/2006/relationships/hyperlink" Target="https://login.consultant.ru/link/?req=doc&amp;base=INT&amp;n=46709&amp;dst=100141" TargetMode = "External"/>
	<Relationship Id="rId204" Type="http://schemas.openxmlformats.org/officeDocument/2006/relationships/hyperlink" Target="https://login.consultant.ru/link/?req=doc&amp;base=INT&amp;n=46709&amp;dst=100141" TargetMode = "External"/>
	<Relationship Id="rId205" Type="http://schemas.openxmlformats.org/officeDocument/2006/relationships/hyperlink" Target="https://login.consultant.ru/link/?req=doc&amp;base=INT&amp;n=46709&amp;dst=100142" TargetMode = "External"/>
	<Relationship Id="rId206" Type="http://schemas.openxmlformats.org/officeDocument/2006/relationships/hyperlink" Target="https://login.consultant.ru/link/?req=doc&amp;base=INT&amp;n=46709&amp;dst=100143" TargetMode = "External"/>
	<Relationship Id="rId207" Type="http://schemas.openxmlformats.org/officeDocument/2006/relationships/hyperlink" Target="https://login.consultant.ru/link/?req=doc&amp;base=INT&amp;n=46709&amp;dst=100143" TargetMode = "External"/>
	<Relationship Id="rId208" Type="http://schemas.openxmlformats.org/officeDocument/2006/relationships/hyperlink" Target="https://login.consultant.ru/link/?req=doc&amp;base=INT&amp;n=46709&amp;dst=100143" TargetMode = "External"/>
	<Relationship Id="rId209" Type="http://schemas.openxmlformats.org/officeDocument/2006/relationships/hyperlink" Target="https://login.consultant.ru/link/?req=doc&amp;base=INT&amp;n=46709&amp;dst=100144" TargetMode = "External"/>
	<Relationship Id="rId210" Type="http://schemas.openxmlformats.org/officeDocument/2006/relationships/hyperlink" Target="https://login.consultant.ru/link/?req=doc&amp;base=INT&amp;n=46709&amp;dst=100145" TargetMode = "External"/>
	<Relationship Id="rId211" Type="http://schemas.openxmlformats.org/officeDocument/2006/relationships/hyperlink" Target="https://login.consultant.ru/link/?req=doc&amp;base=INT&amp;n=46709&amp;dst=100148" TargetMode = "External"/>
	<Relationship Id="rId212" Type="http://schemas.openxmlformats.org/officeDocument/2006/relationships/hyperlink" Target="https://login.consultant.ru/link/?req=doc&amp;base=INT&amp;n=46709&amp;dst=100149" TargetMode = "External"/>
	<Relationship Id="rId213" Type="http://schemas.openxmlformats.org/officeDocument/2006/relationships/hyperlink" Target="https://login.consultant.ru/link/?req=doc&amp;base=INT&amp;n=46709&amp;dst=100150" TargetMode = "External"/>
	<Relationship Id="rId214" Type="http://schemas.openxmlformats.org/officeDocument/2006/relationships/hyperlink" Target="https://login.consultant.ru/link/?req=doc&amp;base=INT&amp;n=46709&amp;dst=100151" TargetMode = "External"/>
	<Relationship Id="rId215" Type="http://schemas.openxmlformats.org/officeDocument/2006/relationships/hyperlink" Target="https://login.consultant.ru/link/?req=doc&amp;base=INT&amp;n=46709&amp;dst=100151" TargetMode = "External"/>
	<Relationship Id="rId216" Type="http://schemas.openxmlformats.org/officeDocument/2006/relationships/hyperlink" Target="https://login.consultant.ru/link/?req=doc&amp;base=INT&amp;n=46709&amp;dst=100151" TargetMode = "External"/>
	<Relationship Id="rId217" Type="http://schemas.openxmlformats.org/officeDocument/2006/relationships/hyperlink" Target="https://login.consultant.ru/link/?req=doc&amp;base=INT&amp;n=46709&amp;dst=100152" TargetMode = "External"/>
	<Relationship Id="rId218" Type="http://schemas.openxmlformats.org/officeDocument/2006/relationships/hyperlink" Target="https://login.consultant.ru/link/?req=doc&amp;base=INT&amp;n=46709&amp;dst=100153" TargetMode = "External"/>
	<Relationship Id="rId219" Type="http://schemas.openxmlformats.org/officeDocument/2006/relationships/hyperlink" Target="https://login.consultant.ru/link/?req=doc&amp;base=INT&amp;n=46709&amp;dst=100154" TargetMode = "External"/>
	<Relationship Id="rId220" Type="http://schemas.openxmlformats.org/officeDocument/2006/relationships/hyperlink" Target="https://login.consultant.ru/link/?req=doc&amp;base=INT&amp;n=46709&amp;dst=100155" TargetMode = "External"/>
	<Relationship Id="rId221" Type="http://schemas.openxmlformats.org/officeDocument/2006/relationships/hyperlink" Target="https://login.consultant.ru/link/?req=doc&amp;base=INT&amp;n=46709&amp;dst=100156" TargetMode = "External"/>
	<Relationship Id="rId222" Type="http://schemas.openxmlformats.org/officeDocument/2006/relationships/hyperlink" Target="https://login.consultant.ru/link/?req=doc&amp;base=INT&amp;n=46709&amp;dst=100157" TargetMode = "External"/>
	<Relationship Id="rId223" Type="http://schemas.openxmlformats.org/officeDocument/2006/relationships/hyperlink" Target="https://login.consultant.ru/link/?req=doc&amp;base=INT&amp;n=46709&amp;dst=100158" TargetMode = "External"/>
	<Relationship Id="rId224" Type="http://schemas.openxmlformats.org/officeDocument/2006/relationships/hyperlink" Target="https://login.consultant.ru/link/?req=doc&amp;base=INT&amp;n=46709&amp;dst=100161" TargetMode = "External"/>
	<Relationship Id="rId225" Type="http://schemas.openxmlformats.org/officeDocument/2006/relationships/hyperlink" Target="https://login.consultant.ru/link/?req=doc&amp;base=INT&amp;n=46709&amp;dst=100166" TargetMode = "External"/>
	<Relationship Id="rId226" Type="http://schemas.openxmlformats.org/officeDocument/2006/relationships/hyperlink" Target="https://login.consultant.ru/link/?req=doc&amp;base=INT&amp;n=46709&amp;dst=100167" TargetMode = "External"/>
	<Relationship Id="rId227" Type="http://schemas.openxmlformats.org/officeDocument/2006/relationships/hyperlink" Target="https://login.consultant.ru/link/?req=doc&amp;base=INT&amp;n=46709&amp;dst=100167" TargetMode = "External"/>
	<Relationship Id="rId228" Type="http://schemas.openxmlformats.org/officeDocument/2006/relationships/hyperlink" Target="https://login.consultant.ru/link/?req=doc&amp;base=INT&amp;n=46709&amp;dst=100167" TargetMode = "External"/>
	<Relationship Id="rId229" Type="http://schemas.openxmlformats.org/officeDocument/2006/relationships/hyperlink" Target="https://login.consultant.ru/link/?req=doc&amp;base=INT&amp;n=46709&amp;dst=100170" TargetMode = "External"/>
	<Relationship Id="rId230" Type="http://schemas.openxmlformats.org/officeDocument/2006/relationships/hyperlink" Target="https://login.consultant.ru/link/?req=doc&amp;base=INT&amp;n=46709&amp;dst=100171" TargetMode = "External"/>
	<Relationship Id="rId231" Type="http://schemas.openxmlformats.org/officeDocument/2006/relationships/hyperlink" Target="https://login.consultant.ru/link/?req=doc&amp;base=INT&amp;n=46709&amp;dst=100172" TargetMode = "External"/>
	<Relationship Id="rId232" Type="http://schemas.openxmlformats.org/officeDocument/2006/relationships/hyperlink" Target="https://login.consultant.ru/link/?req=doc&amp;base=INT&amp;n=46709&amp;dst=100173" TargetMode = "External"/>
	<Relationship Id="rId233" Type="http://schemas.openxmlformats.org/officeDocument/2006/relationships/hyperlink" Target="https://login.consultant.ru/link/?req=doc&amp;base=INT&amp;n=46709&amp;dst=100174" TargetMode = "External"/>
	<Relationship Id="rId234" Type="http://schemas.openxmlformats.org/officeDocument/2006/relationships/hyperlink" Target="https://login.consultant.ru/link/?req=doc&amp;base=INT&amp;n=46709&amp;dst=100175" TargetMode = "External"/>
	<Relationship Id="rId235" Type="http://schemas.openxmlformats.org/officeDocument/2006/relationships/hyperlink" Target="https://login.consultant.ru/link/?req=doc&amp;base=INT&amp;n=46709&amp;dst=100178" TargetMode = "External"/>
	<Relationship Id="rId236" Type="http://schemas.openxmlformats.org/officeDocument/2006/relationships/hyperlink" Target="https://login.consultant.ru/link/?req=doc&amp;base=INT&amp;n=46709&amp;dst=100179" TargetMode = "External"/>
	<Relationship Id="rId237" Type="http://schemas.openxmlformats.org/officeDocument/2006/relationships/hyperlink" Target="https://login.consultant.ru/link/?req=doc&amp;base=INT&amp;n=46709&amp;dst=100180" TargetMode = "External"/>
	<Relationship Id="rId238" Type="http://schemas.openxmlformats.org/officeDocument/2006/relationships/hyperlink" Target="https://login.consultant.ru/link/?req=doc&amp;base=INT&amp;n=46709&amp;dst=100181" TargetMode = "External"/>
	<Relationship Id="rId239" Type="http://schemas.openxmlformats.org/officeDocument/2006/relationships/hyperlink" Target="https://login.consultant.ru/link/?req=doc&amp;base=INT&amp;n=46709&amp;dst=100184" TargetMode = "External"/>
	<Relationship Id="rId240" Type="http://schemas.openxmlformats.org/officeDocument/2006/relationships/hyperlink" Target="https://login.consultant.ru/link/?req=doc&amp;base=INT&amp;n=46709&amp;dst=100185" TargetMode = "External"/>
	<Relationship Id="rId241" Type="http://schemas.openxmlformats.org/officeDocument/2006/relationships/hyperlink" Target="https://login.consultant.ru/link/?req=doc&amp;base=INT&amp;n=46709&amp;dst=100186" TargetMode = "External"/>
	<Relationship Id="rId242" Type="http://schemas.openxmlformats.org/officeDocument/2006/relationships/hyperlink" Target="https://login.consultant.ru/link/?req=doc&amp;base=INT&amp;n=13669&amp;dst=100201" TargetMode = "External"/>
	<Relationship Id="rId243" Type="http://schemas.openxmlformats.org/officeDocument/2006/relationships/hyperlink" Target="https://login.consultant.ru/link/?req=doc&amp;base=INT&amp;n=46709&amp;dst=100187" TargetMode = "External"/>
	<Relationship Id="rId244" Type="http://schemas.openxmlformats.org/officeDocument/2006/relationships/hyperlink" Target="https://login.consultant.ru/link/?req=doc&amp;base=INT&amp;n=46709&amp;dst=100188" TargetMode = "External"/>
	<Relationship Id="rId245" Type="http://schemas.openxmlformats.org/officeDocument/2006/relationships/hyperlink" Target="https://login.consultant.ru/link/?req=doc&amp;base=INT&amp;n=46709&amp;dst=100189" TargetMode = "External"/>
	<Relationship Id="rId246" Type="http://schemas.openxmlformats.org/officeDocument/2006/relationships/hyperlink" Target="https://login.consultant.ru/link/?req=doc&amp;base=INT&amp;n=46709&amp;dst=100190" TargetMode = "External"/>
	<Relationship Id="rId247" Type="http://schemas.openxmlformats.org/officeDocument/2006/relationships/hyperlink" Target="https://login.consultant.ru/link/?req=doc&amp;base=INT&amp;n=46709&amp;dst=100193" TargetMode = "External"/>
	<Relationship Id="rId248" Type="http://schemas.openxmlformats.org/officeDocument/2006/relationships/hyperlink" Target="https://login.consultant.ru/link/?req=doc&amp;base=INT&amp;n=46709&amp;dst=100196" TargetMode = "External"/>
	<Relationship Id="rId249" Type="http://schemas.openxmlformats.org/officeDocument/2006/relationships/hyperlink" Target="https://login.consultant.ru/link/?req=doc&amp;base=INT&amp;n=46709&amp;dst=100210" TargetMode = "External"/>
	<Relationship Id="rId250" Type="http://schemas.openxmlformats.org/officeDocument/2006/relationships/hyperlink" Target="https://login.consultant.ru/link/?req=doc&amp;base=INT&amp;n=46709&amp;dst=100211" TargetMode = "External"/>
	<Relationship Id="rId251" Type="http://schemas.openxmlformats.org/officeDocument/2006/relationships/hyperlink" Target="https://login.consultant.ru/link/?req=doc&amp;base=INT&amp;n=46709&amp;dst=100212" TargetMode = "External"/>
	<Relationship Id="rId252" Type="http://schemas.openxmlformats.org/officeDocument/2006/relationships/hyperlink" Target="https://login.consultant.ru/link/?req=doc&amp;base=INT&amp;n=46709&amp;dst=100213" TargetMode = "External"/>
	<Relationship Id="rId253" Type="http://schemas.openxmlformats.org/officeDocument/2006/relationships/hyperlink" Target="https://login.consultant.ru/link/?req=doc&amp;base=INT&amp;n=46709&amp;dst=100213" TargetMode = "External"/>
	<Relationship Id="rId254" Type="http://schemas.openxmlformats.org/officeDocument/2006/relationships/hyperlink" Target="https://login.consultant.ru/link/?req=doc&amp;base=INT&amp;n=13669&amp;dst=100193" TargetMode = "External"/>
	<Relationship Id="rId255" Type="http://schemas.openxmlformats.org/officeDocument/2006/relationships/hyperlink" Target="https://login.consultant.ru/link/?req=doc&amp;base=INT&amp;n=46709&amp;dst=100213" TargetMode = "External"/>
	<Relationship Id="rId256" Type="http://schemas.openxmlformats.org/officeDocument/2006/relationships/hyperlink" Target="https://login.consultant.ru/link/?req=doc&amp;base=INT&amp;n=46709&amp;dst=100216" TargetMode = "External"/>
	<Relationship Id="rId257" Type="http://schemas.openxmlformats.org/officeDocument/2006/relationships/hyperlink" Target="https://login.consultant.ru/link/?req=doc&amp;base=INT&amp;n=46709&amp;dst=100217" TargetMode = "External"/>
	<Relationship Id="rId258" Type="http://schemas.openxmlformats.org/officeDocument/2006/relationships/hyperlink" Target="https://login.consultant.ru/link/?req=doc&amp;base=INT&amp;n=13669&amp;dst=100198" TargetMode = "External"/>
	<Relationship Id="rId259" Type="http://schemas.openxmlformats.org/officeDocument/2006/relationships/hyperlink" Target="https://login.consultant.ru/link/?req=doc&amp;base=INT&amp;n=46709&amp;dst=100218" TargetMode = "External"/>
	<Relationship Id="rId260" Type="http://schemas.openxmlformats.org/officeDocument/2006/relationships/hyperlink" Target="https://login.consultant.ru/link/?req=doc&amp;base=INT&amp;n=46709&amp;dst=100219" TargetMode = "External"/>
	<Relationship Id="rId261" Type="http://schemas.openxmlformats.org/officeDocument/2006/relationships/hyperlink" Target="https://login.consultant.ru/link/?req=doc&amp;base=INT&amp;n=13670&amp;dst=100167" TargetMode = "External"/>
	<Relationship Id="rId262" Type="http://schemas.openxmlformats.org/officeDocument/2006/relationships/hyperlink" Target="https://login.consultant.ru/link/?req=doc&amp;base=INT&amp;n=46709&amp;dst=100225" TargetMode = "External"/>
	<Relationship Id="rId263" Type="http://schemas.openxmlformats.org/officeDocument/2006/relationships/hyperlink" Target="https://login.consultant.ru/link/?req=doc&amp;base=INT&amp;n=46709&amp;dst=100234" TargetMode = "External"/>
	<Relationship Id="rId264" Type="http://schemas.openxmlformats.org/officeDocument/2006/relationships/hyperlink" Target="https://login.consultant.ru/link/?req=doc&amp;base=INT&amp;n=46709&amp;dst=100242" TargetMode = "External"/>
	<Relationship Id="rId265" Type="http://schemas.openxmlformats.org/officeDocument/2006/relationships/hyperlink" Target="https://login.consultant.ru/link/?req=doc&amp;base=INT&amp;n=46709&amp;dst=100245" TargetMode = "External"/>
	<Relationship Id="rId266" Type="http://schemas.openxmlformats.org/officeDocument/2006/relationships/hyperlink" Target="https://login.consultant.ru/link/?req=doc&amp;base=INT&amp;n=26397&amp;dst=100306" TargetMode = "External"/>
	<Relationship Id="rId267" Type="http://schemas.openxmlformats.org/officeDocument/2006/relationships/hyperlink" Target="https://login.consultant.ru/link/?req=doc&amp;base=INT&amp;n=13670&amp;dst=100204" TargetMode = "External"/>
	<Relationship Id="rId268" Type="http://schemas.openxmlformats.org/officeDocument/2006/relationships/hyperlink" Target="https://login.consultant.ru/link/?req=doc&amp;base=INT&amp;n=46709&amp;dst=100248" TargetMode = "External"/>
	<Relationship Id="rId269" Type="http://schemas.openxmlformats.org/officeDocument/2006/relationships/hyperlink" Target="https://login.consultant.ru/link/?req=doc&amp;base=INT&amp;n=13669&amp;dst=100219" TargetMode = "External"/>
	<Relationship Id="rId270" Type="http://schemas.openxmlformats.org/officeDocument/2006/relationships/hyperlink" Target="https://login.consultant.ru/link/?req=doc&amp;base=INT&amp;n=26397&amp;dst=100326" TargetMode = "External"/>
	<Relationship Id="rId271" Type="http://schemas.openxmlformats.org/officeDocument/2006/relationships/hyperlink" Target="https://login.consultant.ru/link/?req=doc&amp;base=INT&amp;n=13670&amp;dst=100213" TargetMode = "External"/>
	<Relationship Id="rId272" Type="http://schemas.openxmlformats.org/officeDocument/2006/relationships/hyperlink" Target="https://login.consultant.ru/link/?req=doc&amp;base=INT&amp;n=46709&amp;dst=100258" TargetMode = "External"/>
	<Relationship Id="rId273" Type="http://schemas.openxmlformats.org/officeDocument/2006/relationships/hyperlink" Target="https://login.consultant.ru/link/?req=doc&amp;base=INT&amp;n=46709&amp;dst=100259" TargetMode = "External"/>
	<Relationship Id="rId274" Type="http://schemas.openxmlformats.org/officeDocument/2006/relationships/hyperlink" Target="https://login.consultant.ru/link/?req=doc&amp;base=INT&amp;n=46709&amp;dst=100261" TargetMode = "External"/>
	<Relationship Id="rId275" Type="http://schemas.openxmlformats.org/officeDocument/2006/relationships/hyperlink" Target="https://login.consultant.ru/link/?req=doc&amp;base=INT&amp;n=46709&amp;dst=100265" TargetMode = "External"/>
	<Relationship Id="rId276" Type="http://schemas.openxmlformats.org/officeDocument/2006/relationships/hyperlink" Target="https://login.consultant.ru/link/?req=doc&amp;base=INT&amp;n=46709&amp;dst=100266" TargetMode = "External"/>
	<Relationship Id="rId277" Type="http://schemas.openxmlformats.org/officeDocument/2006/relationships/hyperlink" Target="https://login.consultant.ru/link/?req=doc&amp;base=INT&amp;n=46709&amp;dst=100267" TargetMode = "External"/>
	<Relationship Id="rId278" Type="http://schemas.openxmlformats.org/officeDocument/2006/relationships/hyperlink" Target="https://login.consultant.ru/link/?req=doc&amp;base=INT&amp;n=46709&amp;dst=100280" TargetMode = "External"/>
	<Relationship Id="rId279" Type="http://schemas.openxmlformats.org/officeDocument/2006/relationships/hyperlink" Target="https://login.consultant.ru/link/?req=doc&amp;base=INT&amp;n=46709&amp;dst=100281" TargetMode = "External"/>
	<Relationship Id="rId280" Type="http://schemas.openxmlformats.org/officeDocument/2006/relationships/hyperlink" Target="https://login.consultant.ru/link/?req=doc&amp;base=INT&amp;n=46709&amp;dst=100284" TargetMode = "External"/>
	<Relationship Id="rId281" Type="http://schemas.openxmlformats.org/officeDocument/2006/relationships/hyperlink" Target="https://login.consultant.ru/link/?req=doc&amp;base=INT&amp;n=46709&amp;dst=100285" TargetMode = "External"/>
	<Relationship Id="rId282" Type="http://schemas.openxmlformats.org/officeDocument/2006/relationships/hyperlink" Target="https://login.consultant.ru/link/?req=doc&amp;base=INT&amp;n=46709&amp;dst=100310" TargetMode = "External"/>
	<Relationship Id="rId283" Type="http://schemas.openxmlformats.org/officeDocument/2006/relationships/hyperlink" Target="https://login.consultant.ru/link/?req=doc&amp;base=INT&amp;n=46709&amp;dst=100313" TargetMode = "External"/>
	<Relationship Id="rId284" Type="http://schemas.openxmlformats.org/officeDocument/2006/relationships/hyperlink" Target="https://login.consultant.ru/link/?req=doc&amp;base=INT&amp;n=46709&amp;dst=100316" TargetMode = "External"/>
	<Relationship Id="rId285" Type="http://schemas.openxmlformats.org/officeDocument/2006/relationships/hyperlink" Target="https://login.consultant.ru/link/?req=doc&amp;base=INT&amp;n=46709&amp;dst=100320" TargetMode = "External"/>
	<Relationship Id="rId286" Type="http://schemas.openxmlformats.org/officeDocument/2006/relationships/hyperlink" Target="https://login.consultant.ru/link/?req=doc&amp;base=INT&amp;n=46709&amp;dst=100321" TargetMode = "External"/>
	<Relationship Id="rId287" Type="http://schemas.openxmlformats.org/officeDocument/2006/relationships/hyperlink" Target="https://login.consultant.ru/link/?req=doc&amp;base=INT&amp;n=46709&amp;dst=100324" TargetMode = "External"/>
	<Relationship Id="rId288" Type="http://schemas.openxmlformats.org/officeDocument/2006/relationships/hyperlink" Target="https://login.consultant.ru/link/?req=doc&amp;base=INT&amp;n=46709&amp;dst=100325" TargetMode = "External"/>
	<Relationship Id="rId289" Type="http://schemas.openxmlformats.org/officeDocument/2006/relationships/hyperlink" Target="https://login.consultant.ru/link/?req=doc&amp;base=INT&amp;n=46709&amp;dst=100326" TargetMode = "External"/>
	<Relationship Id="rId290" Type="http://schemas.openxmlformats.org/officeDocument/2006/relationships/hyperlink" Target="https://login.consultant.ru/link/?req=doc&amp;base=INT&amp;n=46709&amp;dst=100329" TargetMode = "External"/>
	<Relationship Id="rId291" Type="http://schemas.openxmlformats.org/officeDocument/2006/relationships/hyperlink" Target="https://login.consultant.ru/link/?req=doc&amp;base=INT&amp;n=46709&amp;dst=100332" TargetMode = "External"/>
	<Relationship Id="rId292" Type="http://schemas.openxmlformats.org/officeDocument/2006/relationships/hyperlink" Target="https://login.consultant.ru/link/?req=doc&amp;base=INT&amp;n=46709&amp;dst=100340" TargetMode = "External"/>
	<Relationship Id="rId293" Type="http://schemas.openxmlformats.org/officeDocument/2006/relationships/hyperlink" Target="https://login.consultant.ru/link/?req=doc&amp;base=INT&amp;n=46709&amp;dst=100344" TargetMode = "External"/>
	<Relationship Id="rId294" Type="http://schemas.openxmlformats.org/officeDocument/2006/relationships/hyperlink" Target="https://login.consultant.ru/link/?req=doc&amp;base=INT&amp;n=46709&amp;dst=100360" TargetMode = "External"/>
	<Relationship Id="rId295" Type="http://schemas.openxmlformats.org/officeDocument/2006/relationships/hyperlink" Target="https://login.consultant.ru/link/?req=doc&amp;base=INT&amp;n=46709&amp;dst=100389" TargetMode = "External"/>
	<Relationship Id="rId296" Type="http://schemas.openxmlformats.org/officeDocument/2006/relationships/hyperlink" Target="https://login.consultant.ru/link/?req=doc&amp;base=INT&amp;n=46709&amp;dst=100403" TargetMode = "External"/>
	<Relationship Id="rId297" Type="http://schemas.openxmlformats.org/officeDocument/2006/relationships/hyperlink" Target="https://login.consultant.ru/link/?req=doc&amp;base=INT&amp;n=13669&amp;dst=100051" TargetMode = "External"/>
	<Relationship Id="rId298" Type="http://schemas.openxmlformats.org/officeDocument/2006/relationships/hyperlink" Target="https://login.consultant.ru/link/?req=doc&amp;base=INT&amp;n=13669&amp;dst=100058" TargetMode = "External"/>
	<Relationship Id="rId299" Type="http://schemas.openxmlformats.org/officeDocument/2006/relationships/hyperlink" Target="https://login.consultant.ru/link/?req=doc&amp;base=INT&amp;n=13669&amp;dst=100059" TargetMode = "External"/>
	<Relationship Id="rId300" Type="http://schemas.openxmlformats.org/officeDocument/2006/relationships/hyperlink" Target="https://login.consultant.ru/link/?req=doc&amp;base=INT&amp;n=13669&amp;dst=100060" TargetMode = "External"/>
	<Relationship Id="rId301" Type="http://schemas.openxmlformats.org/officeDocument/2006/relationships/hyperlink" Target="https://login.consultant.ru/link/?req=doc&amp;base=INT&amp;n=13669&amp;dst=100067" TargetMode = "External"/>
	<Relationship Id="rId302" Type="http://schemas.openxmlformats.org/officeDocument/2006/relationships/hyperlink" Target="https://login.consultant.ru/link/?req=doc&amp;base=INT&amp;n=13669&amp;dst=100069" TargetMode = "External"/>
	<Relationship Id="rId303" Type="http://schemas.openxmlformats.org/officeDocument/2006/relationships/hyperlink" Target="https://login.consultant.ru/link/?req=doc&amp;base=INT&amp;n=13669&amp;dst=100070" TargetMode = "External"/>
	<Relationship Id="rId304" Type="http://schemas.openxmlformats.org/officeDocument/2006/relationships/hyperlink" Target="https://login.consultant.ru/link/?req=doc&amp;base=INT&amp;n=13669&amp;dst=100071" TargetMode = "External"/>
	<Relationship Id="rId305" Type="http://schemas.openxmlformats.org/officeDocument/2006/relationships/hyperlink" Target="https://login.consultant.ru/link/?req=doc&amp;base=INT&amp;n=13669&amp;dst=100074" TargetMode = "External"/>
	<Relationship Id="rId306" Type="http://schemas.openxmlformats.org/officeDocument/2006/relationships/hyperlink" Target="https://login.consultant.ru/link/?req=doc&amp;base=INT&amp;n=13669&amp;dst=100075" TargetMode = "External"/>
	<Relationship Id="rId307" Type="http://schemas.openxmlformats.org/officeDocument/2006/relationships/hyperlink" Target="https://login.consultant.ru/link/?req=doc&amp;base=INT&amp;n=13669&amp;dst=100076" TargetMode = "External"/>
	<Relationship Id="rId308" Type="http://schemas.openxmlformats.org/officeDocument/2006/relationships/hyperlink" Target="https://login.consultant.ru/link/?req=doc&amp;base=INT&amp;n=13669&amp;dst=100077" TargetMode = "External"/>
	<Relationship Id="rId309" Type="http://schemas.openxmlformats.org/officeDocument/2006/relationships/hyperlink" Target="https://login.consultant.ru/link/?req=doc&amp;base=INT&amp;n=13669&amp;dst=100078" TargetMode = "External"/>
	<Relationship Id="rId310" Type="http://schemas.openxmlformats.org/officeDocument/2006/relationships/hyperlink" Target="https://login.consultant.ru/link/?req=doc&amp;base=INT&amp;n=13669&amp;dst=100079" TargetMode = "External"/>
	<Relationship Id="rId311" Type="http://schemas.openxmlformats.org/officeDocument/2006/relationships/hyperlink" Target="https://login.consultant.ru/link/?req=doc&amp;base=INT&amp;n=13669&amp;dst=100080" TargetMode = "External"/>
	<Relationship Id="rId312" Type="http://schemas.openxmlformats.org/officeDocument/2006/relationships/hyperlink" Target="https://login.consultant.ru/link/?req=doc&amp;base=INT&amp;n=13669&amp;dst=100081" TargetMode = "External"/>
	<Relationship Id="rId313" Type="http://schemas.openxmlformats.org/officeDocument/2006/relationships/hyperlink" Target="https://login.consultant.ru/link/?req=doc&amp;base=INT&amp;n=13669&amp;dst=100082" TargetMode = "External"/>
	<Relationship Id="rId314" Type="http://schemas.openxmlformats.org/officeDocument/2006/relationships/hyperlink" Target="https://login.consultant.ru/link/?req=doc&amp;base=INT&amp;n=13669&amp;dst=100083" TargetMode = "External"/>
	<Relationship Id="rId315" Type="http://schemas.openxmlformats.org/officeDocument/2006/relationships/hyperlink" Target="https://login.consultant.ru/link/?req=doc&amp;base=INT&amp;n=13669&amp;dst=100084" TargetMode = "External"/>
	<Relationship Id="rId316" Type="http://schemas.openxmlformats.org/officeDocument/2006/relationships/hyperlink" Target="https://login.consultant.ru/link/?req=doc&amp;base=INT&amp;n=13669&amp;dst=100085" TargetMode = "External"/>
	<Relationship Id="rId317" Type="http://schemas.openxmlformats.org/officeDocument/2006/relationships/hyperlink" Target="https://login.consultant.ru/link/?req=doc&amp;base=INT&amp;n=13669&amp;dst=100086" TargetMode = "External"/>
	<Relationship Id="rId318" Type="http://schemas.openxmlformats.org/officeDocument/2006/relationships/hyperlink" Target="https://login.consultant.ru/link/?req=doc&amp;base=INT&amp;n=13669&amp;dst=100087" TargetMode = "External"/>
	<Relationship Id="rId319" Type="http://schemas.openxmlformats.org/officeDocument/2006/relationships/hyperlink" Target="https://login.consultant.ru/link/?req=doc&amp;base=INT&amp;n=13669&amp;dst=100088" TargetMode = "External"/>
	<Relationship Id="rId320" Type="http://schemas.openxmlformats.org/officeDocument/2006/relationships/hyperlink" Target="https://login.consultant.ru/link/?req=doc&amp;base=INT&amp;n=13669&amp;dst=100089" TargetMode = "External"/>
	<Relationship Id="rId321" Type="http://schemas.openxmlformats.org/officeDocument/2006/relationships/hyperlink" Target="https://login.consultant.ru/link/?req=doc&amp;base=INT&amp;n=13669&amp;dst=100090" TargetMode = "External"/>
	<Relationship Id="rId322" Type="http://schemas.openxmlformats.org/officeDocument/2006/relationships/hyperlink" Target="https://login.consultant.ru/link/?req=doc&amp;base=INT&amp;n=13669&amp;dst=100091" TargetMode = "External"/>
	<Relationship Id="rId323" Type="http://schemas.openxmlformats.org/officeDocument/2006/relationships/hyperlink" Target="https://login.consultant.ru/link/?req=doc&amp;base=INT&amp;n=13669&amp;dst=100092" TargetMode = "External"/>
	<Relationship Id="rId324" Type="http://schemas.openxmlformats.org/officeDocument/2006/relationships/hyperlink" Target="https://login.consultant.ru/link/?req=doc&amp;base=INT&amp;n=13669&amp;dst=100097" TargetMode = "External"/>
	<Relationship Id="rId325" Type="http://schemas.openxmlformats.org/officeDocument/2006/relationships/hyperlink" Target="https://login.consultant.ru/link/?req=doc&amp;base=INT&amp;n=13669&amp;dst=100101" TargetMode = "External"/>
	<Relationship Id="rId326" Type="http://schemas.openxmlformats.org/officeDocument/2006/relationships/hyperlink" Target="https://login.consultant.ru/link/?req=doc&amp;base=INT&amp;n=13669&amp;dst=100102" TargetMode = "External"/>
	<Relationship Id="rId327" Type="http://schemas.openxmlformats.org/officeDocument/2006/relationships/hyperlink" Target="https://login.consultant.ru/link/?req=doc&amp;base=INT&amp;n=13669&amp;dst=100103" TargetMode = "External"/>
	<Relationship Id="rId328" Type="http://schemas.openxmlformats.org/officeDocument/2006/relationships/hyperlink" Target="https://login.consultant.ru/link/?req=doc&amp;base=INT&amp;n=13669&amp;dst=100104" TargetMode = "External"/>
	<Relationship Id="rId329" Type="http://schemas.openxmlformats.org/officeDocument/2006/relationships/hyperlink" Target="https://login.consultant.ru/link/?req=doc&amp;base=INT&amp;n=13669&amp;dst=100110" TargetMode = "External"/>
	<Relationship Id="rId330" Type="http://schemas.openxmlformats.org/officeDocument/2006/relationships/hyperlink" Target="https://login.consultant.ru/link/?req=doc&amp;base=INT&amp;n=13669&amp;dst=100111" TargetMode = "External"/>
	<Relationship Id="rId331" Type="http://schemas.openxmlformats.org/officeDocument/2006/relationships/hyperlink" Target="https://login.consultant.ru/link/?req=doc&amp;base=INT&amp;n=13669&amp;dst=100114" TargetMode = "External"/>
	<Relationship Id="rId332" Type="http://schemas.openxmlformats.org/officeDocument/2006/relationships/hyperlink" Target="https://login.consultant.ru/link/?req=doc&amp;base=INT&amp;n=13669&amp;dst=100115" TargetMode = "External"/>
	<Relationship Id="rId333" Type="http://schemas.openxmlformats.org/officeDocument/2006/relationships/hyperlink" Target="https://login.consultant.ru/link/?req=doc&amp;base=INT&amp;n=13669&amp;dst=100116" TargetMode = "External"/>
	<Relationship Id="rId334" Type="http://schemas.openxmlformats.org/officeDocument/2006/relationships/hyperlink" Target="https://login.consultant.ru/link/?req=doc&amp;base=INT&amp;n=13669&amp;dst=100117" TargetMode = "External"/>
	<Relationship Id="rId335" Type="http://schemas.openxmlformats.org/officeDocument/2006/relationships/hyperlink" Target="https://login.consultant.ru/link/?req=doc&amp;base=INT&amp;n=13669&amp;dst=100118" TargetMode = "External"/>
	<Relationship Id="rId336" Type="http://schemas.openxmlformats.org/officeDocument/2006/relationships/hyperlink" Target="https://login.consultant.ru/link/?req=doc&amp;base=INT&amp;n=13669&amp;dst=100123" TargetMode = "External"/>
	<Relationship Id="rId337" Type="http://schemas.openxmlformats.org/officeDocument/2006/relationships/hyperlink" Target="https://login.consultant.ru/link/?req=doc&amp;base=INT&amp;n=13669&amp;dst=100126" TargetMode = "External"/>
	<Relationship Id="rId338" Type="http://schemas.openxmlformats.org/officeDocument/2006/relationships/hyperlink" Target="https://login.consultant.ru/link/?req=doc&amp;base=INT&amp;n=13669&amp;dst=100127" TargetMode = "External"/>
	<Relationship Id="rId339" Type="http://schemas.openxmlformats.org/officeDocument/2006/relationships/hyperlink" Target="https://login.consultant.ru/link/?req=doc&amp;base=INT&amp;n=13669&amp;dst=100128" TargetMode = "External"/>
	<Relationship Id="rId340" Type="http://schemas.openxmlformats.org/officeDocument/2006/relationships/hyperlink" Target="https://login.consultant.ru/link/?req=doc&amp;base=INT&amp;n=13669&amp;dst=100129" TargetMode = "External"/>
	<Relationship Id="rId341" Type="http://schemas.openxmlformats.org/officeDocument/2006/relationships/hyperlink" Target="https://login.consultant.ru/link/?req=doc&amp;base=INT&amp;n=13669&amp;dst=100130" TargetMode = "External"/>
	<Relationship Id="rId342" Type="http://schemas.openxmlformats.org/officeDocument/2006/relationships/hyperlink" Target="https://login.consultant.ru/link/?req=doc&amp;base=INT&amp;n=13669&amp;dst=100131" TargetMode = "External"/>
	<Relationship Id="rId343" Type="http://schemas.openxmlformats.org/officeDocument/2006/relationships/hyperlink" Target="https://login.consultant.ru/link/?req=doc&amp;base=INT&amp;n=13669&amp;dst=100134" TargetMode = "External"/>
	<Relationship Id="rId344" Type="http://schemas.openxmlformats.org/officeDocument/2006/relationships/hyperlink" Target="https://login.consultant.ru/link/?req=doc&amp;base=INT&amp;n=13669&amp;dst=100135" TargetMode = "External"/>
	<Relationship Id="rId345" Type="http://schemas.openxmlformats.org/officeDocument/2006/relationships/hyperlink" Target="https://login.consultant.ru/link/?req=doc&amp;base=INT&amp;n=13669&amp;dst=100141" TargetMode = "External"/>
	<Relationship Id="rId346" Type="http://schemas.openxmlformats.org/officeDocument/2006/relationships/hyperlink" Target="https://login.consultant.ru/link/?req=doc&amp;base=INT&amp;n=13669&amp;dst=100157" TargetMode = "External"/>
	<Relationship Id="rId347" Type="http://schemas.openxmlformats.org/officeDocument/2006/relationships/hyperlink" Target="https://login.consultant.ru/link/?req=doc&amp;base=INT&amp;n=13669&amp;dst=100158" TargetMode = "External"/>
	<Relationship Id="rId348" Type="http://schemas.openxmlformats.org/officeDocument/2006/relationships/hyperlink" Target="https://login.consultant.ru/link/?req=doc&amp;base=INT&amp;n=13669&amp;dst=100159" TargetMode = "External"/>
	<Relationship Id="rId349" Type="http://schemas.openxmlformats.org/officeDocument/2006/relationships/hyperlink" Target="https://login.consultant.ru/link/?req=doc&amp;base=INT&amp;n=13669&amp;dst=100160" TargetMode = "External"/>
	<Relationship Id="rId350" Type="http://schemas.openxmlformats.org/officeDocument/2006/relationships/hyperlink" Target="https://login.consultant.ru/link/?req=doc&amp;base=INT&amp;n=13669&amp;dst=100161" TargetMode = "External"/>
	<Relationship Id="rId351" Type="http://schemas.openxmlformats.org/officeDocument/2006/relationships/hyperlink" Target="https://login.consultant.ru/link/?req=doc&amp;base=INT&amp;n=13669&amp;dst=100161" TargetMode = "External"/>
	<Relationship Id="rId352" Type="http://schemas.openxmlformats.org/officeDocument/2006/relationships/hyperlink" Target="https://login.consultant.ru/link/?req=doc&amp;base=INT&amp;n=13669&amp;dst=100162" TargetMode = "External"/>
	<Relationship Id="rId353" Type="http://schemas.openxmlformats.org/officeDocument/2006/relationships/hyperlink" Target="https://login.consultant.ru/link/?req=doc&amp;base=INT&amp;n=13669&amp;dst=100165" TargetMode = "External"/>
	<Relationship Id="rId354" Type="http://schemas.openxmlformats.org/officeDocument/2006/relationships/hyperlink" Target="https://login.consultant.ru/link/?req=doc&amp;base=INT&amp;n=13669&amp;dst=100166" TargetMode = "External"/>
	<Relationship Id="rId355" Type="http://schemas.openxmlformats.org/officeDocument/2006/relationships/hyperlink" Target="https://login.consultant.ru/link/?req=doc&amp;base=INT&amp;n=13669&amp;dst=100167" TargetMode = "External"/>
	<Relationship Id="rId356" Type="http://schemas.openxmlformats.org/officeDocument/2006/relationships/hyperlink" Target="https://login.consultant.ru/link/?req=doc&amp;base=INT&amp;n=13669&amp;dst=100168" TargetMode = "External"/>
	<Relationship Id="rId357" Type="http://schemas.openxmlformats.org/officeDocument/2006/relationships/hyperlink" Target="https://login.consultant.ru/link/?req=doc&amp;base=INT&amp;n=13669&amp;dst=100169" TargetMode = "External"/>
	<Relationship Id="rId358" Type="http://schemas.openxmlformats.org/officeDocument/2006/relationships/hyperlink" Target="https://login.consultant.ru/link/?req=doc&amp;base=INT&amp;n=13669&amp;dst=100172" TargetMode = "External"/>
	<Relationship Id="rId359" Type="http://schemas.openxmlformats.org/officeDocument/2006/relationships/hyperlink" Target="https://login.consultant.ru/link/?req=doc&amp;base=INT&amp;n=13669&amp;dst=100173" TargetMode = "External"/>
	<Relationship Id="rId360" Type="http://schemas.openxmlformats.org/officeDocument/2006/relationships/hyperlink" Target="https://login.consultant.ru/link/?req=doc&amp;base=INT&amp;n=13669&amp;dst=100174" TargetMode = "External"/>
	<Relationship Id="rId361" Type="http://schemas.openxmlformats.org/officeDocument/2006/relationships/hyperlink" Target="https://login.consultant.ru/link/?req=doc&amp;base=INT&amp;n=13669&amp;dst=100175" TargetMode = "External"/>
	<Relationship Id="rId362" Type="http://schemas.openxmlformats.org/officeDocument/2006/relationships/hyperlink" Target="https://login.consultant.ru/link/?req=doc&amp;base=INT&amp;n=13669&amp;dst=100176" TargetMode = "External"/>
	<Relationship Id="rId363" Type="http://schemas.openxmlformats.org/officeDocument/2006/relationships/hyperlink" Target="https://login.consultant.ru/link/?req=doc&amp;base=INT&amp;n=13669&amp;dst=100177" TargetMode = "External"/>
	<Relationship Id="rId364" Type="http://schemas.openxmlformats.org/officeDocument/2006/relationships/hyperlink" Target="https://login.consultant.ru/link/?req=doc&amp;base=INT&amp;n=13669&amp;dst=100178" TargetMode = "External"/>
	<Relationship Id="rId365" Type="http://schemas.openxmlformats.org/officeDocument/2006/relationships/hyperlink" Target="https://login.consultant.ru/link/?req=doc&amp;base=INT&amp;n=13669&amp;dst=100179" TargetMode = "External"/>
	<Relationship Id="rId366" Type="http://schemas.openxmlformats.org/officeDocument/2006/relationships/hyperlink" Target="https://login.consultant.ru/link/?req=doc&amp;base=INT&amp;n=13669&amp;dst=100182" TargetMode = "External"/>
	<Relationship Id="rId367" Type="http://schemas.openxmlformats.org/officeDocument/2006/relationships/hyperlink" Target="https://login.consultant.ru/link/?req=doc&amp;base=INT&amp;n=13669&amp;dst=100185" TargetMode = "External"/>
	<Relationship Id="rId368" Type="http://schemas.openxmlformats.org/officeDocument/2006/relationships/hyperlink" Target="https://login.consultant.ru/link/?req=doc&amp;base=INT&amp;n=13669&amp;dst=100186" TargetMode = "External"/>
	<Relationship Id="rId369" Type="http://schemas.openxmlformats.org/officeDocument/2006/relationships/hyperlink" Target="https://login.consultant.ru/link/?req=doc&amp;base=INT&amp;n=26397&amp;dst=100156" TargetMode = "External"/>
	<Relationship Id="rId370" Type="http://schemas.openxmlformats.org/officeDocument/2006/relationships/hyperlink" Target="https://login.consultant.ru/link/?req=doc&amp;base=INT&amp;n=13669&amp;dst=100193" TargetMode = "External"/>
	<Relationship Id="rId371" Type="http://schemas.openxmlformats.org/officeDocument/2006/relationships/hyperlink" Target="https://login.consultant.ru/link/?req=doc&amp;base=INT&amp;n=13669&amp;dst=100193" TargetMode = "External"/>
	<Relationship Id="rId372" Type="http://schemas.openxmlformats.org/officeDocument/2006/relationships/hyperlink" Target="https://login.consultant.ru/link/?req=doc&amp;base=INT&amp;n=13669&amp;dst=100202" TargetMode = "External"/>
	<Relationship Id="rId373" Type="http://schemas.openxmlformats.org/officeDocument/2006/relationships/hyperlink" Target="https://login.consultant.ru/link/?req=doc&amp;base=INT&amp;n=13669&amp;dst=100202" TargetMode = "External"/>
	<Relationship Id="rId374" Type="http://schemas.openxmlformats.org/officeDocument/2006/relationships/hyperlink" Target="https://login.consultant.ru/link/?req=doc&amp;base=INT&amp;n=13669&amp;dst=100203" TargetMode = "External"/>
	<Relationship Id="rId375" Type="http://schemas.openxmlformats.org/officeDocument/2006/relationships/hyperlink" Target="https://login.consultant.ru/link/?req=doc&amp;base=INT&amp;n=13669&amp;dst=100204" TargetMode = "External"/>
	<Relationship Id="rId376" Type="http://schemas.openxmlformats.org/officeDocument/2006/relationships/hyperlink" Target="https://login.consultant.ru/link/?req=doc&amp;base=INT&amp;n=13669&amp;dst=100208" TargetMode = "External"/>
	<Relationship Id="rId377" Type="http://schemas.openxmlformats.org/officeDocument/2006/relationships/hyperlink" Target="https://login.consultant.ru/link/?req=doc&amp;base=INT&amp;n=13669&amp;dst=100209" TargetMode = "External"/>
	<Relationship Id="rId378" Type="http://schemas.openxmlformats.org/officeDocument/2006/relationships/hyperlink" Target="https://login.consultant.ru/link/?req=doc&amp;base=INT&amp;n=13669&amp;dst=100211" TargetMode = "External"/>
	<Relationship Id="rId379" Type="http://schemas.openxmlformats.org/officeDocument/2006/relationships/hyperlink" Target="https://login.consultant.ru/link/?req=doc&amp;base=INT&amp;n=26397&amp;dst=100313" TargetMode = "External"/>
	<Relationship Id="rId380" Type="http://schemas.openxmlformats.org/officeDocument/2006/relationships/hyperlink" Target="https://login.consultant.ru/link/?req=doc&amp;base=INT&amp;n=13670&amp;dst=100202" TargetMode = "External"/>
	<Relationship Id="rId381" Type="http://schemas.openxmlformats.org/officeDocument/2006/relationships/hyperlink" Target="https://login.consultant.ru/link/?req=doc&amp;base=INT&amp;n=13669&amp;dst=100229" TargetMode = "External"/>
	<Relationship Id="rId382" Type="http://schemas.openxmlformats.org/officeDocument/2006/relationships/hyperlink" Target="https://login.consultant.ru/link/?req=doc&amp;base=INT&amp;n=13669&amp;dst=100229" TargetMode = "External"/>
	<Relationship Id="rId383" Type="http://schemas.openxmlformats.org/officeDocument/2006/relationships/hyperlink" Target="https://login.consultant.ru/link/?req=doc&amp;base=INT&amp;n=13669&amp;dst=100229" TargetMode = "External"/>
	<Relationship Id="rId384" Type="http://schemas.openxmlformats.org/officeDocument/2006/relationships/hyperlink" Target="https://login.consultant.ru/link/?req=doc&amp;base=INT&amp;n=13669&amp;dst=100230" TargetMode = "External"/>
	<Relationship Id="rId385" Type="http://schemas.openxmlformats.org/officeDocument/2006/relationships/hyperlink" Target="https://login.consultant.ru/link/?req=doc&amp;base=INT&amp;n=13669&amp;dst=100282" TargetMode = "External"/>
	<Relationship Id="rId386" Type="http://schemas.openxmlformats.org/officeDocument/2006/relationships/hyperlink" Target="https://login.consultant.ru/link/?req=doc&amp;base=INT&amp;n=13669&amp;dst=100313" TargetMode = "External"/>
	<Relationship Id="rId387" Type="http://schemas.openxmlformats.org/officeDocument/2006/relationships/hyperlink" Target="https://login.consultant.ru/link/?req=doc&amp;base=INT&amp;n=13669&amp;dst=100324" TargetMode = "External"/>
	<Relationship Id="rId388" Type="http://schemas.openxmlformats.org/officeDocument/2006/relationships/hyperlink" Target="https://login.consultant.ru/link/?req=doc&amp;base=INT&amp;n=13669&amp;dst=100324" TargetMode = "External"/>
	<Relationship Id="rId389" Type="http://schemas.openxmlformats.org/officeDocument/2006/relationships/hyperlink" Target="https://login.consultant.ru/link/?req=doc&amp;base=INT&amp;n=13669&amp;dst=100324" TargetMode = "External"/>
	<Relationship Id="rId390" Type="http://schemas.openxmlformats.org/officeDocument/2006/relationships/hyperlink" Target="https://login.consultant.ru/link/?req=doc&amp;base=INT&amp;n=13669&amp;dst=100325" TargetMode = "External"/>
	<Relationship Id="rId391" Type="http://schemas.openxmlformats.org/officeDocument/2006/relationships/hyperlink" Target="https://login.consultant.ru/link/?req=doc&amp;base=INT&amp;n=13669&amp;dst=100327" TargetMode = "External"/>
	<Relationship Id="rId392" Type="http://schemas.openxmlformats.org/officeDocument/2006/relationships/hyperlink" Target="https://login.consultant.ru/link/?req=doc&amp;base=INT&amp;n=13669&amp;dst=100349" TargetMode = "External"/>
	<Relationship Id="rId393" Type="http://schemas.openxmlformats.org/officeDocument/2006/relationships/hyperlink" Target="https://login.consultant.ru/link/?req=doc&amp;base=INT&amp;n=13669&amp;dst=100351" TargetMode = "External"/>
	<Relationship Id="rId394" Type="http://schemas.openxmlformats.org/officeDocument/2006/relationships/hyperlink" Target="https://login.consultant.ru/link/?req=doc&amp;base=INT&amp;n=13669&amp;dst=100356" TargetMode = "External"/>
	<Relationship Id="rId395" Type="http://schemas.openxmlformats.org/officeDocument/2006/relationships/hyperlink" Target="https://login.consultant.ru/link/?req=doc&amp;base=INT&amp;n=13669&amp;dst=100370" TargetMode = "External"/>
	<Relationship Id="rId396" Type="http://schemas.openxmlformats.org/officeDocument/2006/relationships/hyperlink" Target="https://login.consultant.ru/link/?req=doc&amp;base=INT&amp;n=26397&amp;dst=100083" TargetMode = "External"/>
	<Relationship Id="rId397" Type="http://schemas.openxmlformats.org/officeDocument/2006/relationships/hyperlink" Target="https://login.consultant.ru/link/?req=doc&amp;base=INT&amp;n=26397&amp;dst=100084" TargetMode = "External"/>
	<Relationship Id="rId398" Type="http://schemas.openxmlformats.org/officeDocument/2006/relationships/hyperlink" Target="https://login.consultant.ru/link/?req=doc&amp;base=INT&amp;n=26397&amp;dst=100087" TargetMode = "External"/>
	<Relationship Id="rId399" Type="http://schemas.openxmlformats.org/officeDocument/2006/relationships/hyperlink" Target="https://login.consultant.ru/link/?req=doc&amp;base=INT&amp;n=26397&amp;dst=100088" TargetMode = "External"/>
	<Relationship Id="rId400" Type="http://schemas.openxmlformats.org/officeDocument/2006/relationships/hyperlink" Target="https://login.consultant.ru/link/?req=doc&amp;base=INT&amp;n=26397&amp;dst=100089" TargetMode = "External"/>
	<Relationship Id="rId401" Type="http://schemas.openxmlformats.org/officeDocument/2006/relationships/hyperlink" Target="https://login.consultant.ru/link/?req=doc&amp;base=INT&amp;n=26397&amp;dst=100090" TargetMode = "External"/>
	<Relationship Id="rId402" Type="http://schemas.openxmlformats.org/officeDocument/2006/relationships/hyperlink" Target="https://login.consultant.ru/link/?req=doc&amp;base=INT&amp;n=26397&amp;dst=100094" TargetMode = "External"/>
	<Relationship Id="rId403" Type="http://schemas.openxmlformats.org/officeDocument/2006/relationships/hyperlink" Target="https://login.consultant.ru/link/?req=doc&amp;base=INT&amp;n=26397&amp;dst=100095" TargetMode = "External"/>
	<Relationship Id="rId404" Type="http://schemas.openxmlformats.org/officeDocument/2006/relationships/hyperlink" Target="https://login.consultant.ru/link/?req=doc&amp;base=INT&amp;n=26397&amp;dst=100096" TargetMode = "External"/>
	<Relationship Id="rId405" Type="http://schemas.openxmlformats.org/officeDocument/2006/relationships/hyperlink" Target="https://login.consultant.ru/link/?req=doc&amp;base=INT&amp;n=26397&amp;dst=100097" TargetMode = "External"/>
	<Relationship Id="rId406" Type="http://schemas.openxmlformats.org/officeDocument/2006/relationships/hyperlink" Target="https://login.consultant.ru/link/?req=doc&amp;base=INT&amp;n=26397&amp;dst=100098" TargetMode = "External"/>
	<Relationship Id="rId407" Type="http://schemas.openxmlformats.org/officeDocument/2006/relationships/hyperlink" Target="https://login.consultant.ru/link/?req=doc&amp;base=INT&amp;n=26397&amp;dst=100103" TargetMode = "External"/>
	<Relationship Id="rId408" Type="http://schemas.openxmlformats.org/officeDocument/2006/relationships/hyperlink" Target="https://login.consultant.ru/link/?req=doc&amp;base=INT&amp;n=26397&amp;dst=100106" TargetMode = "External"/>
	<Relationship Id="rId409" Type="http://schemas.openxmlformats.org/officeDocument/2006/relationships/hyperlink" Target="https://login.consultant.ru/link/?req=doc&amp;base=INT&amp;n=26397&amp;dst=100116" TargetMode = "External"/>
	<Relationship Id="rId410" Type="http://schemas.openxmlformats.org/officeDocument/2006/relationships/hyperlink" Target="https://login.consultant.ru/link/?req=doc&amp;base=INT&amp;n=26397&amp;dst=100119" TargetMode = "External"/>
	<Relationship Id="rId411" Type="http://schemas.openxmlformats.org/officeDocument/2006/relationships/hyperlink" Target="https://login.consultant.ru/link/?req=doc&amp;base=INT&amp;n=26397&amp;dst=100120" TargetMode = "External"/>
	<Relationship Id="rId412" Type="http://schemas.openxmlformats.org/officeDocument/2006/relationships/hyperlink" Target="https://login.consultant.ru/link/?req=doc&amp;base=INT&amp;n=26397&amp;dst=100121" TargetMode = "External"/>
	<Relationship Id="rId413" Type="http://schemas.openxmlformats.org/officeDocument/2006/relationships/hyperlink" Target="https://login.consultant.ru/link/?req=doc&amp;base=INT&amp;n=26397&amp;dst=100124" TargetMode = "External"/>
	<Relationship Id="rId414" Type="http://schemas.openxmlformats.org/officeDocument/2006/relationships/hyperlink" Target="https://login.consultant.ru/link/?req=doc&amp;base=INT&amp;n=26397&amp;dst=100125" TargetMode = "External"/>
	<Relationship Id="rId415" Type="http://schemas.openxmlformats.org/officeDocument/2006/relationships/hyperlink" Target="https://login.consultant.ru/link/?req=doc&amp;base=INT&amp;n=26397&amp;dst=100126" TargetMode = "External"/>
	<Relationship Id="rId416" Type="http://schemas.openxmlformats.org/officeDocument/2006/relationships/hyperlink" Target="https://login.consultant.ru/link/?req=doc&amp;base=INT&amp;n=26397&amp;dst=100130" TargetMode = "External"/>
	<Relationship Id="rId417" Type="http://schemas.openxmlformats.org/officeDocument/2006/relationships/hyperlink" Target="https://login.consultant.ru/link/?req=doc&amp;base=INT&amp;n=26397&amp;dst=100133" TargetMode = "External"/>
	<Relationship Id="rId418" Type="http://schemas.openxmlformats.org/officeDocument/2006/relationships/hyperlink" Target="https://login.consultant.ru/link/?req=doc&amp;base=INT&amp;n=26397&amp;dst=100136" TargetMode = "External"/>
	<Relationship Id="rId419" Type="http://schemas.openxmlformats.org/officeDocument/2006/relationships/hyperlink" Target="https://login.consultant.ru/link/?req=doc&amp;base=INT&amp;n=26397&amp;dst=100140" TargetMode = "External"/>
	<Relationship Id="rId420" Type="http://schemas.openxmlformats.org/officeDocument/2006/relationships/hyperlink" Target="https://login.consultant.ru/link/?req=doc&amp;base=INT&amp;n=26397&amp;dst=100146" TargetMode = "External"/>
	<Relationship Id="rId421" Type="http://schemas.openxmlformats.org/officeDocument/2006/relationships/hyperlink" Target="https://login.consultant.ru/link/?req=doc&amp;base=INT&amp;n=26397&amp;dst=100147" TargetMode = "External"/>
	<Relationship Id="rId422" Type="http://schemas.openxmlformats.org/officeDocument/2006/relationships/hyperlink" Target="https://login.consultant.ru/link/?req=doc&amp;base=INT&amp;n=26397&amp;dst=100148" TargetMode = "External"/>
	<Relationship Id="rId423" Type="http://schemas.openxmlformats.org/officeDocument/2006/relationships/hyperlink" Target="https://login.consultant.ru/link/?req=doc&amp;base=INT&amp;n=26397&amp;dst=100149" TargetMode = "External"/>
	<Relationship Id="rId424" Type="http://schemas.openxmlformats.org/officeDocument/2006/relationships/hyperlink" Target="https://login.consultant.ru/link/?req=doc&amp;base=INT&amp;n=26397&amp;dst=100150" TargetMode = "External"/>
	<Relationship Id="rId425" Type="http://schemas.openxmlformats.org/officeDocument/2006/relationships/hyperlink" Target="https://login.consultant.ru/link/?req=doc&amp;base=INT&amp;n=26397&amp;dst=100153" TargetMode = "External"/>
	<Relationship Id="rId426" Type="http://schemas.openxmlformats.org/officeDocument/2006/relationships/hyperlink" Target="https://login.consultant.ru/link/?req=doc&amp;base=INT&amp;n=26397&amp;dst=100154" TargetMode = "External"/>
	<Relationship Id="rId427" Type="http://schemas.openxmlformats.org/officeDocument/2006/relationships/hyperlink" Target="https://login.consultant.ru/link/?req=doc&amp;base=INT&amp;n=26397&amp;dst=100155" TargetMode = "External"/>
	<Relationship Id="rId428" Type="http://schemas.openxmlformats.org/officeDocument/2006/relationships/hyperlink" Target="https://login.consultant.ru/link/?req=doc&amp;base=INT&amp;n=26397&amp;dst=100157" TargetMode = "External"/>
	<Relationship Id="rId429" Type="http://schemas.openxmlformats.org/officeDocument/2006/relationships/hyperlink" Target="https://login.consultant.ru/link/?req=doc&amp;base=INT&amp;n=26397&amp;dst=100173" TargetMode = "External"/>
	<Relationship Id="rId430" Type="http://schemas.openxmlformats.org/officeDocument/2006/relationships/hyperlink" Target="https://login.consultant.ru/link/?req=doc&amp;base=INT&amp;n=26397&amp;dst=100174" TargetMode = "External"/>
	<Relationship Id="rId431" Type="http://schemas.openxmlformats.org/officeDocument/2006/relationships/hyperlink" Target="https://login.consultant.ru/link/?req=doc&amp;base=INT&amp;n=26397&amp;dst=100177" TargetMode = "External"/>
	<Relationship Id="rId432" Type="http://schemas.openxmlformats.org/officeDocument/2006/relationships/hyperlink" Target="https://login.consultant.ru/link/?req=doc&amp;base=INT&amp;n=26397&amp;dst=100175" TargetMode = "External"/>
	<Relationship Id="rId433" Type="http://schemas.openxmlformats.org/officeDocument/2006/relationships/hyperlink" Target="https://login.consultant.ru/link/?req=doc&amp;base=INT&amp;n=26397&amp;dst=100176" TargetMode = "External"/>
	<Relationship Id="rId434" Type="http://schemas.openxmlformats.org/officeDocument/2006/relationships/hyperlink" Target="https://login.consultant.ru/link/?req=doc&amp;base=INT&amp;n=26397&amp;dst=100176" TargetMode = "External"/>
	<Relationship Id="rId435" Type="http://schemas.openxmlformats.org/officeDocument/2006/relationships/hyperlink" Target="https://login.consultant.ru/link/?req=doc&amp;base=INT&amp;n=26397&amp;dst=100178" TargetMode = "External"/>
	<Relationship Id="rId436" Type="http://schemas.openxmlformats.org/officeDocument/2006/relationships/hyperlink" Target="https://login.consultant.ru/link/?req=doc&amp;base=INT&amp;n=26397&amp;dst=100182" TargetMode = "External"/>
	<Relationship Id="rId437" Type="http://schemas.openxmlformats.org/officeDocument/2006/relationships/hyperlink" Target="https://login.consultant.ru/link/?req=doc&amp;base=INT&amp;n=26397&amp;dst=100182" TargetMode = "External"/>
	<Relationship Id="rId438" Type="http://schemas.openxmlformats.org/officeDocument/2006/relationships/hyperlink" Target="https://login.consultant.ru/link/?req=doc&amp;base=INT&amp;n=26397&amp;dst=100183" TargetMode = "External"/>
	<Relationship Id="rId439" Type="http://schemas.openxmlformats.org/officeDocument/2006/relationships/hyperlink" Target="https://login.consultant.ru/link/?req=doc&amp;base=INT&amp;n=26397&amp;dst=100183" TargetMode = "External"/>
	<Relationship Id="rId440" Type="http://schemas.openxmlformats.org/officeDocument/2006/relationships/hyperlink" Target="https://login.consultant.ru/link/?req=doc&amp;base=INT&amp;n=26397&amp;dst=100182" TargetMode = "External"/>
	<Relationship Id="rId441" Type="http://schemas.openxmlformats.org/officeDocument/2006/relationships/hyperlink" Target="https://login.consultant.ru/link/?req=doc&amp;base=INT&amp;n=26397&amp;dst=100183" TargetMode = "External"/>
	<Relationship Id="rId442" Type="http://schemas.openxmlformats.org/officeDocument/2006/relationships/hyperlink" Target="https://login.consultant.ru/link/?req=doc&amp;base=INT&amp;n=26397&amp;dst=100184" TargetMode = "External"/>
	<Relationship Id="rId443" Type="http://schemas.openxmlformats.org/officeDocument/2006/relationships/hyperlink" Target="https://login.consultant.ru/link/?req=doc&amp;base=INT&amp;n=26397&amp;dst=100185" TargetMode = "External"/>
	<Relationship Id="rId444" Type="http://schemas.openxmlformats.org/officeDocument/2006/relationships/hyperlink" Target="https://login.consultant.ru/link/?req=doc&amp;base=INT&amp;n=26397&amp;dst=100186" TargetMode = "External"/>
	<Relationship Id="rId445" Type="http://schemas.openxmlformats.org/officeDocument/2006/relationships/hyperlink" Target="https://login.consultant.ru/link/?req=doc&amp;base=INT&amp;n=26397&amp;dst=100186" TargetMode = "External"/>
	<Relationship Id="rId446" Type="http://schemas.openxmlformats.org/officeDocument/2006/relationships/hyperlink" Target="https://login.consultant.ru/link/?req=doc&amp;base=INT&amp;n=26397&amp;dst=100187" TargetMode = "External"/>
	<Relationship Id="rId447" Type="http://schemas.openxmlformats.org/officeDocument/2006/relationships/hyperlink" Target="https://login.consultant.ru/link/?req=doc&amp;base=INT&amp;n=26397&amp;dst=100188" TargetMode = "External"/>
	<Relationship Id="rId448" Type="http://schemas.openxmlformats.org/officeDocument/2006/relationships/hyperlink" Target="https://login.consultant.ru/link/?req=doc&amp;base=INT&amp;n=26397&amp;dst=100189" TargetMode = "External"/>
	<Relationship Id="rId449" Type="http://schemas.openxmlformats.org/officeDocument/2006/relationships/hyperlink" Target="https://login.consultant.ru/link/?req=doc&amp;base=INT&amp;n=26397&amp;dst=100192" TargetMode = "External"/>
	<Relationship Id="rId450" Type="http://schemas.openxmlformats.org/officeDocument/2006/relationships/hyperlink" Target="https://login.consultant.ru/link/?req=doc&amp;base=INT&amp;n=26397&amp;dst=100193" TargetMode = "External"/>
	<Relationship Id="rId451" Type="http://schemas.openxmlformats.org/officeDocument/2006/relationships/hyperlink" Target="https://login.consultant.ru/link/?req=doc&amp;base=INT&amp;n=26397&amp;dst=100194" TargetMode = "External"/>
	<Relationship Id="rId452" Type="http://schemas.openxmlformats.org/officeDocument/2006/relationships/hyperlink" Target="https://login.consultant.ru/link/?req=doc&amp;base=INT&amp;n=26397&amp;dst=100195" TargetMode = "External"/>
	<Relationship Id="rId453" Type="http://schemas.openxmlformats.org/officeDocument/2006/relationships/hyperlink" Target="https://login.consultant.ru/link/?req=doc&amp;base=INT&amp;n=26397&amp;dst=100251" TargetMode = "External"/>
	<Relationship Id="rId454" Type="http://schemas.openxmlformats.org/officeDocument/2006/relationships/hyperlink" Target="https://login.consultant.ru/link/?req=doc&amp;base=INT&amp;n=26397&amp;dst=100196" TargetMode = "External"/>
	<Relationship Id="rId455" Type="http://schemas.openxmlformats.org/officeDocument/2006/relationships/hyperlink" Target="https://login.consultant.ru/link/?req=doc&amp;base=INT&amp;n=26397&amp;dst=100197" TargetMode = "External"/>
	<Relationship Id="rId456" Type="http://schemas.openxmlformats.org/officeDocument/2006/relationships/hyperlink" Target="https://login.consultant.ru/link/?req=doc&amp;base=INT&amp;n=26397&amp;dst=100200" TargetMode = "External"/>
	<Relationship Id="rId457" Type="http://schemas.openxmlformats.org/officeDocument/2006/relationships/hyperlink" Target="https://login.consultant.ru/link/?req=doc&amp;base=INT&amp;n=26397&amp;dst=100201" TargetMode = "External"/>
	<Relationship Id="rId458" Type="http://schemas.openxmlformats.org/officeDocument/2006/relationships/hyperlink" Target="https://login.consultant.ru/link/?req=doc&amp;base=INT&amp;n=26397&amp;dst=100202" TargetMode = "External"/>
	<Relationship Id="rId459" Type="http://schemas.openxmlformats.org/officeDocument/2006/relationships/hyperlink" Target="https://login.consultant.ru/link/?req=doc&amp;base=INT&amp;n=26397&amp;dst=100205" TargetMode = "External"/>
	<Relationship Id="rId460" Type="http://schemas.openxmlformats.org/officeDocument/2006/relationships/hyperlink" Target="https://login.consultant.ru/link/?req=doc&amp;base=INT&amp;n=26397&amp;dst=100206" TargetMode = "External"/>
	<Relationship Id="rId461" Type="http://schemas.openxmlformats.org/officeDocument/2006/relationships/hyperlink" Target="https://login.consultant.ru/link/?req=doc&amp;base=INT&amp;n=26397&amp;dst=100210" TargetMode = "External"/>
	<Relationship Id="rId462" Type="http://schemas.openxmlformats.org/officeDocument/2006/relationships/hyperlink" Target="https://login.consultant.ru/link/?req=doc&amp;base=INT&amp;n=26397&amp;dst=100211" TargetMode = "External"/>
	<Relationship Id="rId463" Type="http://schemas.openxmlformats.org/officeDocument/2006/relationships/hyperlink" Target="https://login.consultant.ru/link/?req=doc&amp;base=INT&amp;n=26397&amp;dst=100212" TargetMode = "External"/>
	<Relationship Id="rId464" Type="http://schemas.openxmlformats.org/officeDocument/2006/relationships/hyperlink" Target="https://login.consultant.ru/link/?req=doc&amp;base=INT&amp;n=26397&amp;dst=100214" TargetMode = "External"/>
	<Relationship Id="rId465" Type="http://schemas.openxmlformats.org/officeDocument/2006/relationships/hyperlink" Target="https://login.consultant.ru/link/?req=doc&amp;base=INT&amp;n=26397&amp;dst=100217" TargetMode = "External"/>
	<Relationship Id="rId466" Type="http://schemas.openxmlformats.org/officeDocument/2006/relationships/hyperlink" Target="https://login.consultant.ru/link/?req=doc&amp;base=INT&amp;n=26397&amp;dst=100219" TargetMode = "External"/>
	<Relationship Id="rId467" Type="http://schemas.openxmlformats.org/officeDocument/2006/relationships/hyperlink" Target="https://login.consultant.ru/link/?req=doc&amp;base=INT&amp;n=26397&amp;dst=100222" TargetMode = "External"/>
	<Relationship Id="rId468" Type="http://schemas.openxmlformats.org/officeDocument/2006/relationships/hyperlink" Target="https://login.consultant.ru/link/?req=doc&amp;base=INT&amp;n=26397&amp;dst=100223" TargetMode = "External"/>
	<Relationship Id="rId469" Type="http://schemas.openxmlformats.org/officeDocument/2006/relationships/hyperlink" Target="https://login.consultant.ru/link/?req=doc&amp;base=INT&amp;n=26397&amp;dst=100224" TargetMode = "External"/>
	<Relationship Id="rId470" Type="http://schemas.openxmlformats.org/officeDocument/2006/relationships/hyperlink" Target="https://login.consultant.ru/link/?req=doc&amp;base=INT&amp;n=26397&amp;dst=100227" TargetMode = "External"/>
	<Relationship Id="rId471" Type="http://schemas.openxmlformats.org/officeDocument/2006/relationships/hyperlink" Target="https://login.consultant.ru/link/?req=doc&amp;base=INT&amp;n=26397&amp;dst=100228" TargetMode = "External"/>
	<Relationship Id="rId472" Type="http://schemas.openxmlformats.org/officeDocument/2006/relationships/hyperlink" Target="https://login.consultant.ru/link/?req=doc&amp;base=INT&amp;n=26397&amp;dst=100229" TargetMode = "External"/>
	<Relationship Id="rId473" Type="http://schemas.openxmlformats.org/officeDocument/2006/relationships/hyperlink" Target="https://login.consultant.ru/link/?req=doc&amp;base=INT&amp;n=26397&amp;dst=100229" TargetMode = "External"/>
	<Relationship Id="rId474" Type="http://schemas.openxmlformats.org/officeDocument/2006/relationships/hyperlink" Target="https://login.consultant.ru/link/?req=doc&amp;base=INT&amp;n=26397&amp;dst=100230" TargetMode = "External"/>
	<Relationship Id="rId475" Type="http://schemas.openxmlformats.org/officeDocument/2006/relationships/hyperlink" Target="https://login.consultant.ru/link/?req=doc&amp;base=INT&amp;n=26397&amp;dst=100231" TargetMode = "External"/>
	<Relationship Id="rId476" Type="http://schemas.openxmlformats.org/officeDocument/2006/relationships/hyperlink" Target="https://login.consultant.ru/link/?req=doc&amp;base=INT&amp;n=26397&amp;dst=100234" TargetMode = "External"/>
	<Relationship Id="rId477" Type="http://schemas.openxmlformats.org/officeDocument/2006/relationships/hyperlink" Target="https://login.consultant.ru/link/?req=doc&amp;base=INT&amp;n=26397&amp;dst=100235" TargetMode = "External"/>
	<Relationship Id="rId478" Type="http://schemas.openxmlformats.org/officeDocument/2006/relationships/hyperlink" Target="https://login.consultant.ru/link/?req=doc&amp;base=INT&amp;n=26397&amp;dst=100239" TargetMode = "External"/>
	<Relationship Id="rId479" Type="http://schemas.openxmlformats.org/officeDocument/2006/relationships/hyperlink" Target="https://login.consultant.ru/link/?req=doc&amp;base=INT&amp;n=26397&amp;dst=100240" TargetMode = "External"/>
	<Relationship Id="rId480" Type="http://schemas.openxmlformats.org/officeDocument/2006/relationships/hyperlink" Target="https://login.consultant.ru/link/?req=doc&amp;base=INT&amp;n=26397&amp;dst=100241" TargetMode = "External"/>
	<Relationship Id="rId481" Type="http://schemas.openxmlformats.org/officeDocument/2006/relationships/hyperlink" Target="https://login.consultant.ru/link/?req=doc&amp;base=INT&amp;n=26397&amp;dst=100242" TargetMode = "External"/>
	<Relationship Id="rId482" Type="http://schemas.openxmlformats.org/officeDocument/2006/relationships/hyperlink" Target="https://login.consultant.ru/link/?req=doc&amp;base=INT&amp;n=26397&amp;dst=100243" TargetMode = "External"/>
	<Relationship Id="rId483" Type="http://schemas.openxmlformats.org/officeDocument/2006/relationships/hyperlink" Target="https://login.consultant.ru/link/?req=doc&amp;base=INT&amp;n=26397&amp;dst=100243" TargetMode = "External"/>
	<Relationship Id="rId484" Type="http://schemas.openxmlformats.org/officeDocument/2006/relationships/hyperlink" Target="https://login.consultant.ru/link/?req=doc&amp;base=INT&amp;n=26397&amp;dst=100243" TargetMode = "External"/>
	<Relationship Id="rId485" Type="http://schemas.openxmlformats.org/officeDocument/2006/relationships/hyperlink" Target="https://login.consultant.ru/link/?req=doc&amp;base=INT&amp;n=26397&amp;dst=100244" TargetMode = "External"/>
	<Relationship Id="rId486" Type="http://schemas.openxmlformats.org/officeDocument/2006/relationships/hyperlink" Target="https://login.consultant.ru/link/?req=doc&amp;base=INT&amp;n=26397&amp;dst=100245" TargetMode = "External"/>
	<Relationship Id="rId487" Type="http://schemas.openxmlformats.org/officeDocument/2006/relationships/hyperlink" Target="https://login.consultant.ru/link/?req=doc&amp;base=INT&amp;n=26397&amp;dst=100246" TargetMode = "External"/>
	<Relationship Id="rId488" Type="http://schemas.openxmlformats.org/officeDocument/2006/relationships/hyperlink" Target="https://login.consultant.ru/link/?req=doc&amp;base=INT&amp;n=26397&amp;dst=100247" TargetMode = "External"/>
	<Relationship Id="rId489" Type="http://schemas.openxmlformats.org/officeDocument/2006/relationships/hyperlink" Target="https://login.consultant.ru/link/?req=doc&amp;base=INT&amp;n=26397&amp;dst=100248" TargetMode = "External"/>
	<Relationship Id="rId490" Type="http://schemas.openxmlformats.org/officeDocument/2006/relationships/hyperlink" Target="https://login.consultant.ru/link/?req=doc&amp;base=INT&amp;n=26397&amp;dst=100249" TargetMode = "External"/>
	<Relationship Id="rId491" Type="http://schemas.openxmlformats.org/officeDocument/2006/relationships/hyperlink" Target="https://login.consultant.ru/link/?req=doc&amp;base=INT&amp;n=26397&amp;dst=100250" TargetMode = "External"/>
	<Relationship Id="rId492" Type="http://schemas.openxmlformats.org/officeDocument/2006/relationships/hyperlink" Target="https://login.consultant.ru/link/?req=doc&amp;base=INT&amp;n=26397&amp;dst=100252" TargetMode = "External"/>
	<Relationship Id="rId493" Type="http://schemas.openxmlformats.org/officeDocument/2006/relationships/hyperlink" Target="https://login.consultant.ru/link/?req=doc&amp;base=INT&amp;n=26397&amp;dst=100253" TargetMode = "External"/>
	<Relationship Id="rId494" Type="http://schemas.openxmlformats.org/officeDocument/2006/relationships/hyperlink" Target="https://login.consultant.ru/link/?req=doc&amp;base=INT&amp;n=26397&amp;dst=100254" TargetMode = "External"/>
	<Relationship Id="rId495" Type="http://schemas.openxmlformats.org/officeDocument/2006/relationships/hyperlink" Target="https://login.consultant.ru/link/?req=doc&amp;base=INT&amp;n=26397&amp;dst=100256" TargetMode = "External"/>
	<Relationship Id="rId496" Type="http://schemas.openxmlformats.org/officeDocument/2006/relationships/hyperlink" Target="https://login.consultant.ru/link/?req=doc&amp;base=INT&amp;n=26397&amp;dst=100255" TargetMode = "External"/>
	<Relationship Id="rId497" Type="http://schemas.openxmlformats.org/officeDocument/2006/relationships/hyperlink" Target="https://login.consultant.ru/link/?req=doc&amp;base=INT&amp;n=26397&amp;dst=100257" TargetMode = "External"/>
	<Relationship Id="rId498" Type="http://schemas.openxmlformats.org/officeDocument/2006/relationships/hyperlink" Target="https://login.consultant.ru/link/?req=doc&amp;base=INT&amp;n=26397&amp;dst=100258" TargetMode = "External"/>
	<Relationship Id="rId499" Type="http://schemas.openxmlformats.org/officeDocument/2006/relationships/hyperlink" Target="https://login.consultant.ru/link/?req=doc&amp;base=INT&amp;n=26397&amp;dst=100264" TargetMode = "External"/>
	<Relationship Id="rId500" Type="http://schemas.openxmlformats.org/officeDocument/2006/relationships/hyperlink" Target="https://login.consultant.ru/link/?req=doc&amp;base=INT&amp;n=26397&amp;dst=100266" TargetMode = "External"/>
	<Relationship Id="rId501" Type="http://schemas.openxmlformats.org/officeDocument/2006/relationships/hyperlink" Target="https://login.consultant.ru/link/?req=doc&amp;base=INT&amp;n=26397&amp;dst=100267" TargetMode = "External"/>
	<Relationship Id="rId502" Type="http://schemas.openxmlformats.org/officeDocument/2006/relationships/hyperlink" Target="https://login.consultant.ru/link/?req=doc&amp;base=INT&amp;n=26397&amp;dst=100268" TargetMode = "External"/>
	<Relationship Id="rId503" Type="http://schemas.openxmlformats.org/officeDocument/2006/relationships/hyperlink" Target="https://login.consultant.ru/link/?req=doc&amp;base=INT&amp;n=26397&amp;dst=100273" TargetMode = "External"/>
	<Relationship Id="rId504" Type="http://schemas.openxmlformats.org/officeDocument/2006/relationships/hyperlink" Target="https://login.consultant.ru/link/?req=doc&amp;base=INT&amp;n=26397&amp;dst=100274" TargetMode = "External"/>
	<Relationship Id="rId505" Type="http://schemas.openxmlformats.org/officeDocument/2006/relationships/hyperlink" Target="https://login.consultant.ru/link/?req=doc&amp;base=INT&amp;n=26397&amp;dst=100278" TargetMode = "External"/>
	<Relationship Id="rId506" Type="http://schemas.openxmlformats.org/officeDocument/2006/relationships/hyperlink" Target="https://login.consultant.ru/link/?req=doc&amp;base=INT&amp;n=26397&amp;dst=100281" TargetMode = "External"/>
	<Relationship Id="rId507" Type="http://schemas.openxmlformats.org/officeDocument/2006/relationships/hyperlink" Target="https://login.consultant.ru/link/?req=doc&amp;base=INT&amp;n=26397&amp;dst=100284" TargetMode = "External"/>
	<Relationship Id="rId508" Type="http://schemas.openxmlformats.org/officeDocument/2006/relationships/hyperlink" Target="https://login.consultant.ru/link/?req=doc&amp;base=INT&amp;n=26397&amp;dst=100284" TargetMode = "External"/>
	<Relationship Id="rId509" Type="http://schemas.openxmlformats.org/officeDocument/2006/relationships/hyperlink" Target="https://login.consultant.ru/link/?req=doc&amp;base=INT&amp;n=26397&amp;dst=100284" TargetMode = "External"/>
	<Relationship Id="rId510" Type="http://schemas.openxmlformats.org/officeDocument/2006/relationships/hyperlink" Target="https://login.consultant.ru/link/?req=doc&amp;base=INT&amp;n=26397&amp;dst=100287" TargetMode = "External"/>
	<Relationship Id="rId511" Type="http://schemas.openxmlformats.org/officeDocument/2006/relationships/hyperlink" Target="https://login.consultant.ru/link/?req=doc&amp;base=INT&amp;n=26397&amp;dst=100288" TargetMode = "External"/>
	<Relationship Id="rId512" Type="http://schemas.openxmlformats.org/officeDocument/2006/relationships/hyperlink" Target="https://login.consultant.ru/link/?req=doc&amp;base=INT&amp;n=26397&amp;dst=100289" TargetMode = "External"/>
	<Relationship Id="rId513" Type="http://schemas.openxmlformats.org/officeDocument/2006/relationships/hyperlink" Target="https://login.consultant.ru/link/?req=doc&amp;base=INT&amp;n=26397&amp;dst=100290" TargetMode = "External"/>
	<Relationship Id="rId514" Type="http://schemas.openxmlformats.org/officeDocument/2006/relationships/hyperlink" Target="https://login.consultant.ru/link/?req=doc&amp;base=INT&amp;n=26397&amp;dst=100291" TargetMode = "External"/>
	<Relationship Id="rId515" Type="http://schemas.openxmlformats.org/officeDocument/2006/relationships/hyperlink" Target="https://login.consultant.ru/link/?req=doc&amp;base=INT&amp;n=26397&amp;dst=100294" TargetMode = "External"/>
	<Relationship Id="rId516" Type="http://schemas.openxmlformats.org/officeDocument/2006/relationships/hyperlink" Target="https://login.consultant.ru/link/?req=doc&amp;base=INT&amp;n=26397&amp;dst=100297" TargetMode = "External"/>
	<Relationship Id="rId517" Type="http://schemas.openxmlformats.org/officeDocument/2006/relationships/hyperlink" Target="https://login.consultant.ru/link/?req=doc&amp;base=INT&amp;n=26397&amp;dst=100316" TargetMode = "External"/>
	<Relationship Id="rId518" Type="http://schemas.openxmlformats.org/officeDocument/2006/relationships/hyperlink" Target="https://login.consultant.ru/link/?req=doc&amp;base=INT&amp;n=26397&amp;dst=100335" TargetMode = "External"/>
	<Relationship Id="rId519" Type="http://schemas.openxmlformats.org/officeDocument/2006/relationships/hyperlink" Target="https://login.consultant.ru/link/?req=doc&amp;base=INT&amp;n=26397&amp;dst=100341" TargetMode = "External"/>
	<Relationship Id="rId520" Type="http://schemas.openxmlformats.org/officeDocument/2006/relationships/hyperlink" Target="https://login.consultant.ru/link/?req=doc&amp;base=INT&amp;n=26397&amp;dst=100350" TargetMode = "External"/>
	<Relationship Id="rId521" Type="http://schemas.openxmlformats.org/officeDocument/2006/relationships/hyperlink" Target="https://login.consultant.ru/link/?req=doc&amp;base=INT&amp;n=26397&amp;dst=100353" TargetMode = "External"/>
	<Relationship Id="rId522" Type="http://schemas.openxmlformats.org/officeDocument/2006/relationships/hyperlink" Target="https://login.consultant.ru/link/?req=doc&amp;base=INT&amp;n=26397&amp;dst=100366" TargetMode = "External"/>
	<Relationship Id="rId523" Type="http://schemas.openxmlformats.org/officeDocument/2006/relationships/hyperlink" Target="https://login.consultant.ru/link/?req=doc&amp;base=INT&amp;n=26397&amp;dst=100371" TargetMode = "External"/>
	<Relationship Id="rId524" Type="http://schemas.openxmlformats.org/officeDocument/2006/relationships/hyperlink" Target="https://login.consultant.ru/link/?req=doc&amp;base=INT&amp;n=26397&amp;dst=100374" TargetMode = "External"/>
	<Relationship Id="rId525" Type="http://schemas.openxmlformats.org/officeDocument/2006/relationships/hyperlink" Target="https://login.consultant.ru/link/?req=doc&amp;base=INT&amp;n=26397&amp;dst=100397" TargetMode = "External"/>
	<Relationship Id="rId526" Type="http://schemas.openxmlformats.org/officeDocument/2006/relationships/hyperlink" Target="https://login.consultant.ru/link/?req=doc&amp;base=INT&amp;n=26397&amp;dst=100406" TargetMode = "External"/>
	<Relationship Id="rId527" Type="http://schemas.openxmlformats.org/officeDocument/2006/relationships/hyperlink" Target="https://login.consultant.ru/link/?req=doc&amp;base=INT&amp;n=26397&amp;dst=100416" TargetMode = "External"/>
	<Relationship Id="rId528" Type="http://schemas.openxmlformats.org/officeDocument/2006/relationships/hyperlink" Target="https://login.consultant.ru/link/?req=doc&amp;base=INT&amp;n=26397&amp;dst=100429" TargetMode = "External"/>
	<Relationship Id="rId529" Type="http://schemas.openxmlformats.org/officeDocument/2006/relationships/hyperlink" Target="https://login.consultant.ru/link/?req=doc&amp;base=INT&amp;n=26397&amp;dst=100441" TargetMode = "External"/>
	<Relationship Id="rId530" Type="http://schemas.openxmlformats.org/officeDocument/2006/relationships/hyperlink" Target="https://login.consultant.ru/link/?req=doc&amp;base=INT&amp;n=26397&amp;dst=100444" TargetMode = "External"/>
	<Relationship Id="rId531" Type="http://schemas.openxmlformats.org/officeDocument/2006/relationships/hyperlink" Target="https://login.consultant.ru/link/?req=doc&amp;base=INT&amp;n=26397&amp;dst=100458" TargetMode = "External"/>
	<Relationship Id="rId532" Type="http://schemas.openxmlformats.org/officeDocument/2006/relationships/hyperlink" Target="https://login.consultant.ru/link/?req=doc&amp;base=INT&amp;n=26397&amp;dst=100460" TargetMode = "External"/>
	<Relationship Id="rId533" Type="http://schemas.openxmlformats.org/officeDocument/2006/relationships/hyperlink" Target="https://login.consultant.ru/link/?req=doc&amp;base=INT&amp;n=26397&amp;dst=100459" TargetMode = "External"/>
	<Relationship Id="rId534" Type="http://schemas.openxmlformats.org/officeDocument/2006/relationships/hyperlink" Target="https://login.consultant.ru/link/?req=doc&amp;base=INT&amp;n=26397&amp;dst=100470" TargetMode = "External"/>
	<Relationship Id="rId535" Type="http://schemas.openxmlformats.org/officeDocument/2006/relationships/hyperlink" Target="https://login.consultant.ru/link/?req=doc&amp;base=INT&amp;n=26397&amp;dst=100487" TargetMode = "External"/>
	<Relationship Id="rId536" Type="http://schemas.openxmlformats.org/officeDocument/2006/relationships/hyperlink" Target="https://login.consultant.ru/link/?req=doc&amp;base=INT&amp;n=26397&amp;dst=100489" TargetMode = "External"/>
	<Relationship Id="rId537" Type="http://schemas.openxmlformats.org/officeDocument/2006/relationships/hyperlink" Target="https://login.consultant.ru/link/?req=doc&amp;base=INT&amp;n=26397&amp;dst=100493" TargetMode = "External"/>
	<Relationship Id="rId538" Type="http://schemas.openxmlformats.org/officeDocument/2006/relationships/hyperlink" Target="https://login.consultant.ru/link/?req=doc&amp;base=INT&amp;n=26397&amp;dst=100495" TargetMode = "External"/>
	<Relationship Id="rId539" Type="http://schemas.openxmlformats.org/officeDocument/2006/relationships/hyperlink" Target="https://login.consultant.ru/link/?req=doc&amp;base=INT&amp;n=13670&amp;dst=100050" TargetMode = "External"/>
	<Relationship Id="rId540" Type="http://schemas.openxmlformats.org/officeDocument/2006/relationships/hyperlink" Target="https://login.consultant.ru/link/?req=doc&amp;base=INT&amp;n=13670&amp;dst=100055" TargetMode = "External"/>
	<Relationship Id="rId541" Type="http://schemas.openxmlformats.org/officeDocument/2006/relationships/hyperlink" Target="https://login.consultant.ru/link/?req=doc&amp;base=INT&amp;n=13670&amp;dst=100056" TargetMode = "External"/>
	<Relationship Id="rId542" Type="http://schemas.openxmlformats.org/officeDocument/2006/relationships/hyperlink" Target="https://login.consultant.ru/link/?req=doc&amp;base=INT&amp;n=13670&amp;dst=100057" TargetMode = "External"/>
	<Relationship Id="rId543" Type="http://schemas.openxmlformats.org/officeDocument/2006/relationships/hyperlink" Target="https://login.consultant.ru/link/?req=doc&amp;base=INT&amp;n=13670&amp;dst=100059" TargetMode = "External"/>
	<Relationship Id="rId544" Type="http://schemas.openxmlformats.org/officeDocument/2006/relationships/hyperlink" Target="https://login.consultant.ru/link/?req=doc&amp;base=INT&amp;n=13670&amp;dst=100059" TargetMode = "External"/>
	<Relationship Id="rId545" Type="http://schemas.openxmlformats.org/officeDocument/2006/relationships/hyperlink" Target="https://login.consultant.ru/link/?req=doc&amp;base=INT&amp;n=13670&amp;dst=100064" TargetMode = "External"/>
	<Relationship Id="rId546" Type="http://schemas.openxmlformats.org/officeDocument/2006/relationships/hyperlink" Target="https://login.consultant.ru/link/?req=doc&amp;base=INT&amp;n=13670&amp;dst=100064" TargetMode = "External"/>
	<Relationship Id="rId547" Type="http://schemas.openxmlformats.org/officeDocument/2006/relationships/hyperlink" Target="https://login.consultant.ru/link/?req=doc&amp;base=INT&amp;n=13670&amp;dst=100064" TargetMode = "External"/>
	<Relationship Id="rId548" Type="http://schemas.openxmlformats.org/officeDocument/2006/relationships/hyperlink" Target="https://login.consultant.ru/link/?req=doc&amp;base=INT&amp;n=13670&amp;dst=100065" TargetMode = "External"/>
	<Relationship Id="rId549" Type="http://schemas.openxmlformats.org/officeDocument/2006/relationships/hyperlink" Target="https://login.consultant.ru/link/?req=doc&amp;base=INT&amp;n=13670&amp;dst=100073" TargetMode = "External"/>
	<Relationship Id="rId550" Type="http://schemas.openxmlformats.org/officeDocument/2006/relationships/hyperlink" Target="https://login.consultant.ru/link/?req=doc&amp;base=INT&amp;n=13670&amp;dst=100074" TargetMode = "External"/>
	<Relationship Id="rId551" Type="http://schemas.openxmlformats.org/officeDocument/2006/relationships/hyperlink" Target="https://login.consultant.ru/link/?req=doc&amp;base=INT&amp;n=13670&amp;dst=100075" TargetMode = "External"/>
	<Relationship Id="rId552" Type="http://schemas.openxmlformats.org/officeDocument/2006/relationships/hyperlink" Target="https://login.consultant.ru/link/?req=doc&amp;base=INT&amp;n=13670&amp;dst=100076" TargetMode = "External"/>
	<Relationship Id="rId553" Type="http://schemas.openxmlformats.org/officeDocument/2006/relationships/hyperlink" Target="https://login.consultant.ru/link/?req=doc&amp;base=INT&amp;n=13670&amp;dst=100077" TargetMode = "External"/>
	<Relationship Id="rId554" Type="http://schemas.openxmlformats.org/officeDocument/2006/relationships/hyperlink" Target="https://login.consultant.ru/link/?req=doc&amp;base=INT&amp;n=13670&amp;dst=100078" TargetMode = "External"/>
	<Relationship Id="rId555" Type="http://schemas.openxmlformats.org/officeDocument/2006/relationships/hyperlink" Target="https://login.consultant.ru/link/?req=doc&amp;base=INT&amp;n=13670&amp;dst=100079" TargetMode = "External"/>
	<Relationship Id="rId556" Type="http://schemas.openxmlformats.org/officeDocument/2006/relationships/hyperlink" Target="https://login.consultant.ru/link/?req=doc&amp;base=INT&amp;n=13670&amp;dst=100080" TargetMode = "External"/>
	<Relationship Id="rId557" Type="http://schemas.openxmlformats.org/officeDocument/2006/relationships/hyperlink" Target="https://login.consultant.ru/link/?req=doc&amp;base=INT&amp;n=13670&amp;dst=100086" TargetMode = "External"/>
	<Relationship Id="rId558" Type="http://schemas.openxmlformats.org/officeDocument/2006/relationships/hyperlink" Target="https://login.consultant.ru/link/?req=doc&amp;base=INT&amp;n=13670&amp;dst=100087" TargetMode = "External"/>
	<Relationship Id="rId559" Type="http://schemas.openxmlformats.org/officeDocument/2006/relationships/hyperlink" Target="https://login.consultant.ru/link/?req=doc&amp;base=INT&amp;n=13670&amp;dst=100088" TargetMode = "External"/>
	<Relationship Id="rId560" Type="http://schemas.openxmlformats.org/officeDocument/2006/relationships/hyperlink" Target="https://login.consultant.ru/link/?req=doc&amp;base=INT&amp;n=13670&amp;dst=100094" TargetMode = "External"/>
	<Relationship Id="rId561" Type="http://schemas.openxmlformats.org/officeDocument/2006/relationships/hyperlink" Target="https://login.consultant.ru/link/?req=doc&amp;base=INT&amp;n=13670&amp;dst=100095" TargetMode = "External"/>
	<Relationship Id="rId562" Type="http://schemas.openxmlformats.org/officeDocument/2006/relationships/hyperlink" Target="https://login.consultant.ru/link/?req=doc&amp;base=INT&amp;n=13670&amp;dst=100096" TargetMode = "External"/>
	<Relationship Id="rId563" Type="http://schemas.openxmlformats.org/officeDocument/2006/relationships/hyperlink" Target="https://login.consultant.ru/link/?req=doc&amp;base=INT&amp;n=13670&amp;dst=100125" TargetMode = "External"/>
	<Relationship Id="rId564" Type="http://schemas.openxmlformats.org/officeDocument/2006/relationships/hyperlink" Target="https://login.consultant.ru/link/?req=doc&amp;base=INT&amp;n=13670&amp;dst=100128" TargetMode = "External"/>
	<Relationship Id="rId565" Type="http://schemas.openxmlformats.org/officeDocument/2006/relationships/hyperlink" Target="https://login.consultant.ru/link/?req=doc&amp;base=INT&amp;n=13670&amp;dst=100133" TargetMode = "External"/>
	<Relationship Id="rId566" Type="http://schemas.openxmlformats.org/officeDocument/2006/relationships/hyperlink" Target="https://login.consultant.ru/link/?req=doc&amp;base=INT&amp;n=13670&amp;dst=100138" TargetMode = "External"/>
	<Relationship Id="rId567" Type="http://schemas.openxmlformats.org/officeDocument/2006/relationships/hyperlink" Target="https://login.consultant.ru/link/?req=doc&amp;base=INT&amp;n=13670&amp;dst=100141" TargetMode = "External"/>
	<Relationship Id="rId568" Type="http://schemas.openxmlformats.org/officeDocument/2006/relationships/hyperlink" Target="https://login.consultant.ru/link/?req=doc&amp;base=INT&amp;n=13670&amp;dst=100144" TargetMode = "External"/>
	<Relationship Id="rId569" Type="http://schemas.openxmlformats.org/officeDocument/2006/relationships/hyperlink" Target="https://login.consultant.ru/link/?req=doc&amp;base=INT&amp;n=13670&amp;dst=100145" TargetMode = "External"/>
	<Relationship Id="rId570" Type="http://schemas.openxmlformats.org/officeDocument/2006/relationships/hyperlink" Target="https://login.consultant.ru/link/?req=doc&amp;base=INT&amp;n=13670&amp;dst=100147" TargetMode = "External"/>
	<Relationship Id="rId571" Type="http://schemas.openxmlformats.org/officeDocument/2006/relationships/hyperlink" Target="https://login.consultant.ru/link/?req=doc&amp;base=INT&amp;n=13670&amp;dst=100151" TargetMode = "External"/>
	<Relationship Id="rId572" Type="http://schemas.openxmlformats.org/officeDocument/2006/relationships/hyperlink" Target="https://login.consultant.ru/link/?req=doc&amp;base=INT&amp;n=13670&amp;dst=100151" TargetMode = "External"/>
	<Relationship Id="rId573" Type="http://schemas.openxmlformats.org/officeDocument/2006/relationships/hyperlink" Target="https://login.consultant.ru/link/?req=doc&amp;base=INT&amp;n=13670&amp;dst=100152" TargetMode = "External"/>
	<Relationship Id="rId574" Type="http://schemas.openxmlformats.org/officeDocument/2006/relationships/hyperlink" Target="https://login.consultant.ru/link/?req=doc&amp;base=INT&amp;n=13670&amp;dst=100157" TargetMode = "External"/>
	<Relationship Id="rId575" Type="http://schemas.openxmlformats.org/officeDocument/2006/relationships/hyperlink" Target="https://login.consultant.ru/link/?req=doc&amp;base=INT&amp;n=13670&amp;dst=100161" TargetMode = "External"/>
	<Relationship Id="rId576" Type="http://schemas.openxmlformats.org/officeDocument/2006/relationships/hyperlink" Target="https://login.consultant.ru/link/?req=doc&amp;base=INT&amp;n=13670&amp;dst=100162" TargetMode = "External"/>
	<Relationship Id="rId577" Type="http://schemas.openxmlformats.org/officeDocument/2006/relationships/hyperlink" Target="https://login.consultant.ru/link/?req=doc&amp;base=INT&amp;n=13670&amp;dst=100165" TargetMode = "External"/>
	<Relationship Id="rId578" Type="http://schemas.openxmlformats.org/officeDocument/2006/relationships/hyperlink" Target="https://login.consultant.ru/link/?req=doc&amp;base=INT&amp;n=13670&amp;dst=100165" TargetMode = "External"/>
	<Relationship Id="rId579" Type="http://schemas.openxmlformats.org/officeDocument/2006/relationships/hyperlink" Target="https://login.consultant.ru/link/?req=doc&amp;base=INT&amp;n=13670&amp;dst=100166" TargetMode = "External"/>
	<Relationship Id="rId580" Type="http://schemas.openxmlformats.org/officeDocument/2006/relationships/hyperlink" Target="https://login.consultant.ru/link/?req=doc&amp;base=INT&amp;n=13670&amp;dst=100172" TargetMode = "External"/>
	<Relationship Id="rId581" Type="http://schemas.openxmlformats.org/officeDocument/2006/relationships/hyperlink" Target="https://login.consultant.ru/link/?req=doc&amp;base=INT&amp;n=13670&amp;dst=100172" TargetMode = "External"/>
	<Relationship Id="rId582" Type="http://schemas.openxmlformats.org/officeDocument/2006/relationships/hyperlink" Target="https://login.consultant.ru/link/?req=doc&amp;base=INT&amp;n=13670&amp;dst=100173" TargetMode = "External"/>
	<Relationship Id="rId583" Type="http://schemas.openxmlformats.org/officeDocument/2006/relationships/hyperlink" Target="https://login.consultant.ru/link/?req=doc&amp;base=INT&amp;n=13670&amp;dst=100175" TargetMode = "External"/>
	<Relationship Id="rId584" Type="http://schemas.openxmlformats.org/officeDocument/2006/relationships/hyperlink" Target="https://login.consultant.ru/link/?req=doc&amp;base=INT&amp;n=13670&amp;dst=100190" TargetMode = "External"/>
	<Relationship Id="rId585" Type="http://schemas.openxmlformats.org/officeDocument/2006/relationships/hyperlink" Target="https://login.consultant.ru/link/?req=doc&amp;base=INT&amp;n=13670&amp;dst=100211" TargetMode = "External"/>
	<Relationship Id="rId586" Type="http://schemas.openxmlformats.org/officeDocument/2006/relationships/hyperlink" Target="https://login.consultant.ru/link/?req=doc&amp;base=INT&amp;n=13670&amp;dst=100436" TargetMode = "External"/>
	<Relationship Id="rId587" Type="http://schemas.openxmlformats.org/officeDocument/2006/relationships/hyperlink" Target="https://login.consultant.ru/link/?req=doc&amp;base=INT&amp;n=13670&amp;dst=100457" TargetMode = "External"/>
	<Relationship Id="rId588" Type="http://schemas.openxmlformats.org/officeDocument/2006/relationships/hyperlink" Target="https://login.consultant.ru/link/?req=doc&amp;base=INT&amp;n=13670&amp;dst=100480" TargetMode = "External"/>
	<Relationship Id="rId589" Type="http://schemas.openxmlformats.org/officeDocument/2006/relationships/hyperlink" Target="https://login.consultant.ru/link/?req=doc&amp;base=INT&amp;n=13670&amp;dst=100493" TargetMode = "External"/>
	<Relationship Id="rId590" Type="http://schemas.openxmlformats.org/officeDocument/2006/relationships/hyperlink" Target="https://login.consultant.ru/link/?req=doc&amp;base=INT&amp;n=13670&amp;dst=100506" TargetMode = "External"/>
	<Relationship Id="rId591" Type="http://schemas.openxmlformats.org/officeDocument/2006/relationships/hyperlink" Target="https://login.consultant.ru/link/?req=doc&amp;base=INT&amp;n=13670&amp;dst=100514" TargetMode = "External"/>
	<Relationship Id="rId592" Type="http://schemas.openxmlformats.org/officeDocument/2006/relationships/hyperlink" Target="https://login.consultant.ru/link/?req=doc&amp;base=INT&amp;n=13670&amp;dst=100521" TargetMode = "External"/>
	<Relationship Id="rId593" Type="http://schemas.openxmlformats.org/officeDocument/2006/relationships/hyperlink" Target="https://login.consultant.ru/link/?req=doc&amp;base=INT&amp;n=13670&amp;dst=100538" TargetMode = "External"/>
	<Relationship Id="rId594" Type="http://schemas.openxmlformats.org/officeDocument/2006/relationships/hyperlink" Target="https://login.consultant.ru/link/?req=doc&amp;base=INT&amp;n=13670&amp;dst=100571" TargetMode = "External"/>
	<Relationship Id="rId595" Type="http://schemas.openxmlformats.org/officeDocument/2006/relationships/hyperlink" Target="https://login.consultant.ru/link/?req=doc&amp;base=INT&amp;n=13670&amp;dst=100579" TargetMode = "External"/>
	<Relationship Id="rId596" Type="http://schemas.openxmlformats.org/officeDocument/2006/relationships/hyperlink" Target="https://login.consultant.ru/link/?req=doc&amp;base=INT&amp;n=13670&amp;dst=100594" TargetMode = "External"/>
	<Relationship Id="rId597" Type="http://schemas.openxmlformats.org/officeDocument/2006/relationships/hyperlink" Target="https://login.consultant.ru/link/?req=doc&amp;base=INT&amp;n=13670&amp;dst=100597" TargetMode = "External"/>
	<Relationship Id="rId598" Type="http://schemas.openxmlformats.org/officeDocument/2006/relationships/hyperlink" Target="https://login.consultant.ru/link/?req=doc&amp;base=INT&amp;n=13670&amp;dst=100605" TargetMode = "External"/>
	<Relationship Id="rId599" Type="http://schemas.openxmlformats.org/officeDocument/2006/relationships/hyperlink" Target="https://login.consultant.ru/link/?req=doc&amp;base=INT&amp;n=13670&amp;dst=100606" TargetMode = "External"/>
	<Relationship Id="rId600" Type="http://schemas.openxmlformats.org/officeDocument/2006/relationships/hyperlink" Target="https://login.consultant.ru/link/?req=doc&amp;base=INT&amp;n=13670&amp;dst=100607" TargetMode = "External"/>
	<Relationship Id="rId601" Type="http://schemas.openxmlformats.org/officeDocument/2006/relationships/hyperlink" Target="https://login.consultant.ru/link/?req=doc&amp;base=INT&amp;n=13670&amp;dst=100610" TargetMode = "External"/>
	<Relationship Id="rId602" Type="http://schemas.openxmlformats.org/officeDocument/2006/relationships/hyperlink" Target="https://login.consultant.ru/link/?req=doc&amp;base=INT&amp;n=13670&amp;dst=100614" TargetMode = "External"/>
	<Relationship Id="rId603" Type="http://schemas.openxmlformats.org/officeDocument/2006/relationships/hyperlink" Target="https://login.consultant.ru/link/?req=doc&amp;base=INT&amp;n=13670&amp;dst=100622" TargetMode = "External"/>
	<Relationship Id="rId604" Type="http://schemas.openxmlformats.org/officeDocument/2006/relationships/hyperlink" Target="https://login.consultant.ru/link/?req=doc&amp;base=INT&amp;n=46709&amp;dst=100419" TargetMode = "External"/>
	<Relationship Id="rId605" Type="http://schemas.openxmlformats.org/officeDocument/2006/relationships/hyperlink" Target="https://login.consultant.ru/link/?req=doc&amp;base=INT&amp;n=13670&amp;dst=100630" TargetMode = "External"/>
	<Relationship Id="rId606" Type="http://schemas.openxmlformats.org/officeDocument/2006/relationships/hyperlink" Target="https://login.consultant.ru/link/?req=doc&amp;base=INT&amp;n=46709&amp;dst=100433" TargetMode = "External"/>
	<Relationship Id="rId607" Type="http://schemas.openxmlformats.org/officeDocument/2006/relationships/hyperlink" Target="https://login.consultant.ru/link/?req=doc&amp;base=INT&amp;n=13670&amp;dst=100636"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4023.00.50</Application>
  <Company>КонсультантПлюс Версия 4023.00.50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Директива N 2010/75/ЕС Европейского парламента и Совета Европейского Союза
"О промышленных выбросах (о комплексном предотвращении загрязнения и контроле над ним) (новая редакция)" [рус., англ.]
(Вместе с "Категориями видов деятельности, указанными в статье 10...", "Списком загрязняющих веществ", "Критериями для определения наилучших доступных технологий", "Участием общественности в принятии решений", &lt;Техническими характеристиками заводов по совместному сжиганию отходов&gt;, &lt;Техническими положениями для устан</dc:title>
  <dcterms:created xsi:type="dcterms:W3CDTF">2024-03-20T10:41:55Z</dcterms:created>
</cp:coreProperties>
</file>